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A7186A">
      <w:pPr>
        <w:adjustRightInd w:val="0"/>
        <w:jc w:val="center"/>
        <w:outlineLvl w:val="0"/>
        <w:rPr>
          <w:rFonts w:ascii="仿宋_GB2312" w:eastAsia="仿宋_GB2312"/>
          <w:color w:val="auto"/>
          <w:sz w:val="36"/>
          <w:szCs w:val="36"/>
        </w:rPr>
      </w:pPr>
      <w:r>
        <w:rPr>
          <w:rFonts w:hint="eastAsia" w:ascii="方正小标宋_GBK" w:eastAsia="方正小标宋_GBK"/>
          <w:bCs/>
          <w:color w:val="auto"/>
          <w:sz w:val="72"/>
          <w:szCs w:val="72"/>
          <w:lang w:eastAsia="zh-CN"/>
        </w:rPr>
        <w:drawing>
          <wp:anchor distT="0" distB="0" distL="114300" distR="114300" simplePos="0" relativeHeight="251663360" behindDoc="0" locked="0" layoutInCell="1" allowOverlap="1">
            <wp:simplePos x="0" y="0"/>
            <wp:positionH relativeFrom="column">
              <wp:posOffset>-774065</wp:posOffset>
            </wp:positionH>
            <wp:positionV relativeFrom="paragraph">
              <wp:posOffset>-975995</wp:posOffset>
            </wp:positionV>
            <wp:extent cx="7245350" cy="10550525"/>
            <wp:effectExtent l="0" t="0" r="3175" b="3175"/>
            <wp:wrapTopAndBottom/>
            <wp:docPr id="2" name="图片 2" descr="d25a5182b9b45fe6af3651530c67fdf"/>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4a2c37a1-3720-439c-90ed-5ccc2e1b4d97}"/>
                  </s:tag>
                </a:ext>
              </a:extLst>
            </wp:cNvGraphicFramePr>
            <a:graphic xmlns:a="http://schemas.openxmlformats.org/drawingml/2006/main">
              <a:graphicData uri="http://schemas.openxmlformats.org/drawingml/2006/picture">
                <pic:pic xmlns:pic="http://schemas.openxmlformats.org/drawingml/2006/picture">
                  <pic:nvPicPr>
                    <pic:cNvPr id="2" name="图片 2" descr="d25a5182b9b45fe6af3651530c67fdf"/>
                    <pic:cNvPicPr>
                      <a:picLocks noChangeAspect="1"/>
                    </pic:cNvPicPr>
                  </pic:nvPicPr>
                  <pic:blipFill>
                    <a:blip r:embed="rId8"/>
                    <a:stretch>
                      <a:fillRect/>
                    </a:stretch>
                  </pic:blipFill>
                  <pic:spPr>
                    <a:xfrm>
                      <a:off x="0" y="0"/>
                      <a:ext cx="7245350" cy="10550525"/>
                    </a:xfrm>
                    <a:prstGeom prst="rect">
                      <a:avLst/>
                    </a:prstGeom>
                  </pic:spPr>
                </pic:pic>
              </a:graphicData>
            </a:graphic>
          </wp:anchor>
        </w:drawing>
      </w:r>
      <w:r>
        <w:rPr>
          <w:rFonts w:ascii="仿宋_GB2312" w:eastAsia="仿宋_GB2312"/>
          <w:color w:val="auto"/>
          <w:sz w:val="36"/>
          <w:szCs w:val="36"/>
        </w:rPr>
        <w:br w:type="page"/>
      </w:r>
    </w:p>
    <w:p w14:paraId="11FB0763">
      <w:pPr>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3BBBE7F">
      <w:pPr>
        <w:pStyle w:val="2"/>
        <w:keepLines/>
        <w:pageBreakBefore/>
        <w:overflowPunct/>
        <w:snapToGrid/>
        <w:spacing w:before="0" w:after="0" w:line="360" w:lineRule="auto"/>
        <w:ind w:left="0" w:firstLine="0"/>
        <w:jc w:val="left"/>
        <w:rPr>
          <w:rFonts w:hint="eastAsia" w:eastAsia="宋体"/>
          <w:color w:val="auto"/>
          <w:sz w:val="28"/>
          <w:szCs w:val="44"/>
        </w:rPr>
      </w:pPr>
      <w:r>
        <w:rPr>
          <w:rFonts w:hint="eastAsia" w:eastAsia="宋体"/>
          <w:color w:val="auto"/>
          <w:sz w:val="28"/>
          <w:szCs w:val="44"/>
        </w:rPr>
        <w:drawing>
          <wp:inline distT="0" distB="0" distL="114300" distR="114300">
            <wp:extent cx="5266690" cy="7801610"/>
            <wp:effectExtent l="0" t="0" r="6350" b="1270"/>
            <wp:docPr id="3" name="图片 3" descr="图片文档 250310 14055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文档 250310 140555_00"/>
                    <pic:cNvPicPr>
                      <a:picLocks noChangeAspect="1"/>
                    </pic:cNvPicPr>
                  </pic:nvPicPr>
                  <pic:blipFill>
                    <a:blip r:embed="rId9"/>
                    <a:stretch>
                      <a:fillRect/>
                    </a:stretch>
                  </pic:blipFill>
                  <pic:spPr>
                    <a:xfrm>
                      <a:off x="0" y="0"/>
                      <a:ext cx="5266690" cy="7801610"/>
                    </a:xfrm>
                    <a:prstGeom prst="rect">
                      <a:avLst/>
                    </a:prstGeom>
                  </pic:spPr>
                </pic:pic>
              </a:graphicData>
            </a:graphic>
          </wp:inline>
        </w:drawing>
      </w:r>
    </w:p>
    <w:p w14:paraId="6DE46436">
      <w:pPr>
        <w:rPr>
          <w:rFonts w:hint="eastAsia" w:eastAsia="宋体"/>
          <w:color w:val="auto"/>
          <w:sz w:val="28"/>
          <w:szCs w:val="44"/>
        </w:rPr>
      </w:pPr>
      <w:r>
        <w:rPr>
          <w:rFonts w:hint="eastAsia" w:eastAsia="宋体"/>
          <w:color w:val="auto"/>
          <w:sz w:val="28"/>
          <w:szCs w:val="44"/>
        </w:rPr>
        <w:br w:type="page"/>
      </w:r>
    </w:p>
    <w:p w14:paraId="58967DA1">
      <w:pPr>
        <w:pStyle w:val="2"/>
        <w:keepLines/>
        <w:pageBreakBefore/>
        <w:overflowPunct/>
        <w:snapToGrid/>
        <w:spacing w:before="0" w:after="0" w:line="360" w:lineRule="auto"/>
        <w:ind w:left="0" w:firstLine="0"/>
        <w:jc w:val="left"/>
        <w:rPr>
          <w:rFonts w:eastAsia="宋体"/>
          <w:color w:val="auto"/>
          <w:sz w:val="28"/>
          <w:szCs w:val="44"/>
        </w:rPr>
      </w:pPr>
      <w:bookmarkStart w:id="4" w:name="_GoBack"/>
      <w:bookmarkEnd w:id="4"/>
      <w:r>
        <w:rPr>
          <w:rFonts w:hint="eastAsia" w:eastAsia="宋体"/>
          <w:color w:val="auto"/>
          <w:sz w:val="28"/>
          <w:szCs w:val="44"/>
        </w:rPr>
        <w:t>一、建设项目基本情况</w:t>
      </w:r>
    </w:p>
    <w:tbl>
      <w:tblPr>
        <w:tblStyle w:val="22"/>
        <w:tblW w:w="1017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2277"/>
        <w:gridCol w:w="2491"/>
        <w:gridCol w:w="1913"/>
        <w:gridCol w:w="3498"/>
      </w:tblGrid>
      <w:tr w14:paraId="343D7C9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7" w:type="dxa"/>
            <w:tcBorders>
              <w:tl2br w:val="nil"/>
              <w:tr2bl w:val="nil"/>
            </w:tcBorders>
            <w:tcMar>
              <w:top w:w="16" w:type="dxa"/>
              <w:left w:w="16" w:type="dxa"/>
              <w:right w:w="16" w:type="dxa"/>
            </w:tcMar>
            <w:vAlign w:val="center"/>
          </w:tcPr>
          <w:p w14:paraId="0B9519BD">
            <w:pPr>
              <w:jc w:val="center"/>
              <w:rPr>
                <w:bCs/>
                <w:color w:val="auto"/>
                <w:sz w:val="24"/>
              </w:rPr>
            </w:pPr>
            <w:r>
              <w:rPr>
                <w:bCs/>
                <w:color w:val="auto"/>
                <w:sz w:val="24"/>
              </w:rPr>
              <w:t>建设项目名称</w:t>
            </w:r>
          </w:p>
        </w:tc>
        <w:tc>
          <w:tcPr>
            <w:tcW w:w="7902" w:type="dxa"/>
            <w:gridSpan w:val="3"/>
            <w:tcBorders>
              <w:tl2br w:val="nil"/>
              <w:tr2bl w:val="nil"/>
            </w:tcBorders>
            <w:vAlign w:val="center"/>
          </w:tcPr>
          <w:p w14:paraId="209C8F31">
            <w:pPr>
              <w:adjustRightInd w:val="0"/>
              <w:jc w:val="center"/>
              <w:rPr>
                <w:bCs/>
                <w:color w:val="auto"/>
                <w:sz w:val="24"/>
              </w:rPr>
            </w:pPr>
            <w:r>
              <w:rPr>
                <w:rFonts w:hint="eastAsia" w:hAnsi="宋体"/>
                <w:color w:val="auto"/>
                <w:sz w:val="24"/>
              </w:rPr>
              <w:t>新建年产2800万支气弹簧项目</w:t>
            </w:r>
          </w:p>
        </w:tc>
      </w:tr>
      <w:tr w14:paraId="0885517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7" w:type="dxa"/>
            <w:tcBorders>
              <w:tl2br w:val="nil"/>
              <w:tr2bl w:val="nil"/>
            </w:tcBorders>
            <w:tcMar>
              <w:top w:w="16" w:type="dxa"/>
              <w:left w:w="16" w:type="dxa"/>
              <w:right w:w="16" w:type="dxa"/>
            </w:tcMar>
            <w:vAlign w:val="center"/>
          </w:tcPr>
          <w:p w14:paraId="1825C745">
            <w:pPr>
              <w:jc w:val="center"/>
              <w:rPr>
                <w:bCs/>
                <w:color w:val="auto"/>
                <w:sz w:val="24"/>
              </w:rPr>
            </w:pPr>
            <w:r>
              <w:rPr>
                <w:bCs/>
                <w:color w:val="auto"/>
                <w:sz w:val="24"/>
              </w:rPr>
              <w:t>项目代码</w:t>
            </w:r>
          </w:p>
        </w:tc>
        <w:tc>
          <w:tcPr>
            <w:tcW w:w="7902" w:type="dxa"/>
            <w:gridSpan w:val="3"/>
            <w:tcBorders>
              <w:tl2br w:val="nil"/>
              <w:tr2bl w:val="nil"/>
            </w:tcBorders>
            <w:vAlign w:val="center"/>
          </w:tcPr>
          <w:p w14:paraId="44868E7F">
            <w:pPr>
              <w:adjustRightInd w:val="0"/>
              <w:jc w:val="center"/>
              <w:rPr>
                <w:bCs/>
                <w:color w:val="auto"/>
                <w:sz w:val="24"/>
              </w:rPr>
            </w:pPr>
            <w:r>
              <w:rPr>
                <w:rFonts w:hint="eastAsia"/>
                <w:color w:val="auto"/>
                <w:sz w:val="24"/>
              </w:rPr>
              <w:t>2408-320413-04-01-813828</w:t>
            </w:r>
          </w:p>
        </w:tc>
      </w:tr>
      <w:tr w14:paraId="56A02B8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7" w:type="dxa"/>
            <w:tcBorders>
              <w:tl2br w:val="nil"/>
              <w:tr2bl w:val="nil"/>
            </w:tcBorders>
            <w:tcMar>
              <w:top w:w="16" w:type="dxa"/>
              <w:left w:w="16" w:type="dxa"/>
              <w:right w:w="16" w:type="dxa"/>
            </w:tcMar>
            <w:vAlign w:val="center"/>
          </w:tcPr>
          <w:p w14:paraId="3508C19F">
            <w:pPr>
              <w:jc w:val="center"/>
              <w:rPr>
                <w:bCs/>
                <w:color w:val="auto"/>
                <w:sz w:val="24"/>
              </w:rPr>
            </w:pPr>
            <w:r>
              <w:rPr>
                <w:bCs/>
                <w:color w:val="auto"/>
                <w:sz w:val="24"/>
              </w:rPr>
              <w:t>建设单位联系人</w:t>
            </w:r>
          </w:p>
        </w:tc>
        <w:tc>
          <w:tcPr>
            <w:tcW w:w="2491" w:type="dxa"/>
            <w:tcBorders>
              <w:tl2br w:val="nil"/>
              <w:tr2bl w:val="nil"/>
            </w:tcBorders>
            <w:vAlign w:val="center"/>
          </w:tcPr>
          <w:p w14:paraId="1A187CD6">
            <w:pPr>
              <w:adjustRightInd w:val="0"/>
              <w:jc w:val="center"/>
              <w:rPr>
                <w:bCs/>
                <w:color w:val="auto"/>
                <w:sz w:val="24"/>
              </w:rPr>
            </w:pPr>
            <w:r>
              <w:rPr>
                <w:rFonts w:hint="eastAsia"/>
                <w:bCs/>
                <w:color w:val="auto"/>
                <w:sz w:val="24"/>
              </w:rPr>
              <w:t>王锦善</w:t>
            </w:r>
          </w:p>
        </w:tc>
        <w:tc>
          <w:tcPr>
            <w:tcW w:w="1913" w:type="dxa"/>
            <w:tcBorders>
              <w:tl2br w:val="nil"/>
              <w:tr2bl w:val="nil"/>
            </w:tcBorders>
            <w:vAlign w:val="center"/>
          </w:tcPr>
          <w:p w14:paraId="0B7F45DC">
            <w:pPr>
              <w:adjustRightInd w:val="0"/>
              <w:jc w:val="center"/>
              <w:rPr>
                <w:bCs/>
                <w:color w:val="auto"/>
                <w:sz w:val="24"/>
              </w:rPr>
            </w:pPr>
            <w:r>
              <w:rPr>
                <w:bCs/>
                <w:color w:val="auto"/>
                <w:sz w:val="24"/>
              </w:rPr>
              <w:t>联系方式</w:t>
            </w:r>
          </w:p>
        </w:tc>
        <w:tc>
          <w:tcPr>
            <w:tcW w:w="3498" w:type="dxa"/>
            <w:tcBorders>
              <w:tl2br w:val="nil"/>
              <w:tr2bl w:val="nil"/>
            </w:tcBorders>
            <w:vAlign w:val="center"/>
          </w:tcPr>
          <w:p w14:paraId="171FEF2C">
            <w:pPr>
              <w:adjustRightInd w:val="0"/>
              <w:jc w:val="center"/>
              <w:rPr>
                <w:bCs/>
                <w:color w:val="auto"/>
                <w:sz w:val="24"/>
              </w:rPr>
            </w:pPr>
            <w:r>
              <w:rPr>
                <w:rFonts w:hint="eastAsia"/>
                <w:color w:val="auto"/>
                <w:sz w:val="24"/>
              </w:rPr>
              <w:t>13961403788</w:t>
            </w:r>
          </w:p>
        </w:tc>
      </w:tr>
      <w:tr w14:paraId="1E1E864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7" w:type="dxa"/>
            <w:tcBorders>
              <w:tl2br w:val="nil"/>
              <w:tr2bl w:val="nil"/>
            </w:tcBorders>
            <w:tcMar>
              <w:top w:w="16" w:type="dxa"/>
              <w:left w:w="16" w:type="dxa"/>
              <w:right w:w="16" w:type="dxa"/>
            </w:tcMar>
            <w:vAlign w:val="center"/>
          </w:tcPr>
          <w:p w14:paraId="5BCE4598">
            <w:pPr>
              <w:jc w:val="center"/>
              <w:rPr>
                <w:bCs/>
                <w:color w:val="auto"/>
                <w:sz w:val="24"/>
              </w:rPr>
            </w:pPr>
            <w:r>
              <w:rPr>
                <w:bCs/>
                <w:color w:val="auto"/>
                <w:sz w:val="24"/>
              </w:rPr>
              <w:t>建设地点</w:t>
            </w:r>
          </w:p>
        </w:tc>
        <w:tc>
          <w:tcPr>
            <w:tcW w:w="7902" w:type="dxa"/>
            <w:gridSpan w:val="3"/>
            <w:tcBorders>
              <w:tl2br w:val="nil"/>
              <w:tr2bl w:val="nil"/>
            </w:tcBorders>
            <w:vAlign w:val="center"/>
          </w:tcPr>
          <w:p w14:paraId="60203DE5">
            <w:pPr>
              <w:widowControl/>
              <w:jc w:val="left"/>
              <w:rPr>
                <w:bCs/>
                <w:color w:val="auto"/>
                <w:sz w:val="24"/>
              </w:rPr>
            </w:pPr>
            <w:r>
              <w:rPr>
                <w:color w:val="auto"/>
                <w:kern w:val="0"/>
                <w:sz w:val="24"/>
                <w:u w:val="single"/>
                <w:lang w:val="zh-CN"/>
              </w:rPr>
              <w:t>江苏</w:t>
            </w:r>
            <w:r>
              <w:rPr>
                <w:color w:val="auto"/>
                <w:kern w:val="0"/>
                <w:sz w:val="24"/>
                <w:lang w:val="zh-CN"/>
              </w:rPr>
              <w:t>省（自治区）</w:t>
            </w:r>
            <w:r>
              <w:rPr>
                <w:color w:val="auto"/>
                <w:kern w:val="0"/>
                <w:sz w:val="24"/>
                <w:u w:val="single"/>
                <w:lang w:val="zh-CN"/>
              </w:rPr>
              <w:t>常州</w:t>
            </w:r>
            <w:r>
              <w:rPr>
                <w:color w:val="auto"/>
                <w:kern w:val="0"/>
                <w:sz w:val="24"/>
                <w:lang w:val="zh-CN"/>
              </w:rPr>
              <w:t>市</w:t>
            </w:r>
            <w:r>
              <w:rPr>
                <w:rFonts w:hint="eastAsia"/>
                <w:color w:val="auto"/>
                <w:kern w:val="0"/>
                <w:sz w:val="24"/>
                <w:u w:val="single"/>
              </w:rPr>
              <w:t>金坛</w:t>
            </w:r>
            <w:r>
              <w:rPr>
                <w:color w:val="auto"/>
                <w:kern w:val="0"/>
                <w:sz w:val="24"/>
                <w:lang w:val="zh-CN"/>
              </w:rPr>
              <w:t>（区）</w:t>
            </w:r>
            <w:r>
              <w:rPr>
                <w:rFonts w:hint="eastAsia"/>
                <w:color w:val="auto"/>
                <w:sz w:val="24"/>
                <w:u w:val="single"/>
              </w:rPr>
              <w:t>直溪镇</w:t>
            </w:r>
            <w:r>
              <w:rPr>
                <w:color w:val="auto"/>
                <w:kern w:val="0"/>
                <w:sz w:val="24"/>
                <w:lang w:val="zh-CN"/>
              </w:rPr>
              <w:t>乡（街道）</w:t>
            </w:r>
            <w:r>
              <w:rPr>
                <w:rFonts w:hint="eastAsia"/>
                <w:color w:val="auto"/>
                <w:sz w:val="24"/>
                <w:u w:val="single"/>
              </w:rPr>
              <w:t>工业集中区直溪大道16号</w:t>
            </w:r>
          </w:p>
        </w:tc>
      </w:tr>
      <w:tr w14:paraId="43D792E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7" w:type="dxa"/>
            <w:tcBorders>
              <w:tl2br w:val="nil"/>
              <w:tr2bl w:val="nil"/>
            </w:tcBorders>
            <w:tcMar>
              <w:top w:w="16" w:type="dxa"/>
              <w:left w:w="16" w:type="dxa"/>
              <w:right w:w="16" w:type="dxa"/>
            </w:tcMar>
            <w:vAlign w:val="center"/>
          </w:tcPr>
          <w:p w14:paraId="7A3EDC4C">
            <w:pPr>
              <w:jc w:val="center"/>
              <w:rPr>
                <w:bCs/>
                <w:color w:val="auto"/>
                <w:sz w:val="24"/>
              </w:rPr>
            </w:pPr>
            <w:r>
              <w:rPr>
                <w:bCs/>
                <w:color w:val="auto"/>
                <w:sz w:val="24"/>
              </w:rPr>
              <w:t>地理坐标</w:t>
            </w:r>
          </w:p>
        </w:tc>
        <w:tc>
          <w:tcPr>
            <w:tcW w:w="7902" w:type="dxa"/>
            <w:gridSpan w:val="3"/>
            <w:tcBorders>
              <w:tl2br w:val="nil"/>
              <w:tr2bl w:val="nil"/>
            </w:tcBorders>
            <w:vAlign w:val="center"/>
          </w:tcPr>
          <w:p w14:paraId="4B0E1809">
            <w:pPr>
              <w:jc w:val="center"/>
              <w:rPr>
                <w:bCs/>
                <w:color w:val="auto"/>
                <w:sz w:val="24"/>
              </w:rPr>
            </w:pPr>
            <w:r>
              <w:rPr>
                <w:rFonts w:hint="eastAsia"/>
                <w:bCs/>
                <w:color w:val="auto"/>
                <w:sz w:val="24"/>
              </w:rPr>
              <w:t>119度28分5.592秒，31度47分16.008秒</w:t>
            </w:r>
          </w:p>
        </w:tc>
      </w:tr>
      <w:tr w14:paraId="4B96534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77" w:type="dxa"/>
            <w:tcBorders>
              <w:tl2br w:val="nil"/>
              <w:tr2bl w:val="nil"/>
            </w:tcBorders>
            <w:tcMar>
              <w:top w:w="16" w:type="dxa"/>
              <w:left w:w="16" w:type="dxa"/>
              <w:right w:w="16" w:type="dxa"/>
            </w:tcMar>
            <w:vAlign w:val="center"/>
          </w:tcPr>
          <w:p w14:paraId="5770A5EA">
            <w:pPr>
              <w:jc w:val="center"/>
              <w:rPr>
                <w:bCs/>
                <w:color w:val="auto"/>
                <w:sz w:val="24"/>
              </w:rPr>
            </w:pPr>
            <w:r>
              <w:rPr>
                <w:bCs/>
                <w:color w:val="auto"/>
                <w:sz w:val="24"/>
              </w:rPr>
              <w:t>国民经济</w:t>
            </w:r>
          </w:p>
          <w:p w14:paraId="59D45BF5">
            <w:pPr>
              <w:jc w:val="center"/>
              <w:rPr>
                <w:bCs/>
                <w:color w:val="auto"/>
                <w:sz w:val="24"/>
              </w:rPr>
            </w:pPr>
            <w:r>
              <w:rPr>
                <w:bCs/>
                <w:color w:val="auto"/>
                <w:sz w:val="24"/>
              </w:rPr>
              <w:t>行业类别</w:t>
            </w:r>
          </w:p>
        </w:tc>
        <w:tc>
          <w:tcPr>
            <w:tcW w:w="2491" w:type="dxa"/>
            <w:tcBorders>
              <w:tl2br w:val="nil"/>
              <w:tr2bl w:val="nil"/>
            </w:tcBorders>
            <w:vAlign w:val="center"/>
          </w:tcPr>
          <w:p w14:paraId="60436939">
            <w:pPr>
              <w:jc w:val="center"/>
              <w:rPr>
                <w:color w:val="auto"/>
              </w:rPr>
            </w:pPr>
            <w:r>
              <w:rPr>
                <w:rFonts w:hint="eastAsia"/>
                <w:color w:val="auto"/>
                <w:sz w:val="24"/>
              </w:rPr>
              <w:t>C3483弹簧制造</w:t>
            </w:r>
          </w:p>
        </w:tc>
        <w:tc>
          <w:tcPr>
            <w:tcW w:w="1913" w:type="dxa"/>
            <w:tcBorders>
              <w:tl2br w:val="nil"/>
              <w:tr2bl w:val="nil"/>
            </w:tcBorders>
            <w:vAlign w:val="center"/>
          </w:tcPr>
          <w:p w14:paraId="6795556D">
            <w:pPr>
              <w:adjustRightInd w:val="0"/>
              <w:jc w:val="center"/>
              <w:rPr>
                <w:bCs/>
                <w:color w:val="auto"/>
                <w:sz w:val="24"/>
              </w:rPr>
            </w:pPr>
            <w:bookmarkStart w:id="0" w:name="_Hlk49843745"/>
            <w:r>
              <w:rPr>
                <w:bCs/>
                <w:color w:val="auto"/>
                <w:sz w:val="24"/>
              </w:rPr>
              <w:t>建设项目</w:t>
            </w:r>
          </w:p>
          <w:p w14:paraId="447A0C13">
            <w:pPr>
              <w:adjustRightInd w:val="0"/>
              <w:jc w:val="center"/>
              <w:rPr>
                <w:bCs/>
                <w:color w:val="auto"/>
                <w:sz w:val="24"/>
              </w:rPr>
            </w:pPr>
            <w:r>
              <w:rPr>
                <w:bCs/>
                <w:color w:val="auto"/>
                <w:sz w:val="24"/>
              </w:rPr>
              <w:t>行业类别</w:t>
            </w:r>
            <w:bookmarkEnd w:id="0"/>
          </w:p>
        </w:tc>
        <w:tc>
          <w:tcPr>
            <w:tcW w:w="3498" w:type="dxa"/>
            <w:tcBorders>
              <w:tl2br w:val="nil"/>
              <w:tr2bl w:val="nil"/>
            </w:tcBorders>
            <w:vAlign w:val="center"/>
          </w:tcPr>
          <w:p w14:paraId="34251575">
            <w:pPr>
              <w:adjustRightInd w:val="0"/>
              <w:jc w:val="center"/>
              <w:rPr>
                <w:bCs/>
                <w:color w:val="auto"/>
                <w:sz w:val="24"/>
              </w:rPr>
            </w:pPr>
            <w:r>
              <w:rPr>
                <w:rFonts w:eastAsia="Times New Roman"/>
                <w:color w:val="auto"/>
                <w:sz w:val="24"/>
                <w:szCs w:val="24"/>
                <w:lang w:val="zh-CN"/>
              </w:rPr>
              <w:t>三十</w:t>
            </w:r>
            <w:r>
              <w:rPr>
                <w:rFonts w:hint="eastAsia"/>
                <w:color w:val="auto"/>
                <w:sz w:val="24"/>
                <w:szCs w:val="24"/>
              </w:rPr>
              <w:t>一</w:t>
            </w:r>
            <w:r>
              <w:rPr>
                <w:rFonts w:eastAsia="Times New Roman"/>
                <w:color w:val="auto"/>
                <w:sz w:val="24"/>
                <w:szCs w:val="24"/>
                <w:lang w:val="zh-CN"/>
              </w:rPr>
              <w:t>、</w:t>
            </w:r>
            <w:r>
              <w:rPr>
                <w:rFonts w:hint="eastAsia"/>
                <w:color w:val="auto"/>
                <w:sz w:val="24"/>
                <w:szCs w:val="24"/>
              </w:rPr>
              <w:t>通用设备制造业</w:t>
            </w:r>
            <w:r>
              <w:rPr>
                <w:rFonts w:eastAsia="Times New Roman"/>
                <w:color w:val="auto"/>
                <w:sz w:val="24"/>
                <w:szCs w:val="24"/>
                <w:lang w:val="zh-CN"/>
              </w:rPr>
              <w:t>3</w:t>
            </w:r>
            <w:r>
              <w:rPr>
                <w:rFonts w:hint="eastAsia"/>
                <w:color w:val="auto"/>
                <w:sz w:val="24"/>
                <w:szCs w:val="24"/>
              </w:rPr>
              <w:t>4</w:t>
            </w:r>
            <w:r>
              <w:rPr>
                <w:rFonts w:eastAsia="Times New Roman"/>
                <w:color w:val="auto"/>
                <w:sz w:val="24"/>
                <w:szCs w:val="24"/>
                <w:lang w:val="zh-CN"/>
              </w:rPr>
              <w:t>，</w:t>
            </w:r>
            <w:r>
              <w:rPr>
                <w:rFonts w:hint="eastAsia"/>
                <w:color w:val="auto"/>
                <w:sz w:val="24"/>
                <w:szCs w:val="24"/>
              </w:rPr>
              <w:t>通用零部件制造348</w:t>
            </w:r>
          </w:p>
        </w:tc>
      </w:tr>
      <w:tr w14:paraId="6F4C216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77" w:type="dxa"/>
            <w:tcBorders>
              <w:tl2br w:val="nil"/>
              <w:tr2bl w:val="nil"/>
            </w:tcBorders>
            <w:tcMar>
              <w:top w:w="16" w:type="dxa"/>
              <w:left w:w="16" w:type="dxa"/>
              <w:right w:w="16" w:type="dxa"/>
            </w:tcMar>
            <w:vAlign w:val="center"/>
          </w:tcPr>
          <w:p w14:paraId="5E42612D">
            <w:pPr>
              <w:jc w:val="center"/>
              <w:rPr>
                <w:bCs/>
                <w:color w:val="auto"/>
                <w:sz w:val="24"/>
              </w:rPr>
            </w:pPr>
            <w:r>
              <w:rPr>
                <w:bCs/>
                <w:color w:val="auto"/>
                <w:sz w:val="24"/>
              </w:rPr>
              <w:t>建设性质</w:t>
            </w:r>
          </w:p>
        </w:tc>
        <w:tc>
          <w:tcPr>
            <w:tcW w:w="2491" w:type="dxa"/>
            <w:tcBorders>
              <w:tl2br w:val="nil"/>
              <w:tr2bl w:val="nil"/>
            </w:tcBorders>
            <w:vAlign w:val="center"/>
          </w:tcPr>
          <w:p w14:paraId="4D93147B">
            <w:pPr>
              <w:jc w:val="left"/>
              <w:rPr>
                <w:bCs/>
                <w:color w:val="auto"/>
                <w:sz w:val="24"/>
              </w:rPr>
            </w:pPr>
            <w:r>
              <w:rPr>
                <w:bCs/>
                <w:color w:val="auto"/>
                <w:sz w:val="24"/>
              </w:rPr>
              <w:sym w:font="Wingdings 2" w:char="0052"/>
            </w:r>
            <w:r>
              <w:rPr>
                <w:bCs/>
                <w:color w:val="auto"/>
                <w:sz w:val="24"/>
              </w:rPr>
              <w:t>新建</w:t>
            </w:r>
          </w:p>
          <w:p w14:paraId="7F923011">
            <w:pPr>
              <w:jc w:val="left"/>
              <w:rPr>
                <w:bCs/>
                <w:color w:val="auto"/>
                <w:sz w:val="24"/>
              </w:rPr>
            </w:pPr>
            <w:r>
              <w:rPr>
                <w:bCs/>
                <w:color w:val="auto"/>
                <w:sz w:val="24"/>
              </w:rPr>
              <w:sym w:font="Wingdings 2" w:char="00A3"/>
            </w:r>
            <w:r>
              <w:rPr>
                <w:bCs/>
                <w:color w:val="auto"/>
                <w:sz w:val="24"/>
              </w:rPr>
              <w:t>改建</w:t>
            </w:r>
          </w:p>
          <w:p w14:paraId="32FFB1C5">
            <w:pPr>
              <w:jc w:val="left"/>
              <w:rPr>
                <w:bCs/>
                <w:color w:val="auto"/>
                <w:sz w:val="24"/>
              </w:rPr>
            </w:pPr>
            <w:r>
              <w:rPr>
                <w:bCs/>
                <w:color w:val="auto"/>
                <w:sz w:val="24"/>
              </w:rPr>
              <w:sym w:font="Wingdings 2" w:char="00A3"/>
            </w:r>
            <w:r>
              <w:rPr>
                <w:bCs/>
                <w:color w:val="auto"/>
                <w:sz w:val="24"/>
              </w:rPr>
              <w:t>扩建</w:t>
            </w:r>
          </w:p>
          <w:p w14:paraId="675CD3C4">
            <w:pPr>
              <w:jc w:val="left"/>
              <w:rPr>
                <w:bCs/>
                <w:color w:val="auto"/>
                <w:sz w:val="24"/>
              </w:rPr>
            </w:pPr>
            <w:r>
              <w:rPr>
                <w:bCs/>
                <w:color w:val="auto"/>
                <w:sz w:val="24"/>
              </w:rPr>
              <w:sym w:font="Wingdings 2" w:char="00A3"/>
            </w:r>
            <w:r>
              <w:rPr>
                <w:bCs/>
                <w:color w:val="auto"/>
                <w:sz w:val="24"/>
              </w:rPr>
              <w:t>技术改造</w:t>
            </w:r>
          </w:p>
        </w:tc>
        <w:tc>
          <w:tcPr>
            <w:tcW w:w="1913" w:type="dxa"/>
            <w:tcBorders>
              <w:tl2br w:val="nil"/>
              <w:tr2bl w:val="nil"/>
            </w:tcBorders>
            <w:vAlign w:val="center"/>
          </w:tcPr>
          <w:p w14:paraId="3B1030DC">
            <w:pPr>
              <w:adjustRightInd w:val="0"/>
              <w:jc w:val="center"/>
              <w:rPr>
                <w:bCs/>
                <w:color w:val="auto"/>
                <w:sz w:val="24"/>
              </w:rPr>
            </w:pPr>
            <w:r>
              <w:rPr>
                <w:bCs/>
                <w:color w:val="auto"/>
                <w:sz w:val="24"/>
              </w:rPr>
              <w:t>建设项目</w:t>
            </w:r>
          </w:p>
          <w:p w14:paraId="4F438EDB">
            <w:pPr>
              <w:adjustRightInd w:val="0"/>
              <w:jc w:val="center"/>
              <w:rPr>
                <w:bCs/>
                <w:color w:val="auto"/>
                <w:sz w:val="24"/>
              </w:rPr>
            </w:pPr>
            <w:r>
              <w:rPr>
                <w:bCs/>
                <w:color w:val="auto"/>
                <w:sz w:val="24"/>
              </w:rPr>
              <w:t>申报情形</w:t>
            </w:r>
          </w:p>
        </w:tc>
        <w:tc>
          <w:tcPr>
            <w:tcW w:w="3498" w:type="dxa"/>
            <w:tcBorders>
              <w:tl2br w:val="nil"/>
              <w:tr2bl w:val="nil"/>
            </w:tcBorders>
            <w:vAlign w:val="center"/>
          </w:tcPr>
          <w:p w14:paraId="564A1B19">
            <w:pPr>
              <w:jc w:val="left"/>
              <w:rPr>
                <w:bCs/>
                <w:color w:val="auto"/>
                <w:sz w:val="24"/>
              </w:rPr>
            </w:pPr>
            <w:r>
              <w:rPr>
                <w:bCs/>
                <w:color w:val="auto"/>
                <w:sz w:val="24"/>
              </w:rPr>
              <w:sym w:font="Wingdings 2" w:char="0052"/>
            </w:r>
            <w:r>
              <w:rPr>
                <w:bCs/>
                <w:color w:val="auto"/>
                <w:sz w:val="24"/>
              </w:rPr>
              <w:t>首次申报项目</w:t>
            </w:r>
          </w:p>
          <w:p w14:paraId="3271301A">
            <w:pPr>
              <w:jc w:val="left"/>
              <w:rPr>
                <w:bCs/>
                <w:color w:val="auto"/>
                <w:sz w:val="24"/>
              </w:rPr>
            </w:pPr>
            <w:r>
              <w:rPr>
                <w:bCs/>
                <w:color w:val="auto"/>
                <w:sz w:val="24"/>
              </w:rPr>
              <w:sym w:font="Wingdings 2" w:char="00A3"/>
            </w:r>
            <w:r>
              <w:rPr>
                <w:bCs/>
                <w:color w:val="auto"/>
                <w:sz w:val="24"/>
              </w:rPr>
              <w:t>不予批准后再次申报项目</w:t>
            </w:r>
          </w:p>
          <w:p w14:paraId="7EAE869D">
            <w:pPr>
              <w:jc w:val="left"/>
              <w:rPr>
                <w:bCs/>
                <w:color w:val="auto"/>
                <w:sz w:val="24"/>
              </w:rPr>
            </w:pPr>
            <w:r>
              <w:rPr>
                <w:bCs/>
                <w:color w:val="auto"/>
                <w:sz w:val="24"/>
              </w:rPr>
              <w:sym w:font="Wingdings 2" w:char="00A3"/>
            </w:r>
            <w:r>
              <w:rPr>
                <w:bCs/>
                <w:color w:val="auto"/>
                <w:sz w:val="24"/>
              </w:rPr>
              <w:t>超五年重新审核项目</w:t>
            </w:r>
          </w:p>
          <w:p w14:paraId="2EEC2C5C">
            <w:pPr>
              <w:jc w:val="left"/>
              <w:rPr>
                <w:bCs/>
                <w:color w:val="auto"/>
                <w:sz w:val="24"/>
              </w:rPr>
            </w:pPr>
            <w:r>
              <w:rPr>
                <w:bCs/>
                <w:color w:val="auto"/>
                <w:sz w:val="24"/>
              </w:rPr>
              <w:sym w:font="Wingdings 2" w:char="00A3"/>
            </w:r>
            <w:r>
              <w:rPr>
                <w:bCs/>
                <w:color w:val="auto"/>
                <w:sz w:val="24"/>
              </w:rPr>
              <w:t>重大变动重新报批项目</w:t>
            </w:r>
          </w:p>
        </w:tc>
      </w:tr>
      <w:tr w14:paraId="513B4EC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77" w:type="dxa"/>
            <w:tcBorders>
              <w:tl2br w:val="nil"/>
              <w:tr2bl w:val="nil"/>
            </w:tcBorders>
            <w:tcMar>
              <w:top w:w="16" w:type="dxa"/>
              <w:left w:w="16" w:type="dxa"/>
              <w:right w:w="16" w:type="dxa"/>
            </w:tcMar>
            <w:vAlign w:val="center"/>
          </w:tcPr>
          <w:p w14:paraId="1EBA515A">
            <w:pPr>
              <w:jc w:val="center"/>
              <w:rPr>
                <w:bCs/>
                <w:color w:val="auto"/>
                <w:sz w:val="24"/>
              </w:rPr>
            </w:pPr>
            <w:r>
              <w:rPr>
                <w:bCs/>
                <w:color w:val="auto"/>
                <w:sz w:val="24"/>
              </w:rPr>
              <w:t>项目审批</w:t>
            </w:r>
            <w:r>
              <w:rPr>
                <w:rFonts w:hint="eastAsia"/>
                <w:bCs/>
                <w:color w:val="auto"/>
                <w:sz w:val="24"/>
              </w:rPr>
              <w:t>（核准/备案）</w:t>
            </w:r>
            <w:r>
              <w:rPr>
                <w:bCs/>
                <w:color w:val="auto"/>
                <w:sz w:val="24"/>
              </w:rPr>
              <w:t>部门</w:t>
            </w:r>
          </w:p>
        </w:tc>
        <w:tc>
          <w:tcPr>
            <w:tcW w:w="2491" w:type="dxa"/>
            <w:tcBorders>
              <w:tl2br w:val="nil"/>
              <w:tr2bl w:val="nil"/>
            </w:tcBorders>
            <w:vAlign w:val="center"/>
          </w:tcPr>
          <w:p w14:paraId="18506122">
            <w:pPr>
              <w:spacing w:line="400" w:lineRule="exact"/>
              <w:rPr>
                <w:rFonts w:ascii="宋体" w:hAnsi="宋体" w:cs="宋体"/>
                <w:bCs/>
                <w:color w:val="auto"/>
                <w:sz w:val="24"/>
              </w:rPr>
            </w:pPr>
            <w:r>
              <w:rPr>
                <w:rFonts w:hint="eastAsia" w:ascii="宋体" w:hAnsi="宋体" w:cs="宋体"/>
                <w:color w:val="auto"/>
                <w:sz w:val="24"/>
                <w:lang w:val="zh-CN"/>
              </w:rPr>
              <w:t>常州市金坛区发展和改革局</w:t>
            </w:r>
          </w:p>
        </w:tc>
        <w:tc>
          <w:tcPr>
            <w:tcW w:w="1913" w:type="dxa"/>
            <w:tcBorders>
              <w:tl2br w:val="nil"/>
              <w:tr2bl w:val="nil"/>
            </w:tcBorders>
            <w:vAlign w:val="center"/>
          </w:tcPr>
          <w:p w14:paraId="12B74D71">
            <w:pPr>
              <w:spacing w:line="400" w:lineRule="exact"/>
              <w:rPr>
                <w:rFonts w:ascii="宋体" w:hAnsi="宋体" w:cs="宋体"/>
                <w:color w:val="auto"/>
                <w:sz w:val="24"/>
                <w:lang w:val="zh-CN"/>
              </w:rPr>
            </w:pPr>
            <w:r>
              <w:rPr>
                <w:rFonts w:hint="eastAsia" w:ascii="宋体" w:hAnsi="宋体" w:cs="宋体"/>
                <w:color w:val="auto"/>
                <w:sz w:val="24"/>
                <w:lang w:val="zh-CN"/>
              </w:rPr>
              <w:t>项目审批（核准/备案）文号</w:t>
            </w:r>
          </w:p>
        </w:tc>
        <w:tc>
          <w:tcPr>
            <w:tcW w:w="3498" w:type="dxa"/>
            <w:tcBorders>
              <w:tl2br w:val="nil"/>
              <w:tr2bl w:val="nil"/>
            </w:tcBorders>
            <w:vAlign w:val="center"/>
          </w:tcPr>
          <w:p w14:paraId="2835E675">
            <w:pPr>
              <w:spacing w:line="400" w:lineRule="exact"/>
              <w:jc w:val="center"/>
              <w:rPr>
                <w:rFonts w:ascii="宋体" w:hAnsi="宋体" w:cs="宋体"/>
                <w:color w:val="auto"/>
                <w:sz w:val="24"/>
                <w:lang w:val="zh-CN"/>
              </w:rPr>
            </w:pPr>
            <w:r>
              <w:rPr>
                <w:rFonts w:hint="eastAsia"/>
                <w:color w:val="auto"/>
                <w:sz w:val="24"/>
              </w:rPr>
              <w:t>坛发改备(2024)383号</w:t>
            </w:r>
          </w:p>
        </w:tc>
      </w:tr>
      <w:tr w14:paraId="427508E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7" w:type="dxa"/>
            <w:tcBorders>
              <w:tl2br w:val="nil"/>
              <w:tr2bl w:val="nil"/>
            </w:tcBorders>
            <w:tcMar>
              <w:top w:w="16" w:type="dxa"/>
              <w:left w:w="16" w:type="dxa"/>
              <w:right w:w="16" w:type="dxa"/>
            </w:tcMar>
            <w:vAlign w:val="center"/>
          </w:tcPr>
          <w:p w14:paraId="4F5C5990">
            <w:pPr>
              <w:jc w:val="center"/>
              <w:rPr>
                <w:bCs/>
                <w:color w:val="auto"/>
                <w:sz w:val="24"/>
              </w:rPr>
            </w:pPr>
            <w:r>
              <w:rPr>
                <w:bCs/>
                <w:color w:val="auto"/>
                <w:sz w:val="24"/>
              </w:rPr>
              <w:t>总投资（万元）</w:t>
            </w:r>
          </w:p>
        </w:tc>
        <w:tc>
          <w:tcPr>
            <w:tcW w:w="2491" w:type="dxa"/>
            <w:tcBorders>
              <w:tl2br w:val="nil"/>
              <w:tr2bl w:val="nil"/>
            </w:tcBorders>
            <w:vAlign w:val="center"/>
          </w:tcPr>
          <w:p w14:paraId="4BEC8F7A">
            <w:pPr>
              <w:adjustRightInd w:val="0"/>
              <w:jc w:val="center"/>
              <w:rPr>
                <w:bCs/>
                <w:color w:val="auto"/>
                <w:sz w:val="24"/>
              </w:rPr>
            </w:pPr>
            <w:r>
              <w:rPr>
                <w:rFonts w:hint="eastAsia"/>
                <w:bCs/>
                <w:color w:val="auto"/>
                <w:sz w:val="24"/>
              </w:rPr>
              <w:t>12000</w:t>
            </w:r>
          </w:p>
        </w:tc>
        <w:tc>
          <w:tcPr>
            <w:tcW w:w="1913" w:type="dxa"/>
            <w:tcBorders>
              <w:tl2br w:val="nil"/>
              <w:tr2bl w:val="nil"/>
            </w:tcBorders>
            <w:tcMar>
              <w:top w:w="16" w:type="dxa"/>
              <w:left w:w="16" w:type="dxa"/>
              <w:right w:w="16" w:type="dxa"/>
            </w:tcMar>
            <w:vAlign w:val="center"/>
          </w:tcPr>
          <w:p w14:paraId="69CCA947">
            <w:pPr>
              <w:adjustRightInd w:val="0"/>
              <w:jc w:val="center"/>
              <w:rPr>
                <w:bCs/>
                <w:color w:val="auto"/>
                <w:sz w:val="24"/>
              </w:rPr>
            </w:pPr>
            <w:r>
              <w:rPr>
                <w:bCs/>
                <w:color w:val="auto"/>
                <w:sz w:val="24"/>
              </w:rPr>
              <w:t>环保投资（万元）</w:t>
            </w:r>
          </w:p>
        </w:tc>
        <w:tc>
          <w:tcPr>
            <w:tcW w:w="3498" w:type="dxa"/>
            <w:tcBorders>
              <w:tl2br w:val="nil"/>
              <w:tr2bl w:val="nil"/>
            </w:tcBorders>
            <w:vAlign w:val="center"/>
          </w:tcPr>
          <w:p w14:paraId="2482A1B7">
            <w:pPr>
              <w:adjustRightInd w:val="0"/>
              <w:jc w:val="center"/>
              <w:rPr>
                <w:bCs/>
                <w:color w:val="auto"/>
                <w:sz w:val="24"/>
              </w:rPr>
            </w:pPr>
            <w:r>
              <w:rPr>
                <w:rFonts w:hint="eastAsia"/>
                <w:bCs/>
                <w:color w:val="auto"/>
                <w:sz w:val="24"/>
              </w:rPr>
              <w:t>115</w:t>
            </w:r>
          </w:p>
        </w:tc>
      </w:tr>
      <w:tr w14:paraId="26B4A5F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7" w:type="dxa"/>
            <w:tcBorders>
              <w:tl2br w:val="nil"/>
              <w:tr2bl w:val="nil"/>
            </w:tcBorders>
            <w:tcMar>
              <w:top w:w="16" w:type="dxa"/>
              <w:left w:w="16" w:type="dxa"/>
              <w:right w:w="16" w:type="dxa"/>
            </w:tcMar>
            <w:vAlign w:val="center"/>
          </w:tcPr>
          <w:p w14:paraId="57B1C637">
            <w:pPr>
              <w:jc w:val="center"/>
              <w:rPr>
                <w:bCs/>
                <w:color w:val="auto"/>
                <w:sz w:val="24"/>
              </w:rPr>
            </w:pPr>
            <w:r>
              <w:rPr>
                <w:bCs/>
                <w:color w:val="auto"/>
                <w:sz w:val="24"/>
              </w:rPr>
              <w:t>环保投资占比（%）</w:t>
            </w:r>
          </w:p>
        </w:tc>
        <w:tc>
          <w:tcPr>
            <w:tcW w:w="2491" w:type="dxa"/>
            <w:tcBorders>
              <w:tl2br w:val="nil"/>
              <w:tr2bl w:val="nil"/>
            </w:tcBorders>
            <w:vAlign w:val="center"/>
          </w:tcPr>
          <w:p w14:paraId="6B49A5E0">
            <w:pPr>
              <w:adjustRightInd w:val="0"/>
              <w:jc w:val="center"/>
              <w:rPr>
                <w:bCs/>
                <w:color w:val="auto"/>
                <w:sz w:val="24"/>
              </w:rPr>
            </w:pPr>
            <w:r>
              <w:rPr>
                <w:rFonts w:hint="eastAsia"/>
                <w:bCs/>
                <w:color w:val="auto"/>
                <w:sz w:val="24"/>
              </w:rPr>
              <w:t>0.958%</w:t>
            </w:r>
          </w:p>
        </w:tc>
        <w:tc>
          <w:tcPr>
            <w:tcW w:w="1913" w:type="dxa"/>
            <w:tcBorders>
              <w:tl2br w:val="nil"/>
              <w:tr2bl w:val="nil"/>
            </w:tcBorders>
            <w:tcMar>
              <w:top w:w="16" w:type="dxa"/>
              <w:left w:w="16" w:type="dxa"/>
              <w:right w:w="16" w:type="dxa"/>
            </w:tcMar>
            <w:vAlign w:val="center"/>
          </w:tcPr>
          <w:p w14:paraId="35DBF77F">
            <w:pPr>
              <w:adjustRightInd w:val="0"/>
              <w:jc w:val="center"/>
              <w:rPr>
                <w:bCs/>
                <w:color w:val="auto"/>
                <w:sz w:val="24"/>
              </w:rPr>
            </w:pPr>
            <w:r>
              <w:rPr>
                <w:bCs/>
                <w:color w:val="auto"/>
                <w:sz w:val="24"/>
              </w:rPr>
              <w:t>施工工期</w:t>
            </w:r>
          </w:p>
        </w:tc>
        <w:tc>
          <w:tcPr>
            <w:tcW w:w="3498" w:type="dxa"/>
            <w:tcBorders>
              <w:tl2br w:val="nil"/>
              <w:tr2bl w:val="nil"/>
            </w:tcBorders>
            <w:vAlign w:val="center"/>
          </w:tcPr>
          <w:p w14:paraId="217C383B">
            <w:pPr>
              <w:adjustRightInd w:val="0"/>
              <w:jc w:val="center"/>
              <w:rPr>
                <w:bCs/>
                <w:color w:val="auto"/>
                <w:sz w:val="24"/>
              </w:rPr>
            </w:pPr>
            <w:r>
              <w:rPr>
                <w:rFonts w:hint="eastAsia"/>
                <w:bCs/>
                <w:color w:val="auto"/>
                <w:sz w:val="24"/>
              </w:rPr>
              <w:t>6个月</w:t>
            </w:r>
          </w:p>
        </w:tc>
      </w:tr>
      <w:tr w14:paraId="2CC0EB8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7" w:type="dxa"/>
            <w:tcBorders>
              <w:tl2br w:val="nil"/>
              <w:tr2bl w:val="nil"/>
            </w:tcBorders>
            <w:tcMar>
              <w:top w:w="16" w:type="dxa"/>
              <w:left w:w="16" w:type="dxa"/>
              <w:right w:w="16" w:type="dxa"/>
            </w:tcMar>
            <w:vAlign w:val="center"/>
          </w:tcPr>
          <w:p w14:paraId="7FF18EF4">
            <w:pPr>
              <w:jc w:val="center"/>
              <w:rPr>
                <w:bCs/>
                <w:color w:val="auto"/>
                <w:sz w:val="24"/>
              </w:rPr>
            </w:pPr>
            <w:r>
              <w:rPr>
                <w:bCs/>
                <w:color w:val="auto"/>
                <w:sz w:val="24"/>
              </w:rPr>
              <w:t>是否开工建设</w:t>
            </w:r>
          </w:p>
        </w:tc>
        <w:tc>
          <w:tcPr>
            <w:tcW w:w="2491" w:type="dxa"/>
            <w:tcBorders>
              <w:tl2br w:val="nil"/>
              <w:tr2bl w:val="nil"/>
            </w:tcBorders>
            <w:vAlign w:val="center"/>
          </w:tcPr>
          <w:p w14:paraId="3B56B628">
            <w:pPr>
              <w:adjustRightInd w:val="0"/>
              <w:jc w:val="left"/>
              <w:rPr>
                <w:bCs/>
                <w:color w:val="auto"/>
                <w:sz w:val="24"/>
              </w:rPr>
            </w:pPr>
            <w:r>
              <w:rPr>
                <w:bCs/>
                <w:color w:val="auto"/>
                <w:sz w:val="24"/>
              </w:rPr>
              <w:sym w:font="Wingdings 2" w:char="0052"/>
            </w:r>
            <w:r>
              <w:rPr>
                <w:bCs/>
                <w:color w:val="auto"/>
                <w:sz w:val="24"/>
              </w:rPr>
              <w:t>否</w:t>
            </w:r>
          </w:p>
          <w:p w14:paraId="5C3EEB65">
            <w:pPr>
              <w:adjustRightInd w:val="0"/>
              <w:jc w:val="left"/>
              <w:rPr>
                <w:bCs/>
                <w:color w:val="auto"/>
                <w:sz w:val="24"/>
              </w:rPr>
            </w:pPr>
            <w:r>
              <w:rPr>
                <w:bCs/>
                <w:color w:val="auto"/>
                <w:sz w:val="24"/>
              </w:rPr>
              <w:sym w:font="Wingdings 2" w:char="00A3"/>
            </w:r>
            <w:r>
              <w:rPr>
                <w:bCs/>
                <w:color w:val="auto"/>
                <w:sz w:val="24"/>
              </w:rPr>
              <w:t>是：</w:t>
            </w:r>
          </w:p>
        </w:tc>
        <w:tc>
          <w:tcPr>
            <w:tcW w:w="1913" w:type="dxa"/>
            <w:tcBorders>
              <w:tl2br w:val="nil"/>
              <w:tr2bl w:val="nil"/>
            </w:tcBorders>
            <w:tcMar>
              <w:top w:w="16" w:type="dxa"/>
              <w:left w:w="16" w:type="dxa"/>
              <w:right w:w="16" w:type="dxa"/>
            </w:tcMar>
            <w:vAlign w:val="center"/>
          </w:tcPr>
          <w:p w14:paraId="526FF578">
            <w:pPr>
              <w:adjustRightInd w:val="0"/>
              <w:jc w:val="center"/>
              <w:rPr>
                <w:bCs/>
                <w:color w:val="auto"/>
                <w:spacing w:val="-6"/>
                <w:sz w:val="24"/>
              </w:rPr>
            </w:pPr>
            <w:r>
              <w:rPr>
                <w:bCs/>
                <w:color w:val="auto"/>
                <w:spacing w:val="-6"/>
                <w:sz w:val="24"/>
              </w:rPr>
              <w:t>用地（用海）</w:t>
            </w:r>
          </w:p>
          <w:p w14:paraId="2AA5E073">
            <w:pPr>
              <w:adjustRightInd w:val="0"/>
              <w:jc w:val="center"/>
              <w:rPr>
                <w:bCs/>
                <w:color w:val="auto"/>
                <w:sz w:val="24"/>
              </w:rPr>
            </w:pPr>
            <w:r>
              <w:rPr>
                <w:bCs/>
                <w:color w:val="auto"/>
                <w:spacing w:val="-6"/>
                <w:sz w:val="24"/>
              </w:rPr>
              <w:t>面积（m</w:t>
            </w:r>
            <w:r>
              <w:rPr>
                <w:bCs/>
                <w:color w:val="auto"/>
                <w:spacing w:val="-6"/>
                <w:sz w:val="24"/>
                <w:vertAlign w:val="superscript"/>
              </w:rPr>
              <w:t>2</w:t>
            </w:r>
            <w:r>
              <w:rPr>
                <w:bCs/>
                <w:color w:val="auto"/>
                <w:spacing w:val="-6"/>
                <w:sz w:val="24"/>
              </w:rPr>
              <w:t>）</w:t>
            </w:r>
          </w:p>
        </w:tc>
        <w:tc>
          <w:tcPr>
            <w:tcW w:w="3498" w:type="dxa"/>
            <w:tcBorders>
              <w:tl2br w:val="nil"/>
              <w:tr2bl w:val="nil"/>
            </w:tcBorders>
            <w:vAlign w:val="center"/>
          </w:tcPr>
          <w:p w14:paraId="48BEB9A8">
            <w:pPr>
              <w:adjustRightInd w:val="0"/>
              <w:jc w:val="center"/>
              <w:rPr>
                <w:bCs/>
                <w:color w:val="auto"/>
                <w:sz w:val="24"/>
              </w:rPr>
            </w:pPr>
            <w:r>
              <w:rPr>
                <w:rFonts w:hint="eastAsia"/>
                <w:color w:val="auto"/>
                <w:sz w:val="24"/>
                <w:szCs w:val="24"/>
              </w:rPr>
              <w:t>33286</w:t>
            </w:r>
            <w:r>
              <w:rPr>
                <w:bCs/>
                <w:color w:val="auto"/>
                <w:spacing w:val="-6"/>
                <w:sz w:val="24"/>
              </w:rPr>
              <w:t>m</w:t>
            </w:r>
            <w:r>
              <w:rPr>
                <w:bCs/>
                <w:color w:val="auto"/>
                <w:spacing w:val="-6"/>
                <w:sz w:val="24"/>
                <w:vertAlign w:val="superscript"/>
              </w:rPr>
              <w:t>2</w:t>
            </w:r>
          </w:p>
        </w:tc>
      </w:tr>
      <w:tr w14:paraId="3B508ED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277" w:type="dxa"/>
            <w:tcBorders>
              <w:tl2br w:val="nil"/>
              <w:tr2bl w:val="nil"/>
            </w:tcBorders>
            <w:vAlign w:val="center"/>
          </w:tcPr>
          <w:p w14:paraId="52DF3D28">
            <w:pPr>
              <w:jc w:val="center"/>
              <w:rPr>
                <w:bCs/>
                <w:color w:val="auto"/>
                <w:sz w:val="24"/>
              </w:rPr>
            </w:pPr>
            <w:r>
              <w:rPr>
                <w:bCs/>
                <w:color w:val="auto"/>
                <w:sz w:val="24"/>
              </w:rPr>
              <w:t>专项评价设置情况</w:t>
            </w:r>
          </w:p>
        </w:tc>
        <w:tc>
          <w:tcPr>
            <w:tcW w:w="7902" w:type="dxa"/>
            <w:gridSpan w:val="3"/>
            <w:tcBorders>
              <w:tl2br w:val="nil"/>
              <w:tr2bl w:val="nil"/>
            </w:tcBorders>
            <w:vAlign w:val="center"/>
          </w:tcPr>
          <w:p w14:paraId="5B4CF43E">
            <w:pPr>
              <w:rPr>
                <w:rFonts w:eastAsia="Times New Roman"/>
                <w:color w:val="auto"/>
                <w:sz w:val="24"/>
                <w:szCs w:val="24"/>
                <w:lang w:val="zh-CN"/>
              </w:rPr>
            </w:pPr>
            <w:r>
              <w:rPr>
                <w:rFonts w:hint="eastAsia" w:eastAsia="Times New Roman"/>
                <w:color w:val="auto"/>
                <w:sz w:val="24"/>
                <w:szCs w:val="24"/>
                <w:lang w:val="zh-CN"/>
              </w:rPr>
              <w:t>本项目无需设置专项评价，专项情况对照情况见下表：</w:t>
            </w:r>
          </w:p>
          <w:tbl>
            <w:tblPr>
              <w:tblStyle w:val="23"/>
              <w:tblW w:w="7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4065"/>
              <w:gridCol w:w="1455"/>
              <w:gridCol w:w="1094"/>
            </w:tblGrid>
            <w:tr w14:paraId="4843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14:paraId="0504C2C5">
                  <w:pPr>
                    <w:jc w:val="left"/>
                    <w:rPr>
                      <w:rFonts w:eastAsia="Times New Roman"/>
                      <w:color w:val="auto"/>
                      <w:lang w:val="zh-CN"/>
                    </w:rPr>
                  </w:pPr>
                  <w:r>
                    <w:rPr>
                      <w:color w:val="auto"/>
                      <w:lang w:val="zh-CN"/>
                    </w:rPr>
                    <w:t>类别</w:t>
                  </w:r>
                </w:p>
              </w:tc>
              <w:tc>
                <w:tcPr>
                  <w:tcW w:w="4065" w:type="dxa"/>
                  <w:vAlign w:val="center"/>
                </w:tcPr>
                <w:p w14:paraId="2BCC1987">
                  <w:pPr>
                    <w:jc w:val="center"/>
                    <w:rPr>
                      <w:rFonts w:eastAsia="Times New Roman"/>
                      <w:color w:val="auto"/>
                      <w:lang w:val="zh-CN"/>
                    </w:rPr>
                  </w:pPr>
                  <w:r>
                    <w:rPr>
                      <w:color w:val="auto"/>
                      <w:lang w:val="zh-CN"/>
                    </w:rPr>
                    <w:t>设置原则</w:t>
                  </w:r>
                </w:p>
              </w:tc>
              <w:tc>
                <w:tcPr>
                  <w:tcW w:w="1455" w:type="dxa"/>
                  <w:vAlign w:val="center"/>
                </w:tcPr>
                <w:p w14:paraId="2CF6B45C">
                  <w:pPr>
                    <w:jc w:val="center"/>
                    <w:rPr>
                      <w:rFonts w:eastAsia="Times New Roman"/>
                      <w:color w:val="auto"/>
                      <w:lang w:val="zh-CN"/>
                    </w:rPr>
                  </w:pPr>
                  <w:r>
                    <w:rPr>
                      <w:rFonts w:hint="eastAsia"/>
                      <w:color w:val="auto"/>
                    </w:rPr>
                    <w:t>对照情况</w:t>
                  </w:r>
                </w:p>
              </w:tc>
              <w:tc>
                <w:tcPr>
                  <w:tcW w:w="1094" w:type="dxa"/>
                  <w:vAlign w:val="center"/>
                </w:tcPr>
                <w:p w14:paraId="7F5C4F5D">
                  <w:pPr>
                    <w:jc w:val="center"/>
                    <w:rPr>
                      <w:rFonts w:eastAsia="Times New Roman"/>
                      <w:color w:val="auto"/>
                      <w:lang w:val="zh-CN"/>
                    </w:rPr>
                  </w:pPr>
                  <w:r>
                    <w:rPr>
                      <w:rFonts w:hint="eastAsia"/>
                      <w:color w:val="auto"/>
                    </w:rPr>
                    <w:t>是否设置</w:t>
                  </w:r>
                </w:p>
              </w:tc>
            </w:tr>
            <w:tr w14:paraId="09AC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14:paraId="08FEAB1B">
                  <w:pPr>
                    <w:jc w:val="center"/>
                    <w:rPr>
                      <w:rFonts w:eastAsia="Times New Roman"/>
                      <w:color w:val="auto"/>
                      <w:lang w:val="zh-CN"/>
                    </w:rPr>
                  </w:pPr>
                  <w:r>
                    <w:rPr>
                      <w:color w:val="auto"/>
                      <w:lang w:val="zh-CN"/>
                    </w:rPr>
                    <w:t>大气</w:t>
                  </w:r>
                </w:p>
              </w:tc>
              <w:tc>
                <w:tcPr>
                  <w:tcW w:w="4065" w:type="dxa"/>
                  <w:vAlign w:val="center"/>
                </w:tcPr>
                <w:p w14:paraId="38028A9C">
                  <w:pPr>
                    <w:jc w:val="left"/>
                    <w:rPr>
                      <w:rFonts w:eastAsia="Times New Roman"/>
                      <w:color w:val="auto"/>
                      <w:lang w:val="zh-CN"/>
                    </w:rPr>
                  </w:pPr>
                  <w:r>
                    <w:rPr>
                      <w:color w:val="auto"/>
                      <w:lang w:val="zh-CN"/>
                    </w:rPr>
                    <w:t>排放废气含有毒有害污染物</w:t>
                  </w:r>
                  <w:r>
                    <w:rPr>
                      <w:color w:val="auto"/>
                      <w:vertAlign w:val="superscript"/>
                      <w:lang w:val="zh-CN"/>
                    </w:rPr>
                    <w:t>1</w:t>
                  </w:r>
                  <w:r>
                    <w:rPr>
                      <w:color w:val="auto"/>
                      <w:lang w:val="zh-CN"/>
                    </w:rPr>
                    <w:t>、二嗯英、苯并</w:t>
                  </w:r>
                  <w:r>
                    <w:rPr>
                      <w:rFonts w:hint="eastAsia"/>
                      <w:color w:val="auto"/>
                      <w:lang w:val="zh-CN"/>
                    </w:rPr>
                    <w:t>〔</w:t>
                  </w:r>
                  <w:r>
                    <w:rPr>
                      <w:color w:val="auto"/>
                      <w:lang w:val="zh-CN"/>
                    </w:rPr>
                    <w:t>a</w:t>
                  </w:r>
                  <w:r>
                    <w:rPr>
                      <w:rFonts w:hint="eastAsia"/>
                      <w:color w:val="auto"/>
                      <w:lang w:val="zh-CN"/>
                    </w:rPr>
                    <w:t>〕</w:t>
                  </w:r>
                  <w:r>
                    <w:rPr>
                      <w:color w:val="auto"/>
                      <w:lang w:val="zh-CN"/>
                    </w:rPr>
                    <w:t>芪、氰化物、氯气且厂界外500米范围内有环境空气保护目标</w:t>
                  </w:r>
                  <w:r>
                    <w:rPr>
                      <w:rFonts w:hint="eastAsia"/>
                      <w:color w:val="auto"/>
                      <w:vertAlign w:val="superscript"/>
                    </w:rPr>
                    <w:t>2</w:t>
                  </w:r>
                  <w:r>
                    <w:rPr>
                      <w:color w:val="auto"/>
                      <w:lang w:val="zh-CN"/>
                    </w:rPr>
                    <w:t>的建设项目</w:t>
                  </w:r>
                </w:p>
              </w:tc>
              <w:tc>
                <w:tcPr>
                  <w:tcW w:w="1455" w:type="dxa"/>
                  <w:vAlign w:val="center"/>
                </w:tcPr>
                <w:p w14:paraId="3269206D">
                  <w:pPr>
                    <w:jc w:val="center"/>
                    <w:rPr>
                      <w:rFonts w:eastAsia="Times New Roman"/>
                      <w:color w:val="auto"/>
                      <w:lang w:val="zh-CN"/>
                    </w:rPr>
                  </w:pPr>
                  <w:r>
                    <w:rPr>
                      <w:rFonts w:hint="eastAsia"/>
                      <w:color w:val="auto"/>
                    </w:rPr>
                    <w:t>本项目不排放有毒有害污染物、二噁英等废气</w:t>
                  </w:r>
                </w:p>
              </w:tc>
              <w:tc>
                <w:tcPr>
                  <w:tcW w:w="1094" w:type="dxa"/>
                  <w:vAlign w:val="center"/>
                </w:tcPr>
                <w:p w14:paraId="6ABE68A2">
                  <w:pPr>
                    <w:jc w:val="center"/>
                    <w:rPr>
                      <w:rFonts w:eastAsia="Times New Roman"/>
                      <w:color w:val="auto"/>
                      <w:lang w:val="zh-CN"/>
                    </w:rPr>
                  </w:pPr>
                  <w:r>
                    <w:rPr>
                      <w:rFonts w:hint="eastAsia"/>
                      <w:color w:val="auto"/>
                    </w:rPr>
                    <w:t>否</w:t>
                  </w:r>
                </w:p>
              </w:tc>
            </w:tr>
            <w:tr w14:paraId="5CA4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14:paraId="1A72D4B5">
                  <w:pPr>
                    <w:jc w:val="center"/>
                    <w:rPr>
                      <w:rFonts w:eastAsia="Times New Roman"/>
                      <w:color w:val="auto"/>
                      <w:lang w:val="zh-CN"/>
                    </w:rPr>
                  </w:pPr>
                  <w:r>
                    <w:rPr>
                      <w:color w:val="auto"/>
                      <w:lang w:val="zh-CN"/>
                    </w:rPr>
                    <w:t>地表水</w:t>
                  </w:r>
                </w:p>
              </w:tc>
              <w:tc>
                <w:tcPr>
                  <w:tcW w:w="4065" w:type="dxa"/>
                  <w:vAlign w:val="center"/>
                </w:tcPr>
                <w:p w14:paraId="6B46E53B">
                  <w:pPr>
                    <w:jc w:val="left"/>
                    <w:rPr>
                      <w:color w:val="auto"/>
                    </w:rPr>
                  </w:pPr>
                  <w:r>
                    <w:rPr>
                      <w:color w:val="auto"/>
                      <w:lang w:val="zh-CN"/>
                    </w:rPr>
                    <w:t>新增工业废水直排建设项目（槽罐车外送污水处理厂的除外）</w:t>
                  </w:r>
                  <w:r>
                    <w:rPr>
                      <w:rFonts w:hint="eastAsia"/>
                      <w:color w:val="auto"/>
                    </w:rPr>
                    <w:t>;</w:t>
                  </w:r>
                </w:p>
                <w:p w14:paraId="4160C9AF">
                  <w:pPr>
                    <w:jc w:val="left"/>
                    <w:rPr>
                      <w:rFonts w:eastAsia="Times New Roman"/>
                      <w:color w:val="auto"/>
                      <w:lang w:val="zh-CN"/>
                    </w:rPr>
                  </w:pPr>
                  <w:r>
                    <w:rPr>
                      <w:color w:val="auto"/>
                      <w:lang w:val="zh-CN"/>
                    </w:rPr>
                    <w:t>新增废水直排的污水集中处理厂</w:t>
                  </w:r>
                </w:p>
              </w:tc>
              <w:tc>
                <w:tcPr>
                  <w:tcW w:w="1455" w:type="dxa"/>
                  <w:vAlign w:val="center"/>
                </w:tcPr>
                <w:p w14:paraId="7D38802D">
                  <w:pPr>
                    <w:jc w:val="center"/>
                    <w:rPr>
                      <w:rFonts w:eastAsia="Times New Roman"/>
                      <w:color w:val="auto"/>
                      <w:lang w:val="zh-CN"/>
                    </w:rPr>
                  </w:pPr>
                  <w:r>
                    <w:rPr>
                      <w:rFonts w:hint="eastAsia"/>
                      <w:color w:val="auto"/>
                    </w:rPr>
                    <w:t>不涉及</w:t>
                  </w:r>
                </w:p>
              </w:tc>
              <w:tc>
                <w:tcPr>
                  <w:tcW w:w="1094" w:type="dxa"/>
                  <w:vAlign w:val="center"/>
                </w:tcPr>
                <w:p w14:paraId="21AA35BC">
                  <w:pPr>
                    <w:jc w:val="center"/>
                    <w:rPr>
                      <w:rFonts w:eastAsia="Times New Roman"/>
                      <w:color w:val="auto"/>
                      <w:lang w:val="zh-CN"/>
                    </w:rPr>
                  </w:pPr>
                  <w:r>
                    <w:rPr>
                      <w:rFonts w:hint="eastAsia"/>
                      <w:color w:val="auto"/>
                    </w:rPr>
                    <w:t>否</w:t>
                  </w:r>
                </w:p>
              </w:tc>
            </w:tr>
            <w:tr w14:paraId="0F0C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14:paraId="15D5E39E">
                  <w:pPr>
                    <w:jc w:val="center"/>
                    <w:rPr>
                      <w:rFonts w:eastAsia="Times New Roman"/>
                      <w:color w:val="auto"/>
                      <w:lang w:val="zh-CN"/>
                    </w:rPr>
                  </w:pPr>
                  <w:r>
                    <w:rPr>
                      <w:color w:val="auto"/>
                      <w:lang w:val="zh-CN"/>
                    </w:rPr>
                    <w:t>环境风险</w:t>
                  </w:r>
                </w:p>
              </w:tc>
              <w:tc>
                <w:tcPr>
                  <w:tcW w:w="4065" w:type="dxa"/>
                  <w:vAlign w:val="center"/>
                </w:tcPr>
                <w:p w14:paraId="1A922353">
                  <w:pPr>
                    <w:jc w:val="left"/>
                    <w:rPr>
                      <w:rFonts w:eastAsia="Times New Roman"/>
                      <w:color w:val="auto"/>
                      <w:lang w:val="zh-CN"/>
                    </w:rPr>
                  </w:pPr>
                  <w:r>
                    <w:rPr>
                      <w:color w:val="auto"/>
                      <w:lang w:val="zh-CN"/>
                    </w:rPr>
                    <w:t>有毒有害和易燃易爆危险物质存储量超过临界量</w:t>
                  </w:r>
                  <w:r>
                    <w:rPr>
                      <w:color w:val="auto"/>
                      <w:vertAlign w:val="superscript"/>
                      <w:lang w:val="zh-CN"/>
                    </w:rPr>
                    <w:t>3</w:t>
                  </w:r>
                  <w:r>
                    <w:rPr>
                      <w:color w:val="auto"/>
                      <w:lang w:val="zh-CN"/>
                    </w:rPr>
                    <w:t>的建设项目</w:t>
                  </w:r>
                </w:p>
              </w:tc>
              <w:tc>
                <w:tcPr>
                  <w:tcW w:w="1455" w:type="dxa"/>
                  <w:vAlign w:val="center"/>
                </w:tcPr>
                <w:p w14:paraId="6E995F70">
                  <w:pPr>
                    <w:jc w:val="center"/>
                    <w:rPr>
                      <w:rFonts w:eastAsia="Times New Roman"/>
                      <w:color w:val="auto"/>
                      <w:lang w:val="zh-CN"/>
                    </w:rPr>
                  </w:pPr>
                  <w:r>
                    <w:rPr>
                      <w:rFonts w:hint="eastAsia"/>
                      <w:color w:val="auto"/>
                    </w:rPr>
                    <w:t>根据计算本项目危险物质储存量未超过临界量</w:t>
                  </w:r>
                </w:p>
              </w:tc>
              <w:tc>
                <w:tcPr>
                  <w:tcW w:w="1094" w:type="dxa"/>
                  <w:vAlign w:val="center"/>
                </w:tcPr>
                <w:p w14:paraId="40D25D98">
                  <w:pPr>
                    <w:jc w:val="center"/>
                    <w:rPr>
                      <w:rFonts w:eastAsia="Times New Roman"/>
                      <w:color w:val="auto"/>
                      <w:lang w:val="zh-CN"/>
                    </w:rPr>
                  </w:pPr>
                  <w:r>
                    <w:rPr>
                      <w:rFonts w:hint="eastAsia"/>
                      <w:color w:val="auto"/>
                    </w:rPr>
                    <w:t>否</w:t>
                  </w:r>
                </w:p>
              </w:tc>
            </w:tr>
            <w:tr w14:paraId="68AC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14:paraId="02BAEC92">
                  <w:pPr>
                    <w:jc w:val="center"/>
                    <w:rPr>
                      <w:rFonts w:eastAsia="Times New Roman"/>
                      <w:color w:val="auto"/>
                      <w:lang w:val="zh-CN"/>
                    </w:rPr>
                  </w:pPr>
                  <w:r>
                    <w:rPr>
                      <w:rFonts w:hint="eastAsia"/>
                      <w:color w:val="auto"/>
                    </w:rPr>
                    <w:t>生态</w:t>
                  </w:r>
                </w:p>
              </w:tc>
              <w:tc>
                <w:tcPr>
                  <w:tcW w:w="4065" w:type="dxa"/>
                  <w:vAlign w:val="center"/>
                </w:tcPr>
                <w:p w14:paraId="7BF821B5">
                  <w:pPr>
                    <w:jc w:val="left"/>
                    <w:rPr>
                      <w:rFonts w:eastAsia="Times New Roman"/>
                      <w:color w:val="auto"/>
                      <w:lang w:val="zh-CN"/>
                    </w:rPr>
                  </w:pPr>
                  <w:r>
                    <w:rPr>
                      <w:color w:val="auto"/>
                      <w:lang w:val="zh-CN"/>
                    </w:rPr>
                    <w:t>取水口下游500米范围内有重要水生生物的自然产卵场、索饵场、越冬场和洄游通道的新增河道取水的污染类建设项目</w:t>
                  </w:r>
                </w:p>
              </w:tc>
              <w:tc>
                <w:tcPr>
                  <w:tcW w:w="1455" w:type="dxa"/>
                  <w:vAlign w:val="center"/>
                </w:tcPr>
                <w:p w14:paraId="08A1740D">
                  <w:pPr>
                    <w:jc w:val="center"/>
                    <w:rPr>
                      <w:rFonts w:eastAsia="Times New Roman"/>
                      <w:color w:val="auto"/>
                      <w:lang w:val="zh-CN"/>
                    </w:rPr>
                  </w:pPr>
                  <w:r>
                    <w:rPr>
                      <w:rFonts w:hint="eastAsia"/>
                      <w:color w:val="auto"/>
                    </w:rPr>
                    <w:t>不涉及</w:t>
                  </w:r>
                </w:p>
              </w:tc>
              <w:tc>
                <w:tcPr>
                  <w:tcW w:w="1094" w:type="dxa"/>
                  <w:vAlign w:val="center"/>
                </w:tcPr>
                <w:p w14:paraId="6A99EA0C">
                  <w:pPr>
                    <w:jc w:val="center"/>
                    <w:rPr>
                      <w:rFonts w:eastAsia="Times New Roman"/>
                      <w:color w:val="auto"/>
                      <w:lang w:val="zh-CN"/>
                    </w:rPr>
                  </w:pPr>
                  <w:r>
                    <w:rPr>
                      <w:rFonts w:hint="eastAsia"/>
                      <w:color w:val="auto"/>
                    </w:rPr>
                    <w:t>否</w:t>
                  </w:r>
                </w:p>
              </w:tc>
            </w:tr>
            <w:tr w14:paraId="7338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14:paraId="346FE844">
                  <w:pPr>
                    <w:jc w:val="center"/>
                    <w:rPr>
                      <w:rFonts w:eastAsia="Times New Roman"/>
                      <w:color w:val="auto"/>
                      <w:lang w:val="zh-CN"/>
                    </w:rPr>
                  </w:pPr>
                  <w:r>
                    <w:rPr>
                      <w:color w:val="auto"/>
                      <w:lang w:val="zh-CN"/>
                    </w:rPr>
                    <w:t>海洋</w:t>
                  </w:r>
                </w:p>
              </w:tc>
              <w:tc>
                <w:tcPr>
                  <w:tcW w:w="4065" w:type="dxa"/>
                  <w:vAlign w:val="center"/>
                </w:tcPr>
                <w:p w14:paraId="4A7B70E5">
                  <w:pPr>
                    <w:jc w:val="left"/>
                    <w:rPr>
                      <w:rFonts w:eastAsia="Times New Roman"/>
                      <w:color w:val="auto"/>
                      <w:lang w:val="zh-CN"/>
                    </w:rPr>
                  </w:pPr>
                  <w:r>
                    <w:rPr>
                      <w:color w:val="auto"/>
                      <w:lang w:val="zh-CN"/>
                    </w:rPr>
                    <w:t>直接向海排放污染物的海洋工程建设项目</w:t>
                  </w:r>
                </w:p>
              </w:tc>
              <w:tc>
                <w:tcPr>
                  <w:tcW w:w="1455" w:type="dxa"/>
                  <w:vAlign w:val="center"/>
                </w:tcPr>
                <w:p w14:paraId="569604B1">
                  <w:pPr>
                    <w:jc w:val="center"/>
                    <w:rPr>
                      <w:rFonts w:eastAsia="Times New Roman"/>
                      <w:color w:val="auto"/>
                      <w:lang w:val="zh-CN"/>
                    </w:rPr>
                  </w:pPr>
                  <w:r>
                    <w:rPr>
                      <w:rFonts w:hint="eastAsia"/>
                      <w:color w:val="auto"/>
                    </w:rPr>
                    <w:t>不涉及</w:t>
                  </w:r>
                </w:p>
              </w:tc>
              <w:tc>
                <w:tcPr>
                  <w:tcW w:w="1094" w:type="dxa"/>
                  <w:vAlign w:val="center"/>
                </w:tcPr>
                <w:p w14:paraId="6960F533">
                  <w:pPr>
                    <w:jc w:val="center"/>
                    <w:rPr>
                      <w:rFonts w:eastAsia="Times New Roman"/>
                      <w:color w:val="auto"/>
                      <w:lang w:val="zh-CN"/>
                    </w:rPr>
                  </w:pPr>
                  <w:r>
                    <w:rPr>
                      <w:rFonts w:hint="eastAsia"/>
                      <w:color w:val="auto"/>
                    </w:rPr>
                    <w:t>否</w:t>
                  </w:r>
                </w:p>
              </w:tc>
            </w:tr>
          </w:tbl>
          <w:p w14:paraId="386D4340">
            <w:pPr>
              <w:rPr>
                <w:rFonts w:eastAsia="Times New Roman"/>
                <w:color w:val="auto"/>
                <w:sz w:val="18"/>
                <w:szCs w:val="18"/>
                <w:lang w:val="zh-CN"/>
              </w:rPr>
            </w:pPr>
            <w:r>
              <w:rPr>
                <w:rFonts w:eastAsia="Times New Roman"/>
                <w:color w:val="auto"/>
                <w:sz w:val="18"/>
                <w:szCs w:val="18"/>
                <w:lang w:val="zh-CN"/>
              </w:rPr>
              <w:t>注：1.废气中有毒有害污染物指纳入《</w:t>
            </w:r>
            <w:bookmarkStart w:id="1" w:name="OLE_LINK3"/>
            <w:r>
              <w:rPr>
                <w:rFonts w:eastAsia="Times New Roman"/>
                <w:color w:val="auto"/>
                <w:sz w:val="18"/>
                <w:szCs w:val="18"/>
                <w:lang w:val="zh-CN"/>
              </w:rPr>
              <w:t>有毒有害大气污染物名录</w:t>
            </w:r>
            <w:bookmarkEnd w:id="1"/>
            <w:r>
              <w:rPr>
                <w:rFonts w:eastAsia="Times New Roman"/>
                <w:color w:val="auto"/>
                <w:sz w:val="18"/>
                <w:szCs w:val="18"/>
                <w:lang w:val="zh-CN"/>
              </w:rPr>
              <w:t>》的污染物（不包括无排放标准的污染物）</w:t>
            </w:r>
            <w:r>
              <w:rPr>
                <w:rFonts w:hint="eastAsia" w:eastAsia="Times New Roman"/>
                <w:color w:val="auto"/>
                <w:sz w:val="18"/>
                <w:szCs w:val="18"/>
                <w:lang w:val="zh-CN"/>
              </w:rPr>
              <w:t>；</w:t>
            </w:r>
          </w:p>
          <w:p w14:paraId="52FDBD49">
            <w:pPr>
              <w:rPr>
                <w:rFonts w:eastAsia="Times New Roman"/>
                <w:color w:val="auto"/>
                <w:sz w:val="18"/>
                <w:szCs w:val="18"/>
                <w:lang w:val="zh-CN"/>
              </w:rPr>
            </w:pPr>
            <w:r>
              <w:rPr>
                <w:rFonts w:hint="eastAsia"/>
                <w:color w:val="auto"/>
                <w:sz w:val="18"/>
                <w:szCs w:val="18"/>
              </w:rPr>
              <w:t>2.</w:t>
            </w:r>
            <w:r>
              <w:rPr>
                <w:rFonts w:eastAsia="Times New Roman"/>
                <w:color w:val="auto"/>
                <w:sz w:val="18"/>
                <w:szCs w:val="18"/>
                <w:lang w:val="zh-CN"/>
              </w:rPr>
              <w:t>环境空气保护目标指自然保护区、风景名胜区、居住区、文化区和农村地区中人群较集中的区域；</w:t>
            </w:r>
          </w:p>
          <w:p w14:paraId="0D777A3E">
            <w:pPr>
              <w:pStyle w:val="8"/>
              <w:jc w:val="center"/>
              <w:rPr>
                <w:bCs/>
                <w:color w:val="auto"/>
              </w:rPr>
            </w:pPr>
            <w:r>
              <w:rPr>
                <w:rFonts w:eastAsia="Times New Roman"/>
                <w:color w:val="auto"/>
                <w:szCs w:val="18"/>
                <w:lang w:val="zh-CN"/>
              </w:rPr>
              <w:t>3.临界量及其计算方法可参考《建设项目环境风险评价技术导则》（HJ169）附录B、附录C。</w:t>
            </w:r>
          </w:p>
        </w:tc>
      </w:tr>
      <w:tr w14:paraId="3CEA248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7" w:type="dxa"/>
            <w:tcBorders>
              <w:tl2br w:val="nil"/>
              <w:tr2bl w:val="nil"/>
            </w:tcBorders>
            <w:vAlign w:val="center"/>
          </w:tcPr>
          <w:p w14:paraId="0AAC2CE6">
            <w:pPr>
              <w:jc w:val="center"/>
              <w:rPr>
                <w:bCs/>
                <w:color w:val="auto"/>
                <w:sz w:val="24"/>
              </w:rPr>
            </w:pPr>
            <w:r>
              <w:rPr>
                <w:bCs/>
                <w:color w:val="auto"/>
                <w:sz w:val="24"/>
              </w:rPr>
              <w:t>规划情况</w:t>
            </w:r>
          </w:p>
        </w:tc>
        <w:tc>
          <w:tcPr>
            <w:tcW w:w="7902" w:type="dxa"/>
            <w:gridSpan w:val="3"/>
            <w:tcBorders>
              <w:tl2br w:val="nil"/>
              <w:tr2bl w:val="nil"/>
            </w:tcBorders>
            <w:vAlign w:val="center"/>
          </w:tcPr>
          <w:p w14:paraId="0292EA25">
            <w:pPr>
              <w:pStyle w:val="9"/>
              <w:spacing w:after="0" w:line="360" w:lineRule="auto"/>
              <w:ind w:left="0" w:leftChars="0"/>
              <w:rPr>
                <w:rFonts w:hAnsi="宋体"/>
                <w:bCs/>
                <w:color w:val="auto"/>
                <w:szCs w:val="28"/>
              </w:rPr>
            </w:pPr>
            <w:r>
              <w:rPr>
                <w:rFonts w:hint="eastAsia" w:hAnsi="宋体"/>
                <w:bCs/>
                <w:color w:val="auto"/>
                <w:szCs w:val="28"/>
              </w:rPr>
              <w:t>名称：</w:t>
            </w:r>
            <w:r>
              <w:rPr>
                <w:color w:val="auto"/>
                <w:szCs w:val="24"/>
              </w:rPr>
              <w:t>江苏省金坛经济开发区直溪现代产业园（新兴产业区）发展规划（2023-2035年）</w:t>
            </w:r>
            <w:r>
              <w:rPr>
                <w:rFonts w:hint="eastAsia" w:hAnsi="宋体"/>
                <w:bCs/>
                <w:color w:val="auto"/>
                <w:szCs w:val="28"/>
              </w:rPr>
              <w:t>；</w:t>
            </w:r>
          </w:p>
          <w:p w14:paraId="6CF663A1">
            <w:pPr>
              <w:pStyle w:val="9"/>
              <w:spacing w:after="0" w:line="360" w:lineRule="auto"/>
              <w:ind w:left="0" w:leftChars="0"/>
              <w:rPr>
                <w:rFonts w:hAnsi="宋体"/>
                <w:bCs/>
                <w:color w:val="auto"/>
                <w:szCs w:val="28"/>
              </w:rPr>
            </w:pPr>
            <w:r>
              <w:rPr>
                <w:rFonts w:hint="eastAsia" w:hAnsi="宋体"/>
                <w:bCs/>
                <w:color w:val="auto"/>
                <w:szCs w:val="28"/>
              </w:rPr>
              <w:t>审批机关：/；</w:t>
            </w:r>
          </w:p>
          <w:p w14:paraId="2A024E8E">
            <w:pPr>
              <w:pStyle w:val="9"/>
              <w:spacing w:after="0" w:line="360" w:lineRule="auto"/>
              <w:ind w:left="0" w:leftChars="0"/>
              <w:rPr>
                <w:color w:val="auto"/>
              </w:rPr>
            </w:pPr>
            <w:r>
              <w:rPr>
                <w:rFonts w:hint="eastAsia" w:hAnsi="宋体"/>
                <w:bCs/>
                <w:color w:val="auto"/>
                <w:szCs w:val="28"/>
              </w:rPr>
              <w:t>审批文件名称及文号：</w:t>
            </w:r>
            <w:r>
              <w:rPr>
                <w:rFonts w:hint="eastAsia"/>
                <w:color w:val="auto"/>
              </w:rPr>
              <w:t>/</w:t>
            </w:r>
          </w:p>
        </w:tc>
      </w:tr>
      <w:tr w14:paraId="3FC332F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77" w:type="dxa"/>
            <w:tcBorders>
              <w:tl2br w:val="nil"/>
              <w:tr2bl w:val="nil"/>
            </w:tcBorders>
            <w:vAlign w:val="center"/>
          </w:tcPr>
          <w:p w14:paraId="26B956B4">
            <w:pPr>
              <w:adjustRightInd w:val="0"/>
              <w:jc w:val="center"/>
              <w:rPr>
                <w:bCs/>
                <w:color w:val="auto"/>
                <w:sz w:val="24"/>
              </w:rPr>
            </w:pPr>
            <w:r>
              <w:rPr>
                <w:bCs/>
                <w:color w:val="auto"/>
                <w:sz w:val="24"/>
              </w:rPr>
              <w:t>规划环境影响</w:t>
            </w:r>
          </w:p>
          <w:p w14:paraId="3BD4D09B">
            <w:pPr>
              <w:adjustRightInd w:val="0"/>
              <w:jc w:val="center"/>
              <w:rPr>
                <w:bCs/>
                <w:color w:val="auto"/>
                <w:kern w:val="0"/>
                <w:sz w:val="24"/>
              </w:rPr>
            </w:pPr>
            <w:r>
              <w:rPr>
                <w:bCs/>
                <w:color w:val="auto"/>
                <w:sz w:val="24"/>
              </w:rPr>
              <w:t>评价情况</w:t>
            </w:r>
          </w:p>
        </w:tc>
        <w:tc>
          <w:tcPr>
            <w:tcW w:w="7902" w:type="dxa"/>
            <w:gridSpan w:val="3"/>
            <w:tcBorders>
              <w:tl2br w:val="nil"/>
              <w:tr2bl w:val="nil"/>
            </w:tcBorders>
          </w:tcPr>
          <w:p w14:paraId="3564691E">
            <w:pPr>
              <w:pStyle w:val="9"/>
              <w:spacing w:after="0" w:line="360" w:lineRule="auto"/>
              <w:ind w:left="0" w:leftChars="0"/>
              <w:rPr>
                <w:color w:val="auto"/>
                <w:szCs w:val="21"/>
              </w:rPr>
            </w:pPr>
            <w:r>
              <w:rPr>
                <w:rFonts w:hint="eastAsia"/>
                <w:color w:val="auto"/>
                <w:szCs w:val="21"/>
              </w:rPr>
              <w:t>名称：《江苏省金坛经济开发区直溪现代产业园（新兴产业区）发展规划（2022-2035年）环境影响报告书》</w:t>
            </w:r>
          </w:p>
          <w:p w14:paraId="46A4BA5D">
            <w:pPr>
              <w:pStyle w:val="9"/>
              <w:spacing w:after="0" w:line="360" w:lineRule="auto"/>
              <w:ind w:left="0" w:leftChars="0"/>
              <w:rPr>
                <w:color w:val="auto"/>
                <w:szCs w:val="21"/>
              </w:rPr>
            </w:pPr>
            <w:r>
              <w:rPr>
                <w:rFonts w:hint="eastAsia"/>
                <w:color w:val="auto"/>
                <w:szCs w:val="21"/>
              </w:rPr>
              <w:t>审批机关：常州市生态环境局</w:t>
            </w:r>
          </w:p>
          <w:p w14:paraId="18F2CFCE">
            <w:pPr>
              <w:pStyle w:val="9"/>
              <w:spacing w:after="0" w:line="360" w:lineRule="auto"/>
              <w:ind w:left="0" w:leftChars="0"/>
              <w:rPr>
                <w:color w:val="auto"/>
                <w:szCs w:val="21"/>
              </w:rPr>
            </w:pPr>
            <w:r>
              <w:rPr>
                <w:rFonts w:hint="eastAsia"/>
                <w:color w:val="auto"/>
                <w:szCs w:val="21"/>
              </w:rPr>
              <w:t>审批文件名称及文号：《江苏省金坛经济开发区直溪现代产业园（新兴产业区）发展规划（2022-2035年）环境影响报告书的审查意见》（常环审〔2024〕8号）</w:t>
            </w:r>
          </w:p>
        </w:tc>
      </w:tr>
      <w:tr w14:paraId="13773E5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77" w:type="dxa"/>
            <w:tcBorders>
              <w:tl2br w:val="nil"/>
              <w:tr2bl w:val="nil"/>
            </w:tcBorders>
            <w:vAlign w:val="center"/>
          </w:tcPr>
          <w:p w14:paraId="6E37AF21">
            <w:pPr>
              <w:autoSpaceDE w:val="0"/>
              <w:autoSpaceDN w:val="0"/>
              <w:adjustRightInd w:val="0"/>
              <w:jc w:val="center"/>
              <w:rPr>
                <w:b/>
                <w:bCs/>
                <w:color w:val="auto"/>
                <w:kern w:val="0"/>
                <w:sz w:val="24"/>
              </w:rPr>
            </w:pPr>
            <w:r>
              <w:rPr>
                <w:color w:val="auto"/>
                <w:kern w:val="0"/>
                <w:sz w:val="24"/>
              </w:rPr>
              <w:t>规划及规划环境影响评价符合性分析</w:t>
            </w:r>
          </w:p>
        </w:tc>
        <w:tc>
          <w:tcPr>
            <w:tcW w:w="7902" w:type="dxa"/>
            <w:gridSpan w:val="3"/>
            <w:tcBorders>
              <w:tl2br w:val="nil"/>
              <w:tr2bl w:val="nil"/>
            </w:tcBorders>
            <w:vAlign w:val="center"/>
          </w:tcPr>
          <w:p w14:paraId="2E2D119D">
            <w:pPr>
              <w:pStyle w:val="9"/>
              <w:spacing w:after="0" w:line="360" w:lineRule="auto"/>
              <w:ind w:left="0" w:leftChars="0" w:firstLine="360" w:firstLineChars="150"/>
              <w:rPr>
                <w:rFonts w:hAnsi="宋体"/>
                <w:bCs/>
                <w:color w:val="auto"/>
                <w:szCs w:val="28"/>
              </w:rPr>
            </w:pPr>
            <w:r>
              <w:rPr>
                <w:rFonts w:hint="eastAsia" w:hAnsi="宋体"/>
                <w:bCs/>
                <w:color w:val="auto"/>
                <w:szCs w:val="28"/>
              </w:rPr>
              <w:t>（1）与</w:t>
            </w:r>
            <w:r>
              <w:rPr>
                <w:color w:val="auto"/>
                <w:szCs w:val="24"/>
              </w:rPr>
              <w:t>江苏省金坛经济开发区直溪现代产业园（新兴产业区）发展规划（2023-2035年）</w:t>
            </w:r>
            <w:r>
              <w:rPr>
                <w:rFonts w:hint="eastAsia" w:hAnsi="宋体"/>
                <w:bCs/>
                <w:color w:val="auto"/>
                <w:szCs w:val="28"/>
              </w:rPr>
              <w:t>符合性分析</w:t>
            </w:r>
          </w:p>
          <w:p w14:paraId="02BAF938">
            <w:pPr>
              <w:autoSpaceDE w:val="0"/>
              <w:autoSpaceDN w:val="0"/>
              <w:adjustRightInd w:val="0"/>
              <w:spacing w:line="360" w:lineRule="auto"/>
              <w:ind w:firstLine="480" w:firstLineChars="200"/>
              <w:rPr>
                <w:color w:val="auto"/>
                <w:sz w:val="24"/>
              </w:rPr>
            </w:pPr>
            <w:r>
              <w:rPr>
                <w:color w:val="auto"/>
                <w:sz w:val="24"/>
              </w:rPr>
              <w:t>1、规划范围</w:t>
            </w:r>
          </w:p>
          <w:p w14:paraId="347FE137">
            <w:pPr>
              <w:autoSpaceDE w:val="0"/>
              <w:autoSpaceDN w:val="0"/>
              <w:adjustRightInd w:val="0"/>
              <w:spacing w:line="360" w:lineRule="auto"/>
              <w:ind w:firstLine="480" w:firstLineChars="200"/>
              <w:rPr>
                <w:color w:val="auto"/>
                <w:sz w:val="24"/>
              </w:rPr>
            </w:pPr>
            <w:r>
              <w:rPr>
                <w:rFonts w:hint="eastAsia"/>
                <w:color w:val="auto"/>
                <w:sz w:val="24"/>
              </w:rPr>
              <w:t>江苏省金坛经济开发区直溪现代产业园（新兴产业区）</w:t>
            </w:r>
            <w:r>
              <w:rPr>
                <w:color w:val="auto"/>
                <w:sz w:val="24"/>
              </w:rPr>
              <w:t>规划范围东至</w:t>
            </w:r>
            <w:r>
              <w:rPr>
                <w:rFonts w:hint="eastAsia"/>
                <w:color w:val="auto"/>
                <w:sz w:val="24"/>
              </w:rPr>
              <w:t>坞家河</w:t>
            </w:r>
            <w:r>
              <w:rPr>
                <w:color w:val="auto"/>
                <w:sz w:val="24"/>
              </w:rPr>
              <w:t>，西至</w:t>
            </w:r>
            <w:r>
              <w:rPr>
                <w:rFonts w:hint="eastAsia"/>
                <w:color w:val="auto"/>
                <w:sz w:val="24"/>
              </w:rPr>
              <w:t>直别公路、直延路</w:t>
            </w:r>
            <w:r>
              <w:rPr>
                <w:color w:val="auto"/>
                <w:sz w:val="24"/>
              </w:rPr>
              <w:t>，南</w:t>
            </w:r>
            <w:r>
              <w:rPr>
                <w:rFonts w:hint="eastAsia"/>
                <w:color w:val="auto"/>
                <w:sz w:val="24"/>
              </w:rPr>
              <w:t>至</w:t>
            </w:r>
            <w:r>
              <w:rPr>
                <w:color w:val="auto"/>
                <w:sz w:val="24"/>
              </w:rPr>
              <w:t>金茅公路，北至亚溪路，规划用地面积</w:t>
            </w:r>
            <w:r>
              <w:rPr>
                <w:rFonts w:hint="eastAsia"/>
                <w:color w:val="auto"/>
                <w:sz w:val="24"/>
              </w:rPr>
              <w:t>6.01</w:t>
            </w:r>
            <w:r>
              <w:rPr>
                <w:color w:val="auto"/>
                <w:sz w:val="24"/>
              </w:rPr>
              <w:t>平方公里。</w:t>
            </w:r>
          </w:p>
          <w:p w14:paraId="297E4699">
            <w:pPr>
              <w:autoSpaceDE w:val="0"/>
              <w:autoSpaceDN w:val="0"/>
              <w:adjustRightInd w:val="0"/>
              <w:spacing w:line="360" w:lineRule="auto"/>
              <w:ind w:firstLine="482" w:firstLineChars="200"/>
              <w:rPr>
                <w:b/>
                <w:color w:val="auto"/>
                <w:sz w:val="24"/>
              </w:rPr>
            </w:pPr>
            <w:r>
              <w:rPr>
                <w:b/>
                <w:color w:val="auto"/>
                <w:sz w:val="24"/>
              </w:rPr>
              <w:t>本项目位于常州市金坛区直溪镇</w:t>
            </w:r>
            <w:r>
              <w:rPr>
                <w:rFonts w:hint="eastAsia"/>
                <w:b/>
                <w:color w:val="auto"/>
                <w:sz w:val="24"/>
              </w:rPr>
              <w:t>直溪大道16号</w:t>
            </w:r>
            <w:r>
              <w:rPr>
                <w:b/>
                <w:color w:val="auto"/>
                <w:sz w:val="24"/>
              </w:rPr>
              <w:t>，位于</w:t>
            </w:r>
            <w:r>
              <w:rPr>
                <w:rFonts w:hint="eastAsia"/>
                <w:b/>
                <w:color w:val="auto"/>
                <w:sz w:val="24"/>
              </w:rPr>
              <w:t>直溪现代产业园（新兴产业区）</w:t>
            </w:r>
            <w:r>
              <w:rPr>
                <w:b/>
                <w:color w:val="auto"/>
                <w:sz w:val="24"/>
              </w:rPr>
              <w:t>规划范围内，根据企业提供的不动产权证</w:t>
            </w:r>
            <w:r>
              <w:rPr>
                <w:rFonts w:hint="eastAsia"/>
                <w:b/>
                <w:color w:val="auto"/>
                <w:sz w:val="24"/>
              </w:rPr>
              <w:t>（苏（2018）金坛区不动产权第0037088号）</w:t>
            </w:r>
            <w:r>
              <w:rPr>
                <w:b/>
                <w:color w:val="auto"/>
                <w:sz w:val="24"/>
              </w:rPr>
              <w:t>，项目用地性质为工业用地，符合用地规划。因此本项目符合区域用地规划要求。</w:t>
            </w:r>
          </w:p>
          <w:p w14:paraId="606D2B3E">
            <w:pPr>
              <w:autoSpaceDE w:val="0"/>
              <w:autoSpaceDN w:val="0"/>
              <w:adjustRightInd w:val="0"/>
              <w:spacing w:line="360" w:lineRule="auto"/>
              <w:ind w:firstLine="480" w:firstLineChars="200"/>
              <w:rPr>
                <w:color w:val="auto"/>
                <w:sz w:val="24"/>
              </w:rPr>
            </w:pPr>
            <w:r>
              <w:rPr>
                <w:color w:val="auto"/>
                <w:sz w:val="24"/>
              </w:rPr>
              <w:t>2、产业定位</w:t>
            </w:r>
          </w:p>
          <w:p w14:paraId="33128DEB">
            <w:pPr>
              <w:autoSpaceDE w:val="0"/>
              <w:autoSpaceDN w:val="0"/>
              <w:adjustRightInd w:val="0"/>
              <w:spacing w:line="360" w:lineRule="auto"/>
              <w:ind w:firstLine="480" w:firstLineChars="200"/>
              <w:rPr>
                <w:color w:val="auto"/>
                <w:sz w:val="24"/>
              </w:rPr>
            </w:pPr>
            <w:r>
              <w:rPr>
                <w:color w:val="auto"/>
                <w:sz w:val="24"/>
              </w:rPr>
              <w:t>产业定位：</w:t>
            </w:r>
            <w:r>
              <w:rPr>
                <w:rFonts w:hint="eastAsia"/>
                <w:color w:val="auto"/>
                <w:sz w:val="24"/>
              </w:rPr>
              <w:t>园区基于园区现有产业基础，积极发挥新能源、医用新材料、新一代移动通信、绿色涂料等产业中龙头企业的引领作用，深化与常州、金坛园区的对接融合，加速全面融合进程，推进三次产业联动转型升级。保留提升现有并适当发展符合清洁生产要求的低污染传统产业。</w:t>
            </w:r>
          </w:p>
          <w:p w14:paraId="2216B9AF">
            <w:pPr>
              <w:spacing w:line="360" w:lineRule="auto"/>
              <w:ind w:firstLine="482" w:firstLineChars="200"/>
              <w:rPr>
                <w:b/>
                <w:color w:val="auto"/>
                <w:sz w:val="24"/>
              </w:rPr>
            </w:pPr>
            <w:r>
              <w:rPr>
                <w:b/>
                <w:color w:val="auto"/>
                <w:sz w:val="24"/>
              </w:rPr>
              <w:t>本项目从事</w:t>
            </w:r>
            <w:r>
              <w:rPr>
                <w:rFonts w:hint="eastAsia"/>
                <w:b/>
                <w:color w:val="auto"/>
                <w:sz w:val="24"/>
              </w:rPr>
              <w:t>气弹簧</w:t>
            </w:r>
            <w:r>
              <w:rPr>
                <w:b/>
                <w:color w:val="auto"/>
                <w:sz w:val="24"/>
              </w:rPr>
              <w:t>的生产，</w:t>
            </w:r>
            <w:r>
              <w:rPr>
                <w:rFonts w:hint="eastAsia"/>
                <w:b/>
                <w:color w:val="auto"/>
                <w:sz w:val="24"/>
              </w:rPr>
              <w:t>属于新能源汽车配套产品，</w:t>
            </w:r>
            <w:r>
              <w:rPr>
                <w:b/>
                <w:color w:val="auto"/>
                <w:sz w:val="24"/>
              </w:rPr>
              <w:t>与产业定位相容。</w:t>
            </w:r>
          </w:p>
          <w:p w14:paraId="181DE236">
            <w:pPr>
              <w:autoSpaceDE w:val="0"/>
              <w:autoSpaceDN w:val="0"/>
              <w:adjustRightInd w:val="0"/>
              <w:spacing w:line="360" w:lineRule="auto"/>
              <w:ind w:firstLine="480" w:firstLineChars="200"/>
              <w:rPr>
                <w:color w:val="auto"/>
                <w:sz w:val="24"/>
              </w:rPr>
            </w:pPr>
            <w:r>
              <w:rPr>
                <w:color w:val="auto"/>
                <w:sz w:val="24"/>
              </w:rPr>
              <w:t>3、用地布局规划</w:t>
            </w:r>
          </w:p>
          <w:p w14:paraId="0F0657A3">
            <w:pPr>
              <w:widowControl/>
              <w:spacing w:line="360" w:lineRule="auto"/>
              <w:ind w:firstLine="480" w:firstLineChars="200"/>
              <w:jc w:val="left"/>
              <w:rPr>
                <w:color w:val="auto"/>
                <w:sz w:val="24"/>
              </w:rPr>
            </w:pPr>
            <w:r>
              <w:rPr>
                <w:rFonts w:hint="eastAsia"/>
                <w:color w:val="auto"/>
                <w:kern w:val="0"/>
                <w:sz w:val="24"/>
                <w:lang w:bidi="ar"/>
              </w:rPr>
              <w:t>江苏省金坛经济开发区直溪现代产业园（新兴产业区）</w:t>
            </w:r>
            <w:r>
              <w:rPr>
                <w:color w:val="auto"/>
                <w:kern w:val="0"/>
                <w:sz w:val="24"/>
                <w:lang w:bidi="ar"/>
              </w:rPr>
              <w:t>此次总规划面积为</w:t>
            </w:r>
            <w:r>
              <w:rPr>
                <w:rFonts w:hint="eastAsia"/>
                <w:color w:val="auto"/>
                <w:kern w:val="0"/>
                <w:sz w:val="24"/>
                <w:lang w:bidi="ar"/>
              </w:rPr>
              <w:t>6.01</w:t>
            </w:r>
            <w:r>
              <w:rPr>
                <w:color w:val="auto"/>
                <w:kern w:val="0"/>
                <w:sz w:val="24"/>
                <w:lang w:bidi="ar"/>
              </w:rPr>
              <w:t>km</w:t>
            </w:r>
            <w:r>
              <w:rPr>
                <w:color w:val="auto"/>
                <w:kern w:val="0"/>
                <w:sz w:val="24"/>
                <w:vertAlign w:val="superscript"/>
                <w:lang w:bidi="ar"/>
              </w:rPr>
              <w:t>2</w:t>
            </w:r>
            <w:r>
              <w:rPr>
                <w:color w:val="auto"/>
                <w:kern w:val="0"/>
                <w:sz w:val="24"/>
                <w:lang w:bidi="ar"/>
              </w:rPr>
              <w:t>，以工业用地为主，面积</w:t>
            </w:r>
            <w:r>
              <w:rPr>
                <w:rFonts w:hint="eastAsia"/>
                <w:color w:val="auto"/>
                <w:kern w:val="0"/>
                <w:sz w:val="24"/>
                <w:lang w:bidi="ar"/>
              </w:rPr>
              <w:t>3.49平方公里</w:t>
            </w:r>
            <w:r>
              <w:rPr>
                <w:color w:val="auto"/>
                <w:kern w:val="0"/>
                <w:sz w:val="24"/>
                <w:lang w:bidi="ar"/>
              </w:rPr>
              <w:t>，其他为物流仓储用地、道路用地等。</w:t>
            </w:r>
          </w:p>
          <w:p w14:paraId="52528649">
            <w:pPr>
              <w:pStyle w:val="8"/>
              <w:snapToGrid/>
              <w:spacing w:before="0" w:after="0"/>
              <w:ind w:right="0" w:firstLine="482" w:firstLineChars="200"/>
              <w:rPr>
                <w:color w:val="auto"/>
              </w:rPr>
            </w:pPr>
            <w:r>
              <w:rPr>
                <w:b/>
                <w:color w:val="auto"/>
                <w:sz w:val="24"/>
                <w:szCs w:val="24"/>
              </w:rPr>
              <w:t>本项目位于</w:t>
            </w:r>
            <w:r>
              <w:rPr>
                <w:b/>
                <w:color w:val="auto"/>
                <w:sz w:val="24"/>
              </w:rPr>
              <w:t>常州市金坛区直溪镇</w:t>
            </w:r>
            <w:r>
              <w:rPr>
                <w:rFonts w:hint="eastAsia"/>
                <w:b/>
                <w:color w:val="auto"/>
                <w:sz w:val="24"/>
              </w:rPr>
              <w:t>直溪大道16号</w:t>
            </w:r>
            <w:r>
              <w:rPr>
                <w:b/>
                <w:color w:val="auto"/>
                <w:sz w:val="24"/>
                <w:szCs w:val="24"/>
              </w:rPr>
              <w:t>，根据直溪镇工业园区土地利用规划图，本项目所在地为工业用地，与规划相符。</w:t>
            </w:r>
          </w:p>
          <w:p w14:paraId="312A7D0C">
            <w:pPr>
              <w:autoSpaceDE w:val="0"/>
              <w:autoSpaceDN w:val="0"/>
              <w:adjustRightInd w:val="0"/>
              <w:spacing w:line="360" w:lineRule="auto"/>
              <w:ind w:firstLine="480" w:firstLineChars="200"/>
              <w:rPr>
                <w:color w:val="auto"/>
                <w:sz w:val="24"/>
              </w:rPr>
            </w:pPr>
            <w:r>
              <w:rPr>
                <w:color w:val="auto"/>
                <w:sz w:val="24"/>
              </w:rPr>
              <w:t>4、基础设施规划</w:t>
            </w:r>
          </w:p>
          <w:p w14:paraId="18BCABD8">
            <w:pPr>
              <w:widowControl/>
              <w:spacing w:line="360" w:lineRule="auto"/>
              <w:ind w:firstLine="480" w:firstLineChars="200"/>
              <w:rPr>
                <w:color w:val="auto"/>
                <w:sz w:val="24"/>
              </w:rPr>
            </w:pPr>
            <w:r>
              <w:rPr>
                <w:color w:val="auto"/>
                <w:kern w:val="0"/>
                <w:sz w:val="24"/>
                <w:lang w:bidi="ar"/>
              </w:rPr>
              <w:t>（1）给水</w:t>
            </w:r>
          </w:p>
          <w:p w14:paraId="2C5ACC2F">
            <w:pPr>
              <w:widowControl/>
              <w:spacing w:line="360" w:lineRule="auto"/>
              <w:ind w:firstLine="480" w:firstLineChars="200"/>
              <w:rPr>
                <w:color w:val="auto"/>
                <w:kern w:val="0"/>
                <w:sz w:val="24"/>
                <w:lang w:bidi="ar"/>
              </w:rPr>
            </w:pPr>
            <w:r>
              <w:rPr>
                <w:color w:val="auto"/>
                <w:kern w:val="0"/>
                <w:sz w:val="24"/>
                <w:lang w:bidi="ar"/>
              </w:rPr>
              <w:t>园区水源由金坛区市政给水管网统一供水，保留直溪镇给水增压站，远期向北扩大用地规模至8240m</w:t>
            </w:r>
            <w:r>
              <w:rPr>
                <w:color w:val="auto"/>
                <w:kern w:val="0"/>
                <w:sz w:val="24"/>
                <w:vertAlign w:val="superscript"/>
                <w:lang w:bidi="ar"/>
              </w:rPr>
              <w:t>2</w:t>
            </w:r>
            <w:r>
              <w:rPr>
                <w:color w:val="auto"/>
                <w:kern w:val="0"/>
                <w:sz w:val="24"/>
                <w:lang w:bidi="ar"/>
              </w:rPr>
              <w:t>，加压站供水处理能力达到4.0万m</w:t>
            </w:r>
            <w:r>
              <w:rPr>
                <w:color w:val="auto"/>
                <w:kern w:val="0"/>
                <w:sz w:val="24"/>
                <w:vertAlign w:val="superscript"/>
                <w:lang w:bidi="ar"/>
              </w:rPr>
              <w:t>3</w:t>
            </w:r>
            <w:r>
              <w:rPr>
                <w:color w:val="auto"/>
                <w:kern w:val="0"/>
                <w:sz w:val="24"/>
                <w:lang w:bidi="ar"/>
              </w:rPr>
              <w:t>/d。</w:t>
            </w:r>
          </w:p>
          <w:p w14:paraId="572AFD15">
            <w:pPr>
              <w:widowControl/>
              <w:spacing w:line="360" w:lineRule="auto"/>
              <w:ind w:firstLine="480" w:firstLineChars="200"/>
              <w:rPr>
                <w:color w:val="auto"/>
                <w:kern w:val="0"/>
                <w:sz w:val="24"/>
                <w:lang w:bidi="ar"/>
              </w:rPr>
            </w:pPr>
            <w:r>
              <w:rPr>
                <w:color w:val="auto"/>
                <w:kern w:val="0"/>
                <w:sz w:val="24"/>
                <w:lang w:bidi="ar"/>
              </w:rPr>
              <w:t>给水管网：规划保留从东侧自金茅公路、西直里路、兴业大道、健尔康路的配水主管DN800进入直溪镇给水加压站。由加压站出来，沿直东路、直延路、健尔康路敷设DN500-DN600的配水主干管，以保证园区供水安全可靠性。</w:t>
            </w:r>
          </w:p>
          <w:p w14:paraId="09F48EFD">
            <w:pPr>
              <w:widowControl/>
              <w:spacing w:line="360" w:lineRule="auto"/>
              <w:ind w:firstLine="482" w:firstLineChars="200"/>
              <w:rPr>
                <w:color w:val="auto"/>
              </w:rPr>
            </w:pPr>
            <w:r>
              <w:rPr>
                <w:b/>
                <w:bCs/>
                <w:color w:val="auto"/>
                <w:kern w:val="0"/>
                <w:sz w:val="24"/>
                <w:lang w:bidi="ar"/>
              </w:rPr>
              <w:t>本项目所在区域</w:t>
            </w:r>
            <w:r>
              <w:rPr>
                <w:rFonts w:hint="eastAsia"/>
                <w:b/>
                <w:bCs/>
                <w:color w:val="auto"/>
                <w:kern w:val="0"/>
                <w:sz w:val="24"/>
                <w:lang w:bidi="ar"/>
              </w:rPr>
              <w:t>给</w:t>
            </w:r>
            <w:r>
              <w:rPr>
                <w:b/>
                <w:bCs/>
                <w:color w:val="auto"/>
                <w:kern w:val="0"/>
                <w:sz w:val="24"/>
                <w:lang w:bidi="ar"/>
              </w:rPr>
              <w:t>水管已敷设到位。</w:t>
            </w:r>
          </w:p>
          <w:p w14:paraId="1E4AB913">
            <w:pPr>
              <w:widowControl/>
              <w:spacing w:line="360" w:lineRule="auto"/>
              <w:ind w:firstLine="480" w:firstLineChars="200"/>
              <w:rPr>
                <w:color w:val="auto"/>
                <w:sz w:val="24"/>
              </w:rPr>
            </w:pPr>
            <w:r>
              <w:rPr>
                <w:color w:val="auto"/>
                <w:kern w:val="0"/>
                <w:sz w:val="24"/>
                <w:lang w:bidi="ar"/>
              </w:rPr>
              <w:t>（2）排水</w:t>
            </w:r>
          </w:p>
          <w:p w14:paraId="1899FF65">
            <w:pPr>
              <w:widowControl/>
              <w:spacing w:line="360" w:lineRule="auto"/>
              <w:ind w:firstLine="480" w:firstLineChars="200"/>
              <w:rPr>
                <w:color w:val="auto"/>
                <w:kern w:val="0"/>
                <w:sz w:val="24"/>
                <w:lang w:bidi="ar"/>
              </w:rPr>
            </w:pPr>
            <w:r>
              <w:rPr>
                <w:color w:val="auto"/>
                <w:kern w:val="0"/>
                <w:sz w:val="24"/>
                <w:lang w:bidi="ar"/>
              </w:rPr>
              <w:t>园区规划形成雨污分流的排水体制；近期区内村庄居住点仍保留现状污水处理模式，园区内已建企业中，除健尔康医疗科技股份有限公司、常州健泽卫生材料有限公司单独设置的废水外排口（DW002）外，其余工业企业废水均接入溪城污水处理公司进行处理；远期区内生活污水与工业废水均接入溪城污水处理公司进行处理。溪城污水处理公司：规划在现有基础上（1万m</w:t>
            </w:r>
            <w:r>
              <w:rPr>
                <w:color w:val="auto"/>
                <w:kern w:val="0"/>
                <w:sz w:val="24"/>
                <w:vertAlign w:val="superscript"/>
                <w:lang w:bidi="ar"/>
              </w:rPr>
              <w:t>3</w:t>
            </w:r>
            <w:r>
              <w:rPr>
                <w:color w:val="auto"/>
                <w:kern w:val="0"/>
                <w:sz w:val="24"/>
                <w:lang w:bidi="ar"/>
              </w:rPr>
              <w:t>/d）原址扩建，近期（2025年）规模为2.0万m</w:t>
            </w:r>
            <w:r>
              <w:rPr>
                <w:color w:val="auto"/>
                <w:kern w:val="0"/>
                <w:sz w:val="24"/>
                <w:vertAlign w:val="superscript"/>
                <w:lang w:bidi="ar"/>
              </w:rPr>
              <w:t>3</w:t>
            </w:r>
            <w:r>
              <w:rPr>
                <w:color w:val="auto"/>
                <w:kern w:val="0"/>
                <w:sz w:val="24"/>
                <w:lang w:bidi="ar"/>
              </w:rPr>
              <w:t>/d（目前已扩建完毕，在试运行中），其中工业废水占比不超过55%，服务范围为直溪镇区、朱林镇区；远期（2030年）规模为3.0万m</w:t>
            </w:r>
            <w:r>
              <w:rPr>
                <w:color w:val="auto"/>
                <w:kern w:val="0"/>
                <w:sz w:val="24"/>
                <w:vertAlign w:val="superscript"/>
                <w:lang w:bidi="ar"/>
              </w:rPr>
              <w:t>3</w:t>
            </w:r>
            <w:r>
              <w:rPr>
                <w:color w:val="auto"/>
                <w:kern w:val="0"/>
                <w:sz w:val="24"/>
                <w:lang w:bidi="ar"/>
              </w:rPr>
              <w:t>/d，服务范围增加西阳、茅簏、登冠、建昌。污水经处理达标后50%排入至厂区西侧小湿地公园作为绿化、景观补充水，剩余50%排入熊家河后流入通济河。</w:t>
            </w:r>
          </w:p>
          <w:p w14:paraId="3F5C3216">
            <w:pPr>
              <w:widowControl/>
              <w:spacing w:line="360" w:lineRule="auto"/>
              <w:ind w:firstLine="480" w:firstLineChars="200"/>
              <w:rPr>
                <w:color w:val="auto"/>
                <w:kern w:val="0"/>
                <w:sz w:val="24"/>
                <w:lang w:bidi="ar"/>
              </w:rPr>
            </w:pPr>
            <w:r>
              <w:rPr>
                <w:color w:val="auto"/>
                <w:kern w:val="0"/>
                <w:sz w:val="24"/>
                <w:lang w:bidi="ar"/>
              </w:rPr>
              <w:t>污水管网：主要沿西直里路、直里路、直溪大道布置污水DN500-800管进入污水处理厂，沿中心河东侧布置管径DN400-DN600。东方日升企业周边规划配有DN600污水专管。污水管沿园区道路东、南侧布置，埋设于车行道下方，埋深不低于0.7米。</w:t>
            </w:r>
          </w:p>
          <w:p w14:paraId="474CD72C">
            <w:pPr>
              <w:widowControl/>
              <w:spacing w:line="360" w:lineRule="auto"/>
              <w:ind w:firstLine="482" w:firstLineChars="200"/>
              <w:rPr>
                <w:color w:val="auto"/>
                <w:kern w:val="0"/>
                <w:sz w:val="24"/>
                <w:lang w:bidi="ar"/>
              </w:rPr>
            </w:pPr>
            <w:r>
              <w:rPr>
                <w:b/>
                <w:bCs/>
                <w:color w:val="auto"/>
                <w:kern w:val="0"/>
                <w:sz w:val="24"/>
                <w:lang w:bidi="ar"/>
              </w:rPr>
              <w:t>本项目所在区域污水管已敷设到位，可接入污水处理厂。</w:t>
            </w:r>
          </w:p>
          <w:p w14:paraId="7FB5BAF9">
            <w:pPr>
              <w:widowControl/>
              <w:spacing w:line="360" w:lineRule="auto"/>
              <w:ind w:firstLine="480" w:firstLineChars="200"/>
              <w:rPr>
                <w:color w:val="auto"/>
                <w:sz w:val="24"/>
              </w:rPr>
            </w:pPr>
            <w:r>
              <w:rPr>
                <w:color w:val="auto"/>
                <w:kern w:val="0"/>
                <w:sz w:val="24"/>
                <w:lang w:bidi="ar"/>
              </w:rPr>
              <w:t>（3）燃气</w:t>
            </w:r>
          </w:p>
          <w:p w14:paraId="2CB85C2C">
            <w:pPr>
              <w:widowControl/>
              <w:spacing w:line="360" w:lineRule="auto"/>
              <w:ind w:firstLine="480" w:firstLineChars="200"/>
              <w:rPr>
                <w:color w:val="auto"/>
                <w:kern w:val="0"/>
                <w:sz w:val="24"/>
                <w:lang w:bidi="ar"/>
              </w:rPr>
            </w:pPr>
            <w:r>
              <w:rPr>
                <w:color w:val="auto"/>
                <w:kern w:val="0"/>
                <w:sz w:val="24"/>
                <w:lang w:bidi="ar"/>
              </w:rPr>
              <w:t>燃气站：直溪高中压调压站位于直溪镇直东路与直延路交叉口东南侧（园区内），设计供气能力0.5万Nm3/h，占地面积0.27hm</w:t>
            </w:r>
            <w:r>
              <w:rPr>
                <w:color w:val="auto"/>
                <w:kern w:val="0"/>
                <w:sz w:val="24"/>
                <w:vertAlign w:val="superscript"/>
                <w:lang w:bidi="ar"/>
              </w:rPr>
              <w:t>2</w:t>
            </w:r>
            <w:r>
              <w:rPr>
                <w:color w:val="auto"/>
                <w:kern w:val="0"/>
                <w:sz w:val="24"/>
                <w:lang w:bidi="ar"/>
              </w:rPr>
              <w:t>。气源分别从中石油分输站（直溪汀湘）、省天然气公司分输站（茅麓下杖）引入。</w:t>
            </w:r>
          </w:p>
          <w:p w14:paraId="5EC7E60A">
            <w:pPr>
              <w:widowControl/>
              <w:spacing w:line="360" w:lineRule="auto"/>
              <w:ind w:firstLine="480" w:firstLineChars="200"/>
              <w:rPr>
                <w:color w:val="auto"/>
                <w:kern w:val="0"/>
                <w:sz w:val="24"/>
                <w:lang w:bidi="ar"/>
              </w:rPr>
            </w:pPr>
            <w:r>
              <w:rPr>
                <w:color w:val="auto"/>
                <w:kern w:val="0"/>
                <w:sz w:val="24"/>
                <w:lang w:bidi="ar"/>
              </w:rPr>
              <w:t>燃气管网：园区内高压干管主要沿直延路、直东路敷设，管径DN500，压力4.0MPa。中压燃气管沿主次干路敷设，管径DN200~DN300，压力2.5MPa。园区中压干管采用环状布置方式布置，中压支管布置成支状；低压管道根据自然地理条件建设时序成片，确保供气效果。燃气管道一般布置在道路西、北侧</w:t>
            </w:r>
            <w:r>
              <w:rPr>
                <w:rFonts w:hint="eastAsia"/>
                <w:color w:val="auto"/>
                <w:kern w:val="0"/>
                <w:sz w:val="24"/>
                <w:lang w:bidi="ar"/>
              </w:rPr>
              <w:t>。</w:t>
            </w:r>
          </w:p>
          <w:p w14:paraId="2AD29D82">
            <w:pPr>
              <w:widowControl/>
              <w:spacing w:line="360" w:lineRule="auto"/>
              <w:ind w:firstLine="480" w:firstLineChars="200"/>
              <w:rPr>
                <w:color w:val="auto"/>
                <w:sz w:val="24"/>
              </w:rPr>
            </w:pPr>
            <w:r>
              <w:rPr>
                <w:color w:val="auto"/>
                <w:kern w:val="0"/>
                <w:sz w:val="24"/>
                <w:lang w:bidi="ar"/>
              </w:rPr>
              <w:t>（4）电力</w:t>
            </w:r>
          </w:p>
          <w:p w14:paraId="5AEBF281">
            <w:pPr>
              <w:spacing w:line="360" w:lineRule="auto"/>
              <w:ind w:firstLine="480" w:firstLineChars="200"/>
              <w:rPr>
                <w:color w:val="auto"/>
                <w:kern w:val="0"/>
                <w:sz w:val="24"/>
                <w:lang w:bidi="ar"/>
              </w:rPr>
            </w:pPr>
            <w:r>
              <w:rPr>
                <w:color w:val="auto"/>
                <w:kern w:val="0"/>
                <w:sz w:val="24"/>
                <w:lang w:bidi="ar"/>
              </w:rPr>
              <w:t>变电所：规划园区范围内将现状110kV直溪变增容扩建，新增2台63MVA主变，容量达到2*63MVA。220kV坞家变电站，近期新增1台主变，单台主变容量180MVA，容量达到2*180MVA。</w:t>
            </w:r>
          </w:p>
          <w:p w14:paraId="57884C60">
            <w:pPr>
              <w:spacing w:line="360" w:lineRule="auto"/>
              <w:ind w:firstLine="480" w:firstLineChars="200"/>
              <w:rPr>
                <w:color w:val="auto"/>
                <w:kern w:val="0"/>
                <w:sz w:val="24"/>
                <w:lang w:bidi="ar"/>
              </w:rPr>
            </w:pPr>
            <w:r>
              <w:rPr>
                <w:color w:val="auto"/>
                <w:kern w:val="0"/>
                <w:sz w:val="24"/>
                <w:lang w:bidi="ar"/>
              </w:rPr>
              <w:t>供电线路：规划预留220kv坞家变至扬沿变220kV线路通道；规划预留220kv坞家变至直溪变的110kV线路；现状35kV线路保留，影响地块建设的局部迁移改造；可根据需要采用合适的敷设方式。架空线路采用同杆双回或多回，以道路东、南侧为主要通道。</w:t>
            </w:r>
          </w:p>
          <w:p w14:paraId="7E0E2E6F">
            <w:pPr>
              <w:spacing w:line="360" w:lineRule="auto"/>
              <w:ind w:firstLine="480" w:firstLineChars="200"/>
              <w:rPr>
                <w:color w:val="auto"/>
                <w:kern w:val="0"/>
                <w:sz w:val="24"/>
                <w:lang w:bidi="ar"/>
              </w:rPr>
            </w:pPr>
            <w:r>
              <w:rPr>
                <w:color w:val="auto"/>
                <w:kern w:val="0"/>
                <w:sz w:val="24"/>
                <w:lang w:bidi="ar"/>
              </w:rPr>
              <w:t>（5）资源环境承载力</w:t>
            </w:r>
          </w:p>
          <w:p w14:paraId="70A456F4">
            <w:pPr>
              <w:spacing w:line="360" w:lineRule="auto"/>
              <w:ind w:firstLine="480" w:firstLineChars="200"/>
              <w:rPr>
                <w:color w:val="auto"/>
                <w:kern w:val="0"/>
                <w:sz w:val="24"/>
                <w:lang w:bidi="ar"/>
              </w:rPr>
            </w:pPr>
            <w:r>
              <w:rPr>
                <w:rFonts w:hint="eastAsia"/>
                <w:color w:val="auto"/>
                <w:kern w:val="0"/>
                <w:sz w:val="24"/>
                <w:lang w:bidi="ar"/>
              </w:rPr>
              <w:t>水环境承载力：园区水源由金坛区市政给水管网统一供水，保留直溪镇给水增压站，远期向北扩大用地规模至8240m</w:t>
            </w:r>
            <w:r>
              <w:rPr>
                <w:rFonts w:hint="eastAsia"/>
                <w:color w:val="auto"/>
                <w:kern w:val="0"/>
                <w:sz w:val="24"/>
                <w:vertAlign w:val="superscript"/>
                <w:lang w:bidi="ar"/>
              </w:rPr>
              <w:t>2</w:t>
            </w:r>
            <w:r>
              <w:rPr>
                <w:rFonts w:hint="eastAsia"/>
                <w:color w:val="auto"/>
                <w:kern w:val="0"/>
                <w:sz w:val="24"/>
                <w:lang w:bidi="ar"/>
              </w:rPr>
              <w:t>，加压站供水处理能力达到4.0万m</w:t>
            </w:r>
            <w:r>
              <w:rPr>
                <w:rFonts w:hint="eastAsia"/>
                <w:color w:val="auto"/>
                <w:kern w:val="0"/>
                <w:sz w:val="24"/>
                <w:vertAlign w:val="superscript"/>
                <w:lang w:bidi="ar"/>
              </w:rPr>
              <w:t>3</w:t>
            </w:r>
            <w:r>
              <w:rPr>
                <w:rFonts w:hint="eastAsia"/>
                <w:color w:val="auto"/>
                <w:kern w:val="0"/>
                <w:sz w:val="24"/>
                <w:lang w:bidi="ar"/>
              </w:rPr>
              <w:t>/d。园区目前正在建设时期，后期生产生活用水都将逐步增长，每日需水量日益加大。根据预测，规划末期园区用水总量为1.02万m</w:t>
            </w:r>
            <w:r>
              <w:rPr>
                <w:rFonts w:hint="eastAsia"/>
                <w:color w:val="auto"/>
                <w:kern w:val="0"/>
                <w:sz w:val="24"/>
                <w:vertAlign w:val="superscript"/>
                <w:lang w:bidi="ar"/>
              </w:rPr>
              <w:t>3</w:t>
            </w:r>
            <w:r>
              <w:rPr>
                <w:rFonts w:hint="eastAsia"/>
                <w:color w:val="auto"/>
                <w:kern w:val="0"/>
                <w:sz w:val="24"/>
                <w:lang w:bidi="ar"/>
              </w:rPr>
              <w:t>/d，对比未来供水能力，园区所需水资源在供给方水资源承载力范围内园区规划采用区域集中供水的方式，不采用地下水资源。园区的建设不会影响区域地下水资源环境承载力。</w:t>
            </w:r>
          </w:p>
          <w:p w14:paraId="11B71D8E">
            <w:pPr>
              <w:spacing w:line="360" w:lineRule="auto"/>
              <w:ind w:firstLine="480" w:firstLineChars="200"/>
              <w:rPr>
                <w:color w:val="auto"/>
                <w:kern w:val="0"/>
                <w:sz w:val="24"/>
                <w:lang w:bidi="ar"/>
              </w:rPr>
            </w:pPr>
            <w:r>
              <w:rPr>
                <w:rFonts w:hint="eastAsia"/>
                <w:color w:val="auto"/>
                <w:kern w:val="0"/>
                <w:sz w:val="24"/>
                <w:lang w:bidi="ar"/>
              </w:rPr>
              <w:t>根据园区水资源的供给情况分析可知，园区水资源充足，其发展规模不会对区域水资源供需形成压力，其供水系统能满足城市生产生活发展需求。园区在发展中应该积极推进节水工程建设，鼓励企业积极开展中水回用节约用水，贯彻《国务院关于实行最严格水资源管理制度的意见》（国发﹝2012﹞3号），减少水资源消耗，减轻地区水资源供应的压力。</w:t>
            </w:r>
          </w:p>
          <w:p w14:paraId="51A3AE4E">
            <w:pPr>
              <w:spacing w:line="360" w:lineRule="auto"/>
              <w:ind w:firstLine="480" w:firstLineChars="200"/>
              <w:rPr>
                <w:color w:val="auto"/>
                <w:kern w:val="0"/>
                <w:sz w:val="24"/>
                <w:lang w:bidi="ar"/>
              </w:rPr>
            </w:pPr>
            <w:r>
              <w:rPr>
                <w:color w:val="auto"/>
                <w:kern w:val="0"/>
                <w:sz w:val="24"/>
                <w:lang w:bidi="ar"/>
              </w:rPr>
              <w:t>能源承载力分析</w:t>
            </w:r>
            <w:r>
              <w:rPr>
                <w:rFonts w:hint="eastAsia"/>
                <w:color w:val="auto"/>
                <w:kern w:val="0"/>
                <w:sz w:val="24"/>
                <w:lang w:bidi="ar"/>
              </w:rPr>
              <w:t>：园区优先引进技术含量高，低耗能工业企业，能耗消耗相对较小，未来主要能源消耗为天然气和电力等清洁能源。园区规划以天然气为主气源，管道天然气气化率90%。直溪镇域内西部有天然气门站一座，位于直溪镇汀湘村，占地面积0.34hm</w:t>
            </w:r>
            <w:r>
              <w:rPr>
                <w:rFonts w:hint="eastAsia"/>
                <w:color w:val="auto"/>
                <w:kern w:val="0"/>
                <w:sz w:val="24"/>
                <w:vertAlign w:val="superscript"/>
                <w:lang w:bidi="ar"/>
              </w:rPr>
              <w:t>2</w:t>
            </w:r>
            <w:r>
              <w:rPr>
                <w:rFonts w:hint="eastAsia"/>
                <w:color w:val="auto"/>
                <w:kern w:val="0"/>
                <w:sz w:val="24"/>
                <w:lang w:bidi="ar"/>
              </w:rPr>
              <w:t>，内有西气、川气调压站各一座，设计流量分别为14000立方米/时、27000立方米/时，气源分别从中石油分输站（直溪汀湘）、省天然气公司分输站（茅麓下杖）引入。</w:t>
            </w:r>
          </w:p>
          <w:p w14:paraId="74E8FD29">
            <w:pPr>
              <w:spacing w:line="360" w:lineRule="auto"/>
              <w:ind w:firstLine="480" w:firstLineChars="200"/>
              <w:rPr>
                <w:rFonts w:hAnsi="宋体"/>
                <w:bCs/>
                <w:color w:val="auto"/>
                <w:szCs w:val="28"/>
              </w:rPr>
            </w:pPr>
            <w:r>
              <w:rPr>
                <w:rFonts w:hint="eastAsia"/>
                <w:color w:val="auto"/>
                <w:kern w:val="0"/>
                <w:sz w:val="24"/>
                <w:lang w:bidi="ar"/>
              </w:rPr>
              <w:t>园区规划能耗对标国家级生态示范园区，引入企业主要以低耗能企业为主，对区域能源供应的压力相对较小，随着园区循环经济不断推广，清洁生产审核的进一步实施，区内工业企业物耗能耗可逐步降低，减少对周围环境的负担。因此，园区未来发展所需能源供应能够得到保证</w:t>
            </w:r>
            <w:r>
              <w:rPr>
                <w:rFonts w:hint="eastAsia" w:ascii="宋体" w:hAnsi="宋体" w:cs="宋体"/>
                <w:color w:val="auto"/>
                <w:sz w:val="24"/>
              </w:rPr>
              <w:t>本项目资源消耗水平较低。区域内能源、水等资源的承载力相容性较好。</w:t>
            </w:r>
          </w:p>
          <w:p w14:paraId="0A0C87D2">
            <w:pPr>
              <w:widowControl/>
              <w:ind w:firstLine="482" w:firstLineChars="200"/>
              <w:jc w:val="left"/>
              <w:rPr>
                <w:rFonts w:hAnsi="宋体"/>
                <w:bCs/>
                <w:color w:val="auto"/>
                <w:szCs w:val="28"/>
              </w:rPr>
            </w:pPr>
            <w:r>
              <w:rPr>
                <w:rFonts w:hint="eastAsia" w:ascii="宋体" w:hAnsi="宋体" w:cs="宋体"/>
                <w:b/>
                <w:bCs/>
                <w:color w:val="auto"/>
                <w:kern w:val="0"/>
                <w:sz w:val="24"/>
                <w:szCs w:val="24"/>
                <w:lang w:bidi="ar"/>
              </w:rPr>
              <w:t>本项目资源消耗水平较低。区域内能源、水等资源的承载力相容性较好。</w:t>
            </w:r>
          </w:p>
          <w:p w14:paraId="6F41DF4B">
            <w:pPr>
              <w:pStyle w:val="9"/>
              <w:spacing w:after="0" w:line="360" w:lineRule="auto"/>
              <w:ind w:left="0" w:leftChars="0" w:firstLine="360" w:firstLineChars="150"/>
              <w:rPr>
                <w:rFonts w:hAnsi="宋体"/>
                <w:bCs/>
                <w:color w:val="auto"/>
                <w:szCs w:val="28"/>
              </w:rPr>
            </w:pPr>
            <w:r>
              <w:rPr>
                <w:rFonts w:hint="eastAsia" w:hAnsi="宋体"/>
                <w:bCs/>
                <w:color w:val="auto"/>
                <w:szCs w:val="28"/>
              </w:rPr>
              <w:t>（2）与规划环评及审查意见相符性分析</w:t>
            </w:r>
          </w:p>
          <w:p w14:paraId="51F0C04D">
            <w:pPr>
              <w:pStyle w:val="9"/>
              <w:spacing w:after="0" w:line="360" w:lineRule="auto"/>
              <w:ind w:left="0" w:leftChars="0" w:firstLine="480" w:firstLineChars="200"/>
              <w:rPr>
                <w:rFonts w:hAnsi="宋体"/>
                <w:b/>
                <w:color w:val="auto"/>
                <w:szCs w:val="24"/>
              </w:rPr>
            </w:pPr>
            <w:r>
              <w:rPr>
                <w:rFonts w:hint="eastAsia" w:hAnsi="宋体"/>
                <w:bCs/>
                <w:color w:val="auto"/>
                <w:szCs w:val="28"/>
              </w:rPr>
              <w:t>经</w:t>
            </w:r>
            <w:r>
              <w:rPr>
                <w:rFonts w:hint="eastAsia"/>
                <w:color w:val="auto"/>
                <w:szCs w:val="21"/>
              </w:rPr>
              <w:t>《江苏省金坛经济开发区直溪现代产业园（新兴产业区）发展规划（2022-2035年）环境影响报告书》</w:t>
            </w:r>
            <w:r>
              <w:rPr>
                <w:rFonts w:hAnsi="宋体"/>
                <w:bCs/>
                <w:color w:val="auto"/>
                <w:szCs w:val="28"/>
              </w:rPr>
              <w:t>的审核意见</w:t>
            </w:r>
            <w:r>
              <w:rPr>
                <w:rFonts w:hint="eastAsia" w:hAnsi="宋体"/>
                <w:bCs/>
                <w:color w:val="auto"/>
                <w:szCs w:val="28"/>
              </w:rPr>
              <w:t>对照，本项目建设符合</w:t>
            </w:r>
            <w:r>
              <w:rPr>
                <w:rFonts w:hint="eastAsia"/>
                <w:color w:val="auto"/>
                <w:szCs w:val="21"/>
              </w:rPr>
              <w:t>直溪现代产业园</w:t>
            </w:r>
            <w:r>
              <w:rPr>
                <w:rFonts w:hint="eastAsia" w:hAnsi="宋体"/>
                <w:bCs/>
                <w:color w:val="auto"/>
                <w:szCs w:val="28"/>
              </w:rPr>
              <w:t>规划环评及审查意见的要求，具体相符性分析见表1-1。</w:t>
            </w:r>
          </w:p>
          <w:p w14:paraId="2429A23B">
            <w:pPr>
              <w:spacing w:line="273" w:lineRule="auto"/>
              <w:ind w:firstLine="482" w:firstLineChars="200"/>
              <w:jc w:val="both"/>
              <w:rPr>
                <w:b/>
                <w:color w:val="auto"/>
                <w:kern w:val="0"/>
                <w:sz w:val="24"/>
              </w:rPr>
            </w:pPr>
            <w:r>
              <w:rPr>
                <w:rFonts w:hAnsi="宋体"/>
                <w:b/>
                <w:color w:val="auto"/>
                <w:sz w:val="24"/>
                <w:szCs w:val="24"/>
              </w:rPr>
              <w:t>表</w:t>
            </w:r>
            <w:r>
              <w:rPr>
                <w:b/>
                <w:color w:val="auto"/>
                <w:sz w:val="24"/>
                <w:szCs w:val="24"/>
              </w:rPr>
              <w:t>1-1</w:t>
            </w:r>
            <w:r>
              <w:rPr>
                <w:rFonts w:hint="eastAsia"/>
                <w:b/>
                <w:color w:val="auto"/>
                <w:sz w:val="24"/>
                <w:szCs w:val="24"/>
              </w:rPr>
              <w:t xml:space="preserve">  </w:t>
            </w:r>
            <w:r>
              <w:rPr>
                <w:rFonts w:ascii="宋体" w:hAnsi="宋体"/>
                <w:b/>
                <w:bCs/>
                <w:color w:val="auto"/>
                <w:sz w:val="24"/>
              </w:rPr>
              <w:t>《</w:t>
            </w:r>
            <w:r>
              <w:rPr>
                <w:rFonts w:hint="eastAsia" w:ascii="宋体" w:hAnsi="宋体"/>
                <w:b/>
                <w:color w:val="auto"/>
                <w:kern w:val="0"/>
                <w:sz w:val="24"/>
              </w:rPr>
              <w:t>江苏省金坛经济开发区直溪现代产业</w:t>
            </w:r>
            <w:r>
              <w:rPr>
                <w:b/>
                <w:color w:val="auto"/>
                <w:kern w:val="0"/>
                <w:sz w:val="24"/>
              </w:rPr>
              <w:t>园（新兴产业区）发展规划（2022-2035年）环境影响报告书》的</w:t>
            </w:r>
            <w:r>
              <w:rPr>
                <w:b/>
                <w:bCs/>
                <w:color w:val="auto"/>
                <w:sz w:val="24"/>
              </w:rPr>
              <w:t>审核意见</w:t>
            </w:r>
            <w:r>
              <w:rPr>
                <w:b/>
                <w:color w:val="auto"/>
                <w:kern w:val="0"/>
                <w:sz w:val="24"/>
              </w:rPr>
              <w:t>相符性分析</w:t>
            </w:r>
          </w:p>
          <w:tbl>
            <w:tblPr>
              <w:tblStyle w:val="22"/>
              <w:tblW w:w="76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3"/>
              <w:gridCol w:w="3627"/>
              <w:gridCol w:w="3034"/>
              <w:gridCol w:w="599"/>
            </w:tblGrid>
            <w:tr w14:paraId="7E4CE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62" w:type="dxa"/>
                  <w:tcBorders>
                    <w:top w:val="single" w:color="000000" w:sz="4" w:space="0"/>
                    <w:left w:val="single" w:color="000000" w:sz="4" w:space="0"/>
                    <w:bottom w:val="single" w:color="000000" w:sz="4" w:space="0"/>
                    <w:right w:val="single" w:color="000000" w:sz="4" w:space="0"/>
                  </w:tcBorders>
                  <w:vAlign w:val="center"/>
                </w:tcPr>
                <w:p w14:paraId="758E63D4">
                  <w:pPr>
                    <w:spacing w:line="0" w:lineRule="atLeast"/>
                    <w:jc w:val="center"/>
                    <w:rPr>
                      <w:b/>
                      <w:color w:val="auto"/>
                      <w:kern w:val="0"/>
                    </w:rPr>
                  </w:pPr>
                  <w:r>
                    <w:rPr>
                      <w:b/>
                      <w:color w:val="auto"/>
                      <w:kern w:val="0"/>
                    </w:rPr>
                    <w:t>序号</w:t>
                  </w:r>
                </w:p>
              </w:tc>
              <w:tc>
                <w:tcPr>
                  <w:tcW w:w="4304" w:type="dxa"/>
                  <w:tcBorders>
                    <w:top w:val="single" w:color="000000" w:sz="4" w:space="0"/>
                    <w:left w:val="nil"/>
                    <w:bottom w:val="single" w:color="000000" w:sz="4" w:space="0"/>
                    <w:right w:val="single" w:color="000000" w:sz="4" w:space="0"/>
                  </w:tcBorders>
                  <w:vAlign w:val="center"/>
                </w:tcPr>
                <w:p w14:paraId="2D67715C">
                  <w:pPr>
                    <w:spacing w:line="0" w:lineRule="atLeast"/>
                    <w:jc w:val="center"/>
                    <w:rPr>
                      <w:b/>
                      <w:color w:val="auto"/>
                      <w:kern w:val="0"/>
                    </w:rPr>
                  </w:pPr>
                  <w:r>
                    <w:rPr>
                      <w:b/>
                      <w:color w:val="auto"/>
                      <w:kern w:val="0"/>
                    </w:rPr>
                    <w:t>审核意见</w:t>
                  </w:r>
                </w:p>
              </w:tc>
              <w:tc>
                <w:tcPr>
                  <w:tcW w:w="3600" w:type="dxa"/>
                  <w:tcBorders>
                    <w:top w:val="single" w:color="000000" w:sz="4" w:space="0"/>
                    <w:left w:val="nil"/>
                    <w:bottom w:val="single" w:color="000000" w:sz="4" w:space="0"/>
                    <w:right w:val="single" w:color="000000" w:sz="4" w:space="0"/>
                  </w:tcBorders>
                  <w:vAlign w:val="center"/>
                </w:tcPr>
                <w:p w14:paraId="7C050700">
                  <w:pPr>
                    <w:spacing w:line="0" w:lineRule="atLeast"/>
                    <w:jc w:val="center"/>
                    <w:rPr>
                      <w:b/>
                      <w:color w:val="auto"/>
                      <w:kern w:val="0"/>
                    </w:rPr>
                  </w:pPr>
                  <w:r>
                    <w:rPr>
                      <w:b/>
                      <w:color w:val="auto"/>
                      <w:kern w:val="0"/>
                    </w:rPr>
                    <w:t>本项目</w:t>
                  </w:r>
                </w:p>
              </w:tc>
              <w:tc>
                <w:tcPr>
                  <w:tcW w:w="706" w:type="dxa"/>
                  <w:tcBorders>
                    <w:top w:val="single" w:color="000000" w:sz="4" w:space="0"/>
                    <w:left w:val="nil"/>
                    <w:bottom w:val="single" w:color="000000" w:sz="4" w:space="0"/>
                    <w:right w:val="single" w:color="000000" w:sz="4" w:space="0"/>
                  </w:tcBorders>
                  <w:vAlign w:val="center"/>
                </w:tcPr>
                <w:p w14:paraId="4ACD7115">
                  <w:pPr>
                    <w:spacing w:line="0" w:lineRule="atLeast"/>
                    <w:jc w:val="center"/>
                    <w:rPr>
                      <w:b/>
                      <w:color w:val="auto"/>
                      <w:kern w:val="0"/>
                    </w:rPr>
                  </w:pPr>
                  <w:r>
                    <w:rPr>
                      <w:rFonts w:hint="eastAsia"/>
                      <w:b/>
                      <w:color w:val="auto"/>
                      <w:kern w:val="0"/>
                    </w:rPr>
                    <w:t>相符性</w:t>
                  </w:r>
                </w:p>
              </w:tc>
            </w:tr>
            <w:tr w14:paraId="32446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62" w:type="dxa"/>
                  <w:tcBorders>
                    <w:top w:val="single" w:color="000000" w:sz="4" w:space="0"/>
                    <w:left w:val="single" w:color="000000" w:sz="4" w:space="0"/>
                    <w:bottom w:val="single" w:color="000000" w:sz="4" w:space="0"/>
                    <w:right w:val="single" w:color="000000" w:sz="4" w:space="0"/>
                  </w:tcBorders>
                  <w:vAlign w:val="center"/>
                </w:tcPr>
                <w:p w14:paraId="16B77546">
                  <w:pPr>
                    <w:spacing w:line="0" w:lineRule="atLeast"/>
                    <w:jc w:val="center"/>
                    <w:rPr>
                      <w:color w:val="auto"/>
                      <w:kern w:val="0"/>
                    </w:rPr>
                  </w:pPr>
                  <w:r>
                    <w:rPr>
                      <w:rFonts w:hint="eastAsia"/>
                      <w:color w:val="auto"/>
                      <w:kern w:val="0"/>
                    </w:rPr>
                    <w:t>1</w:t>
                  </w:r>
                </w:p>
              </w:tc>
              <w:tc>
                <w:tcPr>
                  <w:tcW w:w="4304" w:type="dxa"/>
                  <w:tcBorders>
                    <w:top w:val="single" w:color="000000" w:sz="4" w:space="0"/>
                    <w:left w:val="nil"/>
                    <w:bottom w:val="single" w:color="000000" w:sz="4" w:space="0"/>
                    <w:right w:val="single" w:color="000000" w:sz="4" w:space="0"/>
                  </w:tcBorders>
                  <w:vAlign w:val="center"/>
                </w:tcPr>
                <w:p w14:paraId="0537F099">
                  <w:pPr>
                    <w:spacing w:line="0" w:lineRule="atLeast"/>
                    <w:jc w:val="left"/>
                    <w:rPr>
                      <w:color w:val="auto"/>
                      <w:kern w:val="0"/>
                    </w:rPr>
                  </w:pPr>
                  <w:r>
                    <w:rPr>
                      <w:rFonts w:hint="eastAsia"/>
                      <w:color w:val="auto"/>
                      <w:kern w:val="0"/>
                    </w:rPr>
                    <w:t>规划范围：根据《</w:t>
                  </w:r>
                  <w:r>
                    <w:rPr>
                      <w:rFonts w:hint="eastAsia"/>
                      <w:color w:val="auto"/>
                    </w:rPr>
                    <w:t>江苏省金坛经济开发区直溪现代产业园（新兴产业区）发展规划（2022-2035年）环境影响报告书</w:t>
                  </w:r>
                  <w:r>
                    <w:rPr>
                      <w:rFonts w:hint="eastAsia"/>
                      <w:color w:val="auto"/>
                      <w:kern w:val="0"/>
                    </w:rPr>
                    <w:t>》（常环审〔2024〕8号），直溪镇工业园具体范围为：</w:t>
                  </w:r>
                  <w:r>
                    <w:rPr>
                      <w:color w:val="auto"/>
                      <w:kern w:val="0"/>
                    </w:rPr>
                    <w:t>东至</w:t>
                  </w:r>
                  <w:r>
                    <w:rPr>
                      <w:rFonts w:hint="eastAsia"/>
                      <w:color w:val="auto"/>
                      <w:kern w:val="0"/>
                    </w:rPr>
                    <w:t>坞家河</w:t>
                  </w:r>
                  <w:r>
                    <w:rPr>
                      <w:color w:val="auto"/>
                      <w:kern w:val="0"/>
                    </w:rPr>
                    <w:t>，西至</w:t>
                  </w:r>
                  <w:r>
                    <w:rPr>
                      <w:rFonts w:hint="eastAsia"/>
                      <w:color w:val="auto"/>
                      <w:kern w:val="0"/>
                    </w:rPr>
                    <w:t>直别公路、直延路</w:t>
                  </w:r>
                  <w:r>
                    <w:rPr>
                      <w:color w:val="auto"/>
                      <w:kern w:val="0"/>
                    </w:rPr>
                    <w:t>，南</w:t>
                  </w:r>
                  <w:r>
                    <w:rPr>
                      <w:rFonts w:hint="eastAsia"/>
                      <w:color w:val="auto"/>
                      <w:kern w:val="0"/>
                    </w:rPr>
                    <w:t>至</w:t>
                  </w:r>
                  <w:r>
                    <w:rPr>
                      <w:color w:val="auto"/>
                      <w:kern w:val="0"/>
                    </w:rPr>
                    <w:t>金茅公路，北至亚溪路</w:t>
                  </w:r>
                  <w:r>
                    <w:rPr>
                      <w:rFonts w:hint="eastAsia"/>
                      <w:color w:val="auto"/>
                      <w:kern w:val="0"/>
                    </w:rPr>
                    <w:t>，规划用地面积6.01平方公里</w:t>
                  </w:r>
                  <w:r>
                    <w:rPr>
                      <w:rFonts w:hint="eastAsia" w:ascii="宋体" w:hAnsi="宋体"/>
                      <w:color w:val="auto"/>
                      <w:kern w:val="0"/>
                    </w:rPr>
                    <w:t>。</w:t>
                  </w:r>
                </w:p>
              </w:tc>
              <w:tc>
                <w:tcPr>
                  <w:tcW w:w="3600" w:type="dxa"/>
                  <w:tcBorders>
                    <w:top w:val="single" w:color="000000" w:sz="4" w:space="0"/>
                    <w:left w:val="nil"/>
                    <w:bottom w:val="single" w:color="000000" w:sz="4" w:space="0"/>
                    <w:right w:val="single" w:color="000000" w:sz="4" w:space="0"/>
                  </w:tcBorders>
                  <w:vAlign w:val="center"/>
                </w:tcPr>
                <w:p w14:paraId="44018B50">
                  <w:pPr>
                    <w:spacing w:line="0" w:lineRule="atLeast"/>
                    <w:jc w:val="center"/>
                    <w:rPr>
                      <w:color w:val="auto"/>
                      <w:kern w:val="0"/>
                    </w:rPr>
                  </w:pPr>
                  <w:r>
                    <w:rPr>
                      <w:rFonts w:hint="eastAsia"/>
                      <w:color w:val="auto"/>
                      <w:kern w:val="0"/>
                    </w:rPr>
                    <w:t>本项目</w:t>
                  </w:r>
                  <w:r>
                    <w:rPr>
                      <w:bCs/>
                      <w:color w:val="auto"/>
                    </w:rPr>
                    <w:t>位于</w:t>
                  </w:r>
                  <w:r>
                    <w:rPr>
                      <w:rFonts w:hint="eastAsia" w:hAnsi="宋体"/>
                      <w:bCs/>
                      <w:color w:val="auto"/>
                      <w:szCs w:val="28"/>
                    </w:rPr>
                    <w:t>江苏省常州市金坛区直溪镇工业集中区直溪大道16号</w:t>
                  </w:r>
                  <w:r>
                    <w:rPr>
                      <w:rFonts w:hint="eastAsia"/>
                      <w:color w:val="auto"/>
                    </w:rPr>
                    <w:t>，</w:t>
                  </w:r>
                  <w:r>
                    <w:rPr>
                      <w:rFonts w:hint="eastAsia"/>
                      <w:color w:val="auto"/>
                      <w:kern w:val="0"/>
                    </w:rPr>
                    <w:t>属于</w:t>
                  </w:r>
                  <w:r>
                    <w:rPr>
                      <w:rFonts w:hint="eastAsia"/>
                      <w:color w:val="auto"/>
                    </w:rPr>
                    <w:t>江苏省金坛经济开发区直溪现代产业园</w:t>
                  </w:r>
                  <w:r>
                    <w:rPr>
                      <w:rFonts w:hint="eastAsia"/>
                      <w:color w:val="auto"/>
                      <w:kern w:val="0"/>
                    </w:rPr>
                    <w:t>规划范围内。</w:t>
                  </w:r>
                </w:p>
              </w:tc>
              <w:tc>
                <w:tcPr>
                  <w:tcW w:w="706" w:type="dxa"/>
                  <w:tcBorders>
                    <w:top w:val="single" w:color="000000" w:sz="4" w:space="0"/>
                    <w:left w:val="nil"/>
                    <w:bottom w:val="single" w:color="000000" w:sz="4" w:space="0"/>
                    <w:right w:val="single" w:color="000000" w:sz="4" w:space="0"/>
                  </w:tcBorders>
                  <w:vAlign w:val="center"/>
                </w:tcPr>
                <w:p w14:paraId="1EE2A49C">
                  <w:pPr>
                    <w:spacing w:line="0" w:lineRule="atLeast"/>
                    <w:jc w:val="center"/>
                    <w:rPr>
                      <w:color w:val="auto"/>
                      <w:kern w:val="0"/>
                    </w:rPr>
                  </w:pPr>
                  <w:r>
                    <w:rPr>
                      <w:rFonts w:hint="eastAsia"/>
                      <w:color w:val="auto"/>
                      <w:kern w:val="0"/>
                    </w:rPr>
                    <w:t>相符</w:t>
                  </w:r>
                </w:p>
              </w:tc>
            </w:tr>
            <w:tr w14:paraId="24B2E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62" w:type="dxa"/>
                  <w:tcBorders>
                    <w:top w:val="single" w:color="000000" w:sz="4" w:space="0"/>
                    <w:left w:val="single" w:color="000000" w:sz="4" w:space="0"/>
                    <w:bottom w:val="single" w:color="000000" w:sz="4" w:space="0"/>
                    <w:right w:val="single" w:color="000000" w:sz="4" w:space="0"/>
                  </w:tcBorders>
                  <w:vAlign w:val="center"/>
                </w:tcPr>
                <w:p w14:paraId="3150F5B6">
                  <w:pPr>
                    <w:spacing w:line="0" w:lineRule="atLeast"/>
                    <w:jc w:val="center"/>
                    <w:rPr>
                      <w:color w:val="auto"/>
                      <w:kern w:val="0"/>
                    </w:rPr>
                  </w:pPr>
                  <w:r>
                    <w:rPr>
                      <w:rFonts w:hint="eastAsia"/>
                      <w:color w:val="auto"/>
                      <w:kern w:val="0"/>
                    </w:rPr>
                    <w:t>2</w:t>
                  </w:r>
                </w:p>
              </w:tc>
              <w:tc>
                <w:tcPr>
                  <w:tcW w:w="4304" w:type="dxa"/>
                  <w:tcBorders>
                    <w:top w:val="single" w:color="000000" w:sz="4" w:space="0"/>
                    <w:left w:val="nil"/>
                    <w:bottom w:val="single" w:color="000000" w:sz="4" w:space="0"/>
                    <w:right w:val="single" w:color="000000" w:sz="4" w:space="0"/>
                  </w:tcBorders>
                  <w:vAlign w:val="center"/>
                </w:tcPr>
                <w:p w14:paraId="6EDECCDA">
                  <w:pPr>
                    <w:spacing w:line="0" w:lineRule="atLeast"/>
                    <w:jc w:val="left"/>
                    <w:rPr>
                      <w:color w:val="auto"/>
                      <w:kern w:val="0"/>
                    </w:rPr>
                  </w:pPr>
                  <w:r>
                    <w:rPr>
                      <w:rFonts w:hint="eastAsia"/>
                      <w:color w:val="auto"/>
                      <w:kern w:val="0"/>
                    </w:rPr>
                    <w:t>产业定位：</w:t>
                  </w:r>
                  <w:r>
                    <w:rPr>
                      <w:color w:val="auto"/>
                      <w:kern w:val="0"/>
                    </w:rPr>
                    <w:t>重点发展</w:t>
                  </w:r>
                  <w:r>
                    <w:rPr>
                      <w:rFonts w:hint="eastAsia"/>
                      <w:color w:val="auto"/>
                      <w:kern w:val="0"/>
                    </w:rPr>
                    <w:t>新能源、医用新材料、新一代移动通信、绿色涂料为主导产业。</w:t>
                  </w:r>
                </w:p>
              </w:tc>
              <w:tc>
                <w:tcPr>
                  <w:tcW w:w="3600" w:type="dxa"/>
                  <w:tcBorders>
                    <w:top w:val="single" w:color="000000" w:sz="4" w:space="0"/>
                    <w:left w:val="nil"/>
                    <w:bottom w:val="single" w:color="000000" w:sz="4" w:space="0"/>
                    <w:right w:val="single" w:color="000000" w:sz="4" w:space="0"/>
                  </w:tcBorders>
                  <w:vAlign w:val="center"/>
                </w:tcPr>
                <w:p w14:paraId="64D19237">
                  <w:pPr>
                    <w:spacing w:line="0" w:lineRule="atLeast"/>
                    <w:jc w:val="center"/>
                    <w:rPr>
                      <w:color w:val="auto"/>
                      <w:kern w:val="0"/>
                    </w:rPr>
                  </w:pPr>
                  <w:r>
                    <w:rPr>
                      <w:rFonts w:hint="eastAsia"/>
                      <w:color w:val="auto"/>
                      <w:kern w:val="0"/>
                    </w:rPr>
                    <w:t>本项目属于C3483弹簧制造，不属于</w:t>
                  </w:r>
                  <w:r>
                    <w:rPr>
                      <w:rFonts w:hint="eastAsia"/>
                      <w:color w:val="auto"/>
                    </w:rPr>
                    <w:t>江苏省金坛经济开发区直溪现代产业园区</w:t>
                  </w:r>
                  <w:r>
                    <w:rPr>
                      <w:rFonts w:hint="eastAsia"/>
                      <w:color w:val="auto"/>
                      <w:kern w:val="0"/>
                    </w:rPr>
                    <w:t>禁止的重污染项目，与</w:t>
                  </w:r>
                  <w:r>
                    <w:rPr>
                      <w:rFonts w:hint="eastAsia"/>
                      <w:color w:val="auto"/>
                    </w:rPr>
                    <w:t>江苏省金坛经济开发区直溪现代产业园</w:t>
                  </w:r>
                  <w:r>
                    <w:rPr>
                      <w:rFonts w:hint="eastAsia"/>
                      <w:color w:val="auto"/>
                      <w:kern w:val="0"/>
                    </w:rPr>
                    <w:t>产业定位相符。</w:t>
                  </w:r>
                </w:p>
              </w:tc>
              <w:tc>
                <w:tcPr>
                  <w:tcW w:w="706" w:type="dxa"/>
                  <w:tcBorders>
                    <w:top w:val="single" w:color="000000" w:sz="4" w:space="0"/>
                    <w:left w:val="nil"/>
                    <w:bottom w:val="single" w:color="000000" w:sz="4" w:space="0"/>
                    <w:right w:val="single" w:color="000000" w:sz="4" w:space="0"/>
                  </w:tcBorders>
                  <w:vAlign w:val="center"/>
                </w:tcPr>
                <w:p w14:paraId="1AC72A5F">
                  <w:pPr>
                    <w:spacing w:line="0" w:lineRule="atLeast"/>
                    <w:jc w:val="center"/>
                    <w:rPr>
                      <w:color w:val="auto"/>
                      <w:kern w:val="0"/>
                    </w:rPr>
                  </w:pPr>
                  <w:r>
                    <w:rPr>
                      <w:rFonts w:hint="eastAsia"/>
                      <w:color w:val="auto"/>
                      <w:kern w:val="0"/>
                    </w:rPr>
                    <w:t>相符</w:t>
                  </w:r>
                </w:p>
              </w:tc>
            </w:tr>
            <w:tr w14:paraId="1D87E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462" w:type="dxa"/>
                  <w:tcBorders>
                    <w:top w:val="single" w:color="000000" w:sz="4" w:space="0"/>
                    <w:left w:val="single" w:color="000000" w:sz="4" w:space="0"/>
                    <w:bottom w:val="single" w:color="000000" w:sz="4" w:space="0"/>
                    <w:right w:val="single" w:color="000000" w:sz="4" w:space="0"/>
                  </w:tcBorders>
                  <w:vAlign w:val="center"/>
                </w:tcPr>
                <w:p w14:paraId="0EA455B9">
                  <w:pPr>
                    <w:spacing w:line="0" w:lineRule="atLeast"/>
                    <w:jc w:val="center"/>
                    <w:rPr>
                      <w:color w:val="auto"/>
                      <w:kern w:val="0"/>
                    </w:rPr>
                  </w:pPr>
                  <w:r>
                    <w:rPr>
                      <w:rFonts w:hint="eastAsia"/>
                      <w:color w:val="auto"/>
                      <w:kern w:val="0"/>
                    </w:rPr>
                    <w:t>3</w:t>
                  </w:r>
                </w:p>
              </w:tc>
              <w:tc>
                <w:tcPr>
                  <w:tcW w:w="4304" w:type="dxa"/>
                  <w:tcBorders>
                    <w:top w:val="single" w:color="000000" w:sz="4" w:space="0"/>
                    <w:left w:val="nil"/>
                    <w:bottom w:val="single" w:color="000000" w:sz="4" w:space="0"/>
                    <w:right w:val="single" w:color="000000" w:sz="4" w:space="0"/>
                  </w:tcBorders>
                  <w:vAlign w:val="center"/>
                </w:tcPr>
                <w:p w14:paraId="462E369E">
                  <w:pPr>
                    <w:spacing w:line="0" w:lineRule="atLeast"/>
                    <w:jc w:val="left"/>
                    <w:rPr>
                      <w:color w:val="auto"/>
                      <w:kern w:val="0"/>
                      <w:lang w:val="zh-CN"/>
                    </w:rPr>
                  </w:pPr>
                  <w:r>
                    <w:rPr>
                      <w:rFonts w:hint="eastAsia"/>
                      <w:color w:val="auto"/>
                      <w:kern w:val="0"/>
                    </w:rPr>
                    <w:t>一、园区产业发展负面清单：</w:t>
                  </w:r>
                </w:p>
                <w:p w14:paraId="4F86E888">
                  <w:pPr>
                    <w:spacing w:line="0" w:lineRule="atLeast"/>
                    <w:jc w:val="left"/>
                    <w:rPr>
                      <w:color w:val="auto"/>
                      <w:kern w:val="0"/>
                    </w:rPr>
                  </w:pPr>
                  <w:r>
                    <w:rPr>
                      <w:rFonts w:hint="eastAsia"/>
                      <w:color w:val="auto"/>
                      <w:kern w:val="0"/>
                    </w:rPr>
                    <w:t>1、禁止引入《产业结构调整指导目录》中明确的淘汰类、禁止类项目，法律法规和相关政策明令禁止的项目；</w:t>
                  </w:r>
                </w:p>
                <w:p w14:paraId="77F4310A">
                  <w:pPr>
                    <w:spacing w:line="0" w:lineRule="atLeast"/>
                    <w:jc w:val="left"/>
                    <w:rPr>
                      <w:color w:val="auto"/>
                      <w:kern w:val="0"/>
                    </w:rPr>
                  </w:pPr>
                  <w:r>
                    <w:rPr>
                      <w:rFonts w:hint="eastAsia"/>
                      <w:color w:val="auto"/>
                      <w:kern w:val="0"/>
                    </w:rPr>
                    <w:t>2、禁止引入不符合《江苏省太湖水污染防治条例》、《长江经济带发展负面清单指南(试行)》、《长江经济带发展负面清单指南(试行)江苏省实施细则》的项目；</w:t>
                  </w:r>
                </w:p>
                <w:p w14:paraId="7B76A44D">
                  <w:pPr>
                    <w:spacing w:line="0" w:lineRule="atLeast"/>
                    <w:jc w:val="left"/>
                    <w:rPr>
                      <w:color w:val="auto"/>
                      <w:kern w:val="0"/>
                    </w:rPr>
                  </w:pPr>
                  <w:r>
                    <w:rPr>
                      <w:rFonts w:hint="eastAsia"/>
                      <w:color w:val="auto"/>
                      <w:kern w:val="0"/>
                    </w:rPr>
                    <w:t>3、禁止引入排放含重点重金属(铅、汞、镉、铬、砷)水污染物的项目；</w:t>
                  </w:r>
                </w:p>
                <w:p w14:paraId="6343B9DE">
                  <w:pPr>
                    <w:spacing w:line="0" w:lineRule="atLeast"/>
                    <w:jc w:val="left"/>
                    <w:rPr>
                      <w:color w:val="auto"/>
                      <w:kern w:val="0"/>
                    </w:rPr>
                  </w:pPr>
                  <w:r>
                    <w:rPr>
                      <w:rFonts w:hint="eastAsia"/>
                      <w:color w:val="auto"/>
                      <w:kern w:val="0"/>
                    </w:rPr>
                    <w:t>4、禁止引入生产《环境保护综合名录(2021年版)》“高污染、高环境风险”产品的项目；</w:t>
                  </w:r>
                </w:p>
                <w:p w14:paraId="5989B03D">
                  <w:pPr>
                    <w:spacing w:line="0" w:lineRule="atLeast"/>
                    <w:jc w:val="left"/>
                    <w:rPr>
                      <w:color w:val="auto"/>
                      <w:kern w:val="0"/>
                    </w:rPr>
                  </w:pPr>
                  <w:r>
                    <w:rPr>
                      <w:rFonts w:hint="eastAsia"/>
                      <w:color w:val="auto"/>
                      <w:kern w:val="0"/>
                    </w:rPr>
                    <w:t>5、禁止引入纯电镀加工(仅进行电镀加工工段，项目部分工段涉及电镀工艺的除外)、纯铸造加工类型项目；</w:t>
                  </w:r>
                </w:p>
                <w:p w14:paraId="1A5E65A2">
                  <w:pPr>
                    <w:spacing w:line="0" w:lineRule="atLeast"/>
                    <w:jc w:val="left"/>
                    <w:rPr>
                      <w:color w:val="auto"/>
                      <w:kern w:val="0"/>
                    </w:rPr>
                  </w:pPr>
                  <w:r>
                    <w:rPr>
                      <w:rFonts w:hint="eastAsia"/>
                      <w:color w:val="auto"/>
                      <w:kern w:val="0"/>
                    </w:rPr>
                    <w:t>6、绿色涂料产业：禁止引入不符合《关于加强全省化工园区化工集中区外化工生产企业规范化管理的通知》(苏化治〔2021〕4号)及《常州市涂料行业综合整治提升实施方案》中“附件1涂料企业环保提升标准”的涂料项目。</w:t>
                  </w:r>
                </w:p>
                <w:p w14:paraId="522DC138">
                  <w:pPr>
                    <w:spacing w:line="0" w:lineRule="atLeast"/>
                    <w:jc w:val="left"/>
                    <w:rPr>
                      <w:color w:val="auto"/>
                      <w:kern w:val="0"/>
                    </w:rPr>
                  </w:pPr>
                  <w:r>
                    <w:rPr>
                      <w:rFonts w:hint="eastAsia"/>
                      <w:color w:val="auto"/>
                      <w:kern w:val="0"/>
                    </w:rPr>
                    <w:t>二、资源开发利用要求：1、在城镇开发边界调整之前，不得开发利用位于城镇开发边界外的4576亩（305.1公顷）地块，不得开发占用1203亩（80.2公顷）永久基本农田；2、引进项目的生产工艺、设备，以及单位产品水耗、能耗、污染物排放控制和资源利用效率等应达到同行业国内先进水平。</w:t>
                  </w:r>
                </w:p>
              </w:tc>
              <w:tc>
                <w:tcPr>
                  <w:tcW w:w="3600" w:type="dxa"/>
                  <w:tcBorders>
                    <w:top w:val="single" w:color="000000" w:sz="4" w:space="0"/>
                    <w:left w:val="nil"/>
                    <w:bottom w:val="single" w:color="000000" w:sz="4" w:space="0"/>
                    <w:right w:val="single" w:color="000000" w:sz="4" w:space="0"/>
                  </w:tcBorders>
                  <w:vAlign w:val="center"/>
                </w:tcPr>
                <w:p w14:paraId="7565851B">
                  <w:pPr>
                    <w:spacing w:line="0" w:lineRule="atLeast"/>
                    <w:jc w:val="left"/>
                    <w:rPr>
                      <w:color w:val="auto"/>
                      <w:kern w:val="0"/>
                    </w:rPr>
                  </w:pPr>
                  <w:r>
                    <w:rPr>
                      <w:rFonts w:hint="eastAsia"/>
                      <w:color w:val="auto"/>
                      <w:kern w:val="0"/>
                    </w:rPr>
                    <w:t>一、1、本项目不属于《产业结构调整指导目录》中明确的淘汰类、禁止类项目；不属于不符合《江苏省太湖水污染防治条例》、《长江经济带发展负面清单指南(试行)》、《长江经济带发展负面清单指南(试行)江苏省实施细则》的项目；不属于排放含重点重金属(铅、汞、镉、铬、砷)水污染物的项目。本项目不属于“高污染、高环境风险”产品的项目；本项目不属于纯电镀加工、纯铸造加工类型项目；本项目不使用涂料。</w:t>
                  </w:r>
                </w:p>
                <w:p w14:paraId="3A90C464">
                  <w:pPr>
                    <w:spacing w:line="0" w:lineRule="atLeast"/>
                    <w:jc w:val="left"/>
                    <w:rPr>
                      <w:color w:val="auto"/>
                      <w:kern w:val="0"/>
                    </w:rPr>
                  </w:pPr>
                  <w:r>
                    <w:rPr>
                      <w:rFonts w:hint="eastAsia"/>
                      <w:color w:val="auto"/>
                      <w:kern w:val="0"/>
                    </w:rPr>
                    <w:t>二、1、本项目位于</w:t>
                  </w:r>
                  <w:r>
                    <w:rPr>
                      <w:color w:val="auto"/>
                      <w:kern w:val="0"/>
                    </w:rPr>
                    <w:t>常州市金坛区直溪镇</w:t>
                  </w:r>
                  <w:r>
                    <w:rPr>
                      <w:rFonts w:hint="eastAsia"/>
                      <w:color w:val="auto"/>
                      <w:kern w:val="0"/>
                    </w:rPr>
                    <w:t>直溪大道16号，在城镇开发边界内；</w:t>
                  </w:r>
                </w:p>
                <w:p w14:paraId="08B2372B">
                  <w:pPr>
                    <w:spacing w:line="0" w:lineRule="atLeast"/>
                    <w:jc w:val="left"/>
                    <w:rPr>
                      <w:color w:val="auto"/>
                      <w:kern w:val="0"/>
                    </w:rPr>
                  </w:pPr>
                  <w:r>
                    <w:rPr>
                      <w:rFonts w:hint="eastAsia"/>
                      <w:color w:val="auto"/>
                      <w:kern w:val="0"/>
                    </w:rPr>
                    <w:t>2、依照下文对照分析，本项目清洁生产水平达到同行业国内先进水平。</w:t>
                  </w:r>
                </w:p>
                <w:p w14:paraId="7FAC9B07">
                  <w:pPr>
                    <w:spacing w:line="0" w:lineRule="atLeast"/>
                    <w:jc w:val="left"/>
                    <w:rPr>
                      <w:color w:val="auto"/>
                      <w:kern w:val="0"/>
                    </w:rPr>
                  </w:pPr>
                </w:p>
                <w:p w14:paraId="34800B92">
                  <w:pPr>
                    <w:spacing w:line="0" w:lineRule="atLeast"/>
                    <w:jc w:val="center"/>
                    <w:rPr>
                      <w:color w:val="auto"/>
                      <w:kern w:val="0"/>
                    </w:rPr>
                  </w:pPr>
                </w:p>
              </w:tc>
              <w:tc>
                <w:tcPr>
                  <w:tcW w:w="706" w:type="dxa"/>
                  <w:tcBorders>
                    <w:top w:val="single" w:color="000000" w:sz="4" w:space="0"/>
                    <w:left w:val="nil"/>
                    <w:bottom w:val="single" w:color="000000" w:sz="4" w:space="0"/>
                    <w:right w:val="single" w:color="000000" w:sz="4" w:space="0"/>
                  </w:tcBorders>
                  <w:vAlign w:val="center"/>
                </w:tcPr>
                <w:p w14:paraId="15C23598">
                  <w:pPr>
                    <w:spacing w:line="0" w:lineRule="atLeast"/>
                    <w:jc w:val="center"/>
                    <w:rPr>
                      <w:color w:val="auto"/>
                    </w:rPr>
                  </w:pPr>
                  <w:r>
                    <w:rPr>
                      <w:rFonts w:hint="eastAsia"/>
                      <w:color w:val="auto"/>
                      <w:kern w:val="0"/>
                    </w:rPr>
                    <w:t>相符</w:t>
                  </w:r>
                </w:p>
              </w:tc>
            </w:tr>
          </w:tbl>
          <w:p w14:paraId="2DC0F0B3">
            <w:pPr>
              <w:autoSpaceDE w:val="0"/>
              <w:autoSpaceDN w:val="0"/>
              <w:adjustRightInd w:val="0"/>
              <w:rPr>
                <w:color w:val="auto"/>
                <w:kern w:val="0"/>
                <w:sz w:val="24"/>
              </w:rPr>
            </w:pPr>
          </w:p>
        </w:tc>
      </w:tr>
      <w:tr w14:paraId="6B28DC2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7" w:type="dxa"/>
            <w:tcBorders>
              <w:tl2br w:val="nil"/>
              <w:tr2bl w:val="nil"/>
            </w:tcBorders>
            <w:vAlign w:val="center"/>
          </w:tcPr>
          <w:p w14:paraId="22D2008F">
            <w:pPr>
              <w:autoSpaceDE w:val="0"/>
              <w:autoSpaceDN w:val="0"/>
              <w:adjustRightInd w:val="0"/>
              <w:jc w:val="center"/>
              <w:rPr>
                <w:b/>
                <w:bCs/>
                <w:color w:val="auto"/>
                <w:kern w:val="0"/>
                <w:sz w:val="24"/>
              </w:rPr>
            </w:pPr>
            <w:r>
              <w:rPr>
                <w:color w:val="auto"/>
                <w:kern w:val="0"/>
                <w:sz w:val="24"/>
              </w:rPr>
              <w:t>其他符合性分析</w:t>
            </w:r>
          </w:p>
        </w:tc>
        <w:tc>
          <w:tcPr>
            <w:tcW w:w="7902" w:type="dxa"/>
            <w:gridSpan w:val="3"/>
            <w:tcBorders>
              <w:tl2br w:val="nil"/>
              <w:tr2bl w:val="nil"/>
            </w:tcBorders>
            <w:vAlign w:val="center"/>
          </w:tcPr>
          <w:p w14:paraId="12F671A5">
            <w:pPr>
              <w:pStyle w:val="9"/>
              <w:numPr>
                <w:ilvl w:val="0"/>
                <w:numId w:val="2"/>
              </w:numPr>
              <w:spacing w:after="0" w:line="360" w:lineRule="auto"/>
              <w:ind w:left="0" w:leftChars="0"/>
              <w:rPr>
                <w:rFonts w:hAnsi="宋体"/>
                <w:bCs/>
                <w:color w:val="auto"/>
                <w:szCs w:val="28"/>
              </w:rPr>
            </w:pPr>
            <w:r>
              <w:rPr>
                <w:rFonts w:hint="eastAsia" w:hAnsi="宋体"/>
                <w:bCs/>
                <w:color w:val="auto"/>
                <w:szCs w:val="28"/>
              </w:rPr>
              <w:t>产业政策相符性分析</w:t>
            </w:r>
          </w:p>
          <w:p w14:paraId="1E26BE60">
            <w:pPr>
              <w:numPr>
                <w:ilvl w:val="0"/>
                <w:numId w:val="3"/>
              </w:numPr>
              <w:spacing w:line="360" w:lineRule="auto"/>
              <w:ind w:firstLine="480" w:firstLineChars="200"/>
              <w:jc w:val="left"/>
              <w:rPr>
                <w:color w:val="auto"/>
                <w:sz w:val="24"/>
                <w:lang w:val="zh-CN"/>
              </w:rPr>
            </w:pPr>
            <w:r>
              <w:rPr>
                <w:rFonts w:hint="eastAsia"/>
                <w:color w:val="auto"/>
                <w:sz w:val="24"/>
                <w:lang w:val="zh-CN"/>
              </w:rPr>
              <w:t>本项目为</w:t>
            </w:r>
            <w:r>
              <w:rPr>
                <w:rFonts w:hint="eastAsia"/>
                <w:color w:val="auto"/>
                <w:sz w:val="24"/>
              </w:rPr>
              <w:t>C3483弹簧制造</w:t>
            </w:r>
            <w:r>
              <w:rPr>
                <w:rFonts w:hint="eastAsia"/>
                <w:color w:val="auto"/>
                <w:sz w:val="24"/>
                <w:lang w:val="zh-CN"/>
              </w:rPr>
              <w:t>，不属于《限制用地项目目录（2012年本）》、《禁止用地项目目录（2012年本）》、《江苏省限制用地项目目录（2013年本）》及《江苏省禁止用地项目目录（2013年本）》中的限制和禁止用地项目，且项目周边范围内无矿床、文物古迹和军事设施达到环保准入、投入强度、消防安全等相关规定，属于允许建设类项目。</w:t>
            </w:r>
          </w:p>
          <w:p w14:paraId="272A91CF">
            <w:pPr>
              <w:numPr>
                <w:ilvl w:val="0"/>
                <w:numId w:val="3"/>
              </w:numPr>
              <w:spacing w:line="360" w:lineRule="auto"/>
              <w:ind w:firstLine="480" w:firstLineChars="200"/>
              <w:jc w:val="left"/>
              <w:rPr>
                <w:color w:val="auto"/>
                <w:lang w:val="zh-CN"/>
              </w:rPr>
            </w:pPr>
            <w:r>
              <w:rPr>
                <w:color w:val="auto"/>
                <w:sz w:val="24"/>
              </w:rPr>
              <w:t>本项目</w:t>
            </w:r>
            <w:r>
              <w:rPr>
                <w:rFonts w:hint="eastAsia"/>
                <w:color w:val="auto"/>
                <w:sz w:val="24"/>
              </w:rPr>
              <w:t>属于C3483弹簧制造</w:t>
            </w:r>
            <w:r>
              <w:rPr>
                <w:color w:val="auto"/>
                <w:sz w:val="24"/>
              </w:rPr>
              <w:t>，</w:t>
            </w:r>
            <w:r>
              <w:rPr>
                <w:rFonts w:hint="eastAsia"/>
                <w:color w:val="auto"/>
                <w:sz w:val="24"/>
              </w:rPr>
              <w:t>从事气弹簧的生产，</w:t>
            </w:r>
            <w:r>
              <w:rPr>
                <w:color w:val="auto"/>
                <w:sz w:val="24"/>
              </w:rPr>
              <w:t>不属于国家发改委《产业结构调整指导目录（20</w:t>
            </w:r>
            <w:r>
              <w:rPr>
                <w:rFonts w:hint="eastAsia"/>
                <w:color w:val="auto"/>
                <w:sz w:val="24"/>
              </w:rPr>
              <w:t>24</w:t>
            </w:r>
            <w:r>
              <w:rPr>
                <w:color w:val="auto"/>
                <w:sz w:val="24"/>
              </w:rPr>
              <w:t>年本）》</w:t>
            </w:r>
            <w:r>
              <w:rPr>
                <w:rFonts w:hint="eastAsia"/>
                <w:color w:val="auto"/>
                <w:sz w:val="24"/>
              </w:rPr>
              <w:t>及《市场准入负面清单（2022年版）》</w:t>
            </w:r>
            <w:r>
              <w:rPr>
                <w:color w:val="auto"/>
                <w:sz w:val="24"/>
              </w:rPr>
              <w:t>中限制类和淘汰类项目，</w:t>
            </w:r>
            <w:r>
              <w:rPr>
                <w:rFonts w:hint="eastAsia"/>
                <w:color w:val="auto"/>
                <w:sz w:val="24"/>
              </w:rPr>
              <w:t>不属于《环境保护综合名录（2021年版）》中“高污染、高风险”产品，</w:t>
            </w:r>
            <w:r>
              <w:rPr>
                <w:color w:val="auto"/>
                <w:sz w:val="24"/>
              </w:rPr>
              <w:t>符合国家及地方产业政策。</w:t>
            </w:r>
          </w:p>
          <w:p w14:paraId="3A4E2D37">
            <w:pPr>
              <w:pStyle w:val="17"/>
              <w:spacing w:line="360" w:lineRule="auto"/>
              <w:ind w:left="0" w:leftChars="0" w:firstLine="240" w:firstLineChars="100"/>
              <w:jc w:val="left"/>
              <w:rPr>
                <w:color w:val="auto"/>
                <w:sz w:val="24"/>
              </w:rPr>
            </w:pPr>
            <w:r>
              <w:rPr>
                <w:rFonts w:hint="eastAsia"/>
                <w:color w:val="auto"/>
                <w:sz w:val="24"/>
              </w:rPr>
              <w:t>2</w:t>
            </w:r>
            <w:r>
              <w:rPr>
                <w:color w:val="auto"/>
                <w:sz w:val="24"/>
              </w:rPr>
              <w:t>、“三线一单”相符性分析</w:t>
            </w:r>
          </w:p>
          <w:p w14:paraId="7B22C08B">
            <w:pPr>
              <w:spacing w:line="360" w:lineRule="auto"/>
              <w:ind w:firstLine="480" w:firstLineChars="200"/>
              <w:rPr>
                <w:rFonts w:ascii="宋体" w:hAnsi="宋体" w:cs="宋体"/>
                <w:color w:val="auto"/>
                <w:sz w:val="24"/>
              </w:rPr>
            </w:pPr>
            <w:r>
              <w:rPr>
                <w:rFonts w:hint="eastAsia" w:ascii="宋体" w:hAnsi="宋体" w:cs="宋体"/>
                <w:color w:val="auto"/>
                <w:sz w:val="24"/>
              </w:rPr>
              <w:t>（1）生态红线</w:t>
            </w:r>
          </w:p>
          <w:p w14:paraId="6A660779">
            <w:pPr>
              <w:spacing w:line="360" w:lineRule="auto"/>
              <w:ind w:firstLine="480" w:firstLineChars="200"/>
              <w:rPr>
                <w:rFonts w:ascii="宋体" w:hAnsi="宋体" w:cs="宋体"/>
                <w:color w:val="auto"/>
                <w:sz w:val="24"/>
              </w:rPr>
            </w:pPr>
            <w:r>
              <w:rPr>
                <w:rFonts w:hint="eastAsia" w:ascii="宋体" w:hAnsi="宋体" w:cs="宋体"/>
                <w:color w:val="auto"/>
                <w:sz w:val="24"/>
              </w:rPr>
              <w:t>本</w:t>
            </w:r>
            <w:r>
              <w:rPr>
                <w:color w:val="auto"/>
                <w:sz w:val="24"/>
              </w:rPr>
              <w:t>项目位于江苏省常州市金坛区</w:t>
            </w:r>
            <w:r>
              <w:rPr>
                <w:rFonts w:hint="eastAsia"/>
                <w:color w:val="auto"/>
                <w:sz w:val="24"/>
              </w:rPr>
              <w:t>直溪镇工业集中区直溪大道16号</w:t>
            </w:r>
            <w:r>
              <w:rPr>
                <w:color w:val="auto"/>
                <w:sz w:val="24"/>
              </w:rPr>
              <w:t>，对照《江苏省生态空间管控区域规划》（苏政发〔2020</w:t>
            </w:r>
            <w:r>
              <w:rPr>
                <w:rFonts w:hint="eastAsia"/>
                <w:color w:val="auto"/>
                <w:sz w:val="24"/>
              </w:rPr>
              <w:t>〕</w:t>
            </w:r>
            <w:r>
              <w:rPr>
                <w:color w:val="auto"/>
                <w:sz w:val="24"/>
              </w:rPr>
              <w:t>1号）及《江苏省国家级生态保护红线规划》（苏政发</w:t>
            </w:r>
            <w:r>
              <w:rPr>
                <w:rFonts w:hint="eastAsia"/>
                <w:color w:val="auto"/>
                <w:sz w:val="24"/>
              </w:rPr>
              <w:t>〔</w:t>
            </w:r>
            <w:r>
              <w:rPr>
                <w:color w:val="auto"/>
                <w:sz w:val="24"/>
              </w:rPr>
              <w:t>2018</w:t>
            </w:r>
            <w:r>
              <w:rPr>
                <w:rFonts w:hint="eastAsia"/>
                <w:color w:val="auto"/>
                <w:sz w:val="24"/>
              </w:rPr>
              <w:t>〕</w:t>
            </w:r>
            <w:r>
              <w:rPr>
                <w:color w:val="auto"/>
                <w:sz w:val="24"/>
              </w:rPr>
              <w:t>74号），距离最近的生态空间管控区天荒湖重要渔业水域</w:t>
            </w:r>
            <w:r>
              <w:rPr>
                <w:rFonts w:hint="eastAsia"/>
                <w:color w:val="auto"/>
                <w:sz w:val="24"/>
              </w:rPr>
              <w:t>2.6k</w:t>
            </w:r>
            <w:r>
              <w:rPr>
                <w:color w:val="auto"/>
                <w:sz w:val="24"/>
              </w:rPr>
              <w:t>m，不在国家级生态保护红线范围和生态空间管控区范围内</w:t>
            </w:r>
            <w:r>
              <w:rPr>
                <w:rFonts w:hint="eastAsia"/>
                <w:color w:val="auto"/>
                <w:sz w:val="24"/>
              </w:rPr>
              <w:t>，见附图4。</w:t>
            </w:r>
          </w:p>
          <w:p w14:paraId="6A2F2483">
            <w:pPr>
              <w:numPr>
                <w:ilvl w:val="0"/>
                <w:numId w:val="4"/>
              </w:numPr>
              <w:spacing w:line="360" w:lineRule="auto"/>
              <w:ind w:firstLine="480" w:firstLineChars="200"/>
              <w:rPr>
                <w:rFonts w:ascii="宋体" w:hAnsi="宋体" w:cs="宋体"/>
                <w:color w:val="auto"/>
                <w:sz w:val="24"/>
              </w:rPr>
            </w:pPr>
            <w:r>
              <w:rPr>
                <w:rFonts w:hint="eastAsia" w:ascii="宋体" w:hAnsi="宋体" w:cs="宋体"/>
                <w:color w:val="auto"/>
                <w:sz w:val="24"/>
              </w:rPr>
              <w:t>环境质量底线</w:t>
            </w:r>
          </w:p>
          <w:p w14:paraId="0F8EEA21">
            <w:pPr>
              <w:spacing w:line="360" w:lineRule="auto"/>
              <w:ind w:firstLine="720" w:firstLineChars="300"/>
              <w:rPr>
                <w:rFonts w:ascii="宋体" w:hAnsi="宋体" w:cs="宋体"/>
                <w:color w:val="auto"/>
                <w:sz w:val="24"/>
              </w:rPr>
            </w:pPr>
            <w:r>
              <w:rPr>
                <w:color w:val="auto"/>
                <w:sz w:val="24"/>
              </w:rPr>
              <w:t>根据《202</w:t>
            </w:r>
            <w:r>
              <w:rPr>
                <w:rFonts w:hint="eastAsia"/>
                <w:color w:val="auto"/>
                <w:sz w:val="24"/>
              </w:rPr>
              <w:t>3</w:t>
            </w:r>
            <w:r>
              <w:rPr>
                <w:color w:val="auto"/>
                <w:sz w:val="24"/>
              </w:rPr>
              <w:t>常州市生态环境状况公报》，</w:t>
            </w:r>
            <w:r>
              <w:rPr>
                <w:rFonts w:hint="eastAsia"/>
                <w:color w:val="auto"/>
                <w:sz w:val="24"/>
              </w:rPr>
              <w:t>水环境、声环境为达标区</w:t>
            </w:r>
            <w:r>
              <w:rPr>
                <w:color w:val="auto"/>
                <w:sz w:val="24"/>
              </w:rPr>
              <w:t>，纳污水体通济河各监测断面pH、COD、NH</w:t>
            </w:r>
            <w:r>
              <w:rPr>
                <w:color w:val="auto"/>
                <w:sz w:val="24"/>
                <w:vertAlign w:val="subscript"/>
              </w:rPr>
              <w:t>3</w:t>
            </w:r>
            <w:r>
              <w:rPr>
                <w:color w:val="auto"/>
                <w:sz w:val="24"/>
              </w:rPr>
              <w:t>-N、TP均达到《地表水环境质量标准》（GB3838-2002）中的Ⅳ类水质标准限值。项目所在地声环境质量达到《声环境质量标准》（GB3096-2008）中的3类标</w:t>
            </w:r>
            <w:r>
              <w:rPr>
                <w:rFonts w:hint="eastAsia" w:ascii="宋体" w:hAnsi="宋体" w:cs="宋体"/>
                <w:color w:val="auto"/>
                <w:sz w:val="24"/>
              </w:rPr>
              <w:t>准。</w:t>
            </w:r>
          </w:p>
          <w:p w14:paraId="63C8BE99">
            <w:pPr>
              <w:spacing w:line="360" w:lineRule="auto"/>
              <w:ind w:firstLine="720" w:firstLineChars="300"/>
              <w:rPr>
                <w:rFonts w:ascii="宋体" w:hAnsi="宋体" w:cs="宋体"/>
                <w:color w:val="auto"/>
                <w:sz w:val="24"/>
              </w:rPr>
            </w:pPr>
            <w:r>
              <w:rPr>
                <w:rFonts w:hint="eastAsia"/>
                <w:color w:val="auto"/>
                <w:sz w:val="24"/>
              </w:rPr>
              <w:t>环境空气为</w:t>
            </w:r>
            <w:r>
              <w:rPr>
                <w:color w:val="auto"/>
                <w:sz w:val="24"/>
              </w:rPr>
              <w:t>非达标区域</w:t>
            </w:r>
            <w:r>
              <w:rPr>
                <w:rFonts w:hint="eastAsia"/>
                <w:color w:val="auto"/>
              </w:rPr>
              <w:t>，</w:t>
            </w:r>
            <w:r>
              <w:rPr>
                <w:rFonts w:hint="eastAsia" w:ascii="宋体" w:hAnsi="宋体" w:cs="宋体"/>
                <w:color w:val="auto"/>
                <w:sz w:val="24"/>
              </w:rPr>
              <w:t>环境质量现状监测结果表明，项目所在地虽属大气环境质量非达标区，但从提供的引用监测报告结果看，与项目产排污相关联的大气特征污染物的环境质量总体较好。区域消减计划为</w:t>
            </w:r>
            <w:r>
              <w:rPr>
                <w:bCs/>
                <w:color w:val="auto"/>
                <w:kern w:val="0"/>
                <w:sz w:val="24"/>
              </w:rPr>
              <w:t>调整优化产业结构</w:t>
            </w:r>
            <w:r>
              <w:rPr>
                <w:rFonts w:hint="eastAsia"/>
                <w:bCs/>
                <w:color w:val="auto"/>
                <w:kern w:val="0"/>
                <w:sz w:val="24"/>
              </w:rPr>
              <w:t>，</w:t>
            </w:r>
            <w:r>
              <w:rPr>
                <w:bCs/>
                <w:color w:val="auto"/>
                <w:kern w:val="0"/>
                <w:sz w:val="24"/>
              </w:rPr>
              <w:t>推进产业绿色低碳发展</w:t>
            </w:r>
            <w:r>
              <w:rPr>
                <w:bCs/>
                <w:color w:val="auto"/>
                <w:kern w:val="0"/>
                <w:sz w:val="24"/>
                <w:lang w:val="zh-CN"/>
              </w:rPr>
              <w:t>；</w:t>
            </w:r>
            <w:r>
              <w:rPr>
                <w:bCs/>
                <w:color w:val="auto"/>
                <w:kern w:val="0"/>
                <w:sz w:val="24"/>
              </w:rPr>
              <w:t>推进能源高效利用，加快能源清洁低碳转型</w:t>
            </w:r>
            <w:r>
              <w:rPr>
                <w:bCs/>
                <w:color w:val="auto"/>
                <w:kern w:val="0"/>
                <w:sz w:val="24"/>
                <w:lang w:val="zh-CN"/>
              </w:rPr>
              <w:t>；</w:t>
            </w:r>
            <w:r>
              <w:rPr>
                <w:bCs/>
                <w:color w:val="auto"/>
                <w:kern w:val="0"/>
                <w:sz w:val="24"/>
              </w:rPr>
              <w:t>优化调整交通结构</w:t>
            </w:r>
            <w:r>
              <w:rPr>
                <w:rFonts w:hint="eastAsia"/>
                <w:bCs/>
                <w:color w:val="auto"/>
                <w:kern w:val="0"/>
                <w:sz w:val="24"/>
              </w:rPr>
              <w:t>，</w:t>
            </w:r>
            <w:r>
              <w:rPr>
                <w:bCs/>
                <w:color w:val="auto"/>
                <w:kern w:val="0"/>
                <w:sz w:val="24"/>
              </w:rPr>
              <w:t>大力发展绿色运输体系</w:t>
            </w:r>
            <w:r>
              <w:rPr>
                <w:bCs/>
                <w:color w:val="auto"/>
                <w:kern w:val="0"/>
                <w:sz w:val="24"/>
                <w:lang w:val="zh-CN"/>
              </w:rPr>
              <w:t>；</w:t>
            </w:r>
            <w:r>
              <w:rPr>
                <w:bCs/>
                <w:color w:val="auto"/>
                <w:kern w:val="0"/>
                <w:sz w:val="24"/>
              </w:rPr>
              <w:t>加强面源污染治理，提高精细化管理水平</w:t>
            </w:r>
            <w:r>
              <w:rPr>
                <w:bCs/>
                <w:color w:val="auto"/>
                <w:kern w:val="0"/>
                <w:sz w:val="24"/>
                <w:lang w:val="zh-CN"/>
              </w:rPr>
              <w:t>；</w:t>
            </w:r>
            <w:r>
              <w:rPr>
                <w:bCs/>
                <w:color w:val="auto"/>
                <w:kern w:val="0"/>
                <w:sz w:val="24"/>
              </w:rPr>
              <w:t>强化协同减排</w:t>
            </w:r>
            <w:r>
              <w:rPr>
                <w:rFonts w:hint="eastAsia"/>
                <w:bCs/>
                <w:color w:val="auto"/>
                <w:kern w:val="0"/>
                <w:sz w:val="24"/>
              </w:rPr>
              <w:t>，</w:t>
            </w:r>
            <w:r>
              <w:rPr>
                <w:bCs/>
                <w:color w:val="auto"/>
                <w:kern w:val="0"/>
                <w:sz w:val="24"/>
              </w:rPr>
              <w:t>切实降低污染物排放强度</w:t>
            </w:r>
            <w:r>
              <w:rPr>
                <w:rFonts w:hint="eastAsia"/>
                <w:bCs/>
                <w:color w:val="auto"/>
                <w:kern w:val="0"/>
                <w:sz w:val="24"/>
                <w:lang w:val="zh-CN"/>
              </w:rPr>
              <w:t>；</w:t>
            </w:r>
            <w:r>
              <w:rPr>
                <w:bCs/>
                <w:color w:val="auto"/>
                <w:kern w:val="0"/>
                <w:sz w:val="24"/>
              </w:rPr>
              <w:t>完善工作机制，健全大气环境管理体系</w:t>
            </w:r>
            <w:r>
              <w:rPr>
                <w:rFonts w:hint="eastAsia"/>
                <w:bCs/>
                <w:color w:val="auto"/>
                <w:kern w:val="0"/>
                <w:sz w:val="24"/>
                <w:lang w:val="zh-CN"/>
              </w:rPr>
              <w:t>；</w:t>
            </w:r>
            <w:r>
              <w:rPr>
                <w:bCs/>
                <w:color w:val="auto"/>
                <w:kern w:val="0"/>
                <w:sz w:val="24"/>
              </w:rPr>
              <w:t>加强能力建设，提升生态环境治理体系和治理能力现代化水平</w:t>
            </w:r>
            <w:r>
              <w:rPr>
                <w:rFonts w:hint="eastAsia"/>
                <w:bCs/>
                <w:color w:val="auto"/>
                <w:kern w:val="0"/>
                <w:sz w:val="24"/>
              </w:rPr>
              <w:t>；</w:t>
            </w:r>
            <w:r>
              <w:rPr>
                <w:bCs/>
                <w:color w:val="auto"/>
                <w:kern w:val="0"/>
                <w:sz w:val="24"/>
              </w:rPr>
              <w:t>健全标准规范体系，完善生态环境经济政策</w:t>
            </w:r>
            <w:r>
              <w:rPr>
                <w:rFonts w:hint="eastAsia"/>
                <w:bCs/>
                <w:color w:val="auto"/>
                <w:kern w:val="0"/>
                <w:sz w:val="24"/>
              </w:rPr>
              <w:t>；</w:t>
            </w:r>
            <w:r>
              <w:rPr>
                <w:bCs/>
                <w:color w:val="auto"/>
                <w:kern w:val="0"/>
                <w:sz w:val="24"/>
              </w:rPr>
              <w:t>落实各方责任</w:t>
            </w:r>
            <w:r>
              <w:rPr>
                <w:rFonts w:hint="eastAsia"/>
                <w:bCs/>
                <w:color w:val="auto"/>
                <w:kern w:val="0"/>
                <w:sz w:val="24"/>
              </w:rPr>
              <w:t>，</w:t>
            </w:r>
            <w:r>
              <w:rPr>
                <w:bCs/>
                <w:color w:val="auto"/>
                <w:kern w:val="0"/>
                <w:sz w:val="24"/>
              </w:rPr>
              <w:t>构建全民行动格局</w:t>
            </w:r>
            <w:r>
              <w:rPr>
                <w:bCs/>
                <w:color w:val="auto"/>
                <w:kern w:val="0"/>
                <w:sz w:val="24"/>
                <w:lang w:val="zh-CN"/>
              </w:rPr>
              <w:t>。</w:t>
            </w:r>
            <w:r>
              <w:rPr>
                <w:color w:val="auto"/>
                <w:kern w:val="0"/>
                <w:sz w:val="24"/>
              </w:rPr>
              <w:t>到2025年，全市PM</w:t>
            </w:r>
            <w:r>
              <w:rPr>
                <w:color w:val="auto"/>
                <w:kern w:val="0"/>
                <w:sz w:val="24"/>
                <w:vertAlign w:val="subscript"/>
              </w:rPr>
              <w:t>2.5</w:t>
            </w:r>
            <w:r>
              <w:rPr>
                <w:color w:val="auto"/>
                <w:kern w:val="0"/>
                <w:sz w:val="24"/>
              </w:rPr>
              <w:t>浓度总体达标，PM</w:t>
            </w:r>
            <w:r>
              <w:rPr>
                <w:color w:val="auto"/>
                <w:kern w:val="0"/>
                <w:sz w:val="24"/>
                <w:vertAlign w:val="subscript"/>
              </w:rPr>
              <w:t>2.5</w:t>
            </w:r>
            <w:r>
              <w:rPr>
                <w:color w:val="auto"/>
                <w:kern w:val="0"/>
                <w:sz w:val="24"/>
              </w:rPr>
              <w:t>浓度比2020年下降10%，基本消除重度及以上污染天气，空气质量持续改善；氮氧化物和VOCs排放总量比2020年分别下降10%以上</w:t>
            </w:r>
            <w:r>
              <w:rPr>
                <w:rFonts w:hint="eastAsia"/>
                <w:color w:val="auto"/>
                <w:kern w:val="0"/>
                <w:sz w:val="24"/>
              </w:rPr>
              <w:t>，</w:t>
            </w:r>
            <w:r>
              <w:rPr>
                <w:color w:val="auto"/>
                <w:kern w:val="0"/>
                <w:sz w:val="24"/>
              </w:rPr>
              <w:t>完成省下达的减排目标</w:t>
            </w:r>
            <w:r>
              <w:rPr>
                <w:rFonts w:hint="eastAsia"/>
                <w:color w:val="auto"/>
                <w:kern w:val="0"/>
                <w:sz w:val="24"/>
              </w:rPr>
              <w:t>。</w:t>
            </w:r>
            <w:r>
              <w:rPr>
                <w:rFonts w:hint="eastAsia" w:ascii="宋体" w:hAnsi="宋体" w:cs="宋体"/>
                <w:color w:val="auto"/>
                <w:sz w:val="24"/>
              </w:rPr>
              <w:t>项目新增的废气、废水污染物排放总量已按有关规定落实了倍量和等量平衡方案，固体废物落实了安全处置措施。建设单位通过全面落实各项污染治理措施，大力推行清洁生产，各类污染物能得到有效控制，污染负荷有限，不会降低当地大气环境质量等级，项目建设具有相应的环境基础，不会突破项目所在地环境质量底线，因此项目的建设符合环境质量底线要求。</w:t>
            </w:r>
          </w:p>
          <w:p w14:paraId="0E5C4DF5">
            <w:pPr>
              <w:spacing w:line="360" w:lineRule="auto"/>
              <w:ind w:firstLine="480" w:firstLineChars="200"/>
              <w:rPr>
                <w:rFonts w:ascii="宋体" w:hAnsi="宋体" w:cs="宋体"/>
                <w:color w:val="auto"/>
                <w:sz w:val="24"/>
              </w:rPr>
            </w:pPr>
            <w:r>
              <w:rPr>
                <w:rFonts w:hint="eastAsia" w:ascii="宋体" w:hAnsi="宋体" w:cs="宋体"/>
                <w:color w:val="auto"/>
                <w:sz w:val="24"/>
              </w:rPr>
              <w:t>（3）资源利用上线</w:t>
            </w:r>
          </w:p>
          <w:p w14:paraId="1AF306C7">
            <w:pPr>
              <w:pStyle w:val="7"/>
              <w:spacing w:line="360" w:lineRule="auto"/>
              <w:ind w:firstLine="480" w:firstLineChars="200"/>
              <w:rPr>
                <w:rFonts w:ascii="宋体" w:hAnsi="宋体" w:cs="宋体"/>
                <w:color w:val="auto"/>
                <w:sz w:val="24"/>
              </w:rPr>
            </w:pPr>
            <w:r>
              <w:rPr>
                <w:rFonts w:hint="eastAsia" w:ascii="宋体" w:hAnsi="宋体" w:cs="宋体"/>
                <w:color w:val="auto"/>
                <w:sz w:val="24"/>
              </w:rPr>
              <w:t>根据上文规划对照分析，区域内土地、能源、水等资源的承载力能满足项目要求。</w:t>
            </w:r>
          </w:p>
          <w:p w14:paraId="1CB6861E">
            <w:pPr>
              <w:spacing w:line="360" w:lineRule="auto"/>
              <w:ind w:firstLine="480" w:firstLineChars="200"/>
              <w:rPr>
                <w:rFonts w:ascii="宋体" w:hAnsi="宋体" w:cs="宋体"/>
                <w:color w:val="auto"/>
                <w:sz w:val="24"/>
              </w:rPr>
            </w:pPr>
            <w:r>
              <w:rPr>
                <w:rFonts w:hint="eastAsia" w:ascii="宋体" w:hAnsi="宋体" w:cs="宋体"/>
                <w:color w:val="auto"/>
                <w:sz w:val="24"/>
              </w:rPr>
              <w:t>项目不新增建设用地，利用现有闲置地块新建厂房。利用的水、电、燃气等资源供应有可靠保障，不触及所在地资源利用的上线。</w:t>
            </w:r>
          </w:p>
          <w:p w14:paraId="507829A1">
            <w:pPr>
              <w:spacing w:line="360" w:lineRule="auto"/>
              <w:ind w:left="420" w:leftChars="200"/>
              <w:rPr>
                <w:rFonts w:ascii="宋体" w:hAnsi="宋体" w:cs="宋体"/>
                <w:color w:val="auto"/>
                <w:sz w:val="24"/>
              </w:rPr>
            </w:pPr>
            <w:r>
              <w:rPr>
                <w:rFonts w:hint="eastAsia" w:ascii="宋体" w:hAnsi="宋体" w:cs="宋体"/>
                <w:color w:val="auto"/>
                <w:sz w:val="24"/>
              </w:rPr>
              <w:t>（4）环境准入负面清单</w:t>
            </w:r>
          </w:p>
          <w:p w14:paraId="34FC1228">
            <w:pPr>
              <w:spacing w:line="360" w:lineRule="auto"/>
              <w:ind w:firstLine="480" w:firstLineChars="200"/>
              <w:rPr>
                <w:rFonts w:ascii="宋体" w:hAnsi="宋体" w:cs="宋体"/>
                <w:color w:val="auto"/>
                <w:sz w:val="24"/>
              </w:rPr>
            </w:pPr>
            <w:r>
              <w:rPr>
                <w:rFonts w:ascii="宋体" w:hAnsi="宋体" w:cs="宋体"/>
                <w:color w:val="auto"/>
                <w:sz w:val="24"/>
              </w:rPr>
              <w:t>①</w:t>
            </w:r>
            <w:r>
              <w:rPr>
                <w:rFonts w:hint="eastAsia" w:ascii="宋体" w:hAnsi="宋体" w:cs="宋体"/>
                <w:color w:val="auto"/>
                <w:sz w:val="24"/>
              </w:rPr>
              <w:t>本项目不属于《市场准入负面清</w:t>
            </w:r>
            <w:r>
              <w:rPr>
                <w:color w:val="auto"/>
                <w:sz w:val="24"/>
              </w:rPr>
              <w:t>单（2022年版）》中</w:t>
            </w:r>
            <w:r>
              <w:rPr>
                <w:rFonts w:hint="eastAsia" w:ascii="宋体" w:hAnsi="宋体" w:cs="宋体"/>
                <w:color w:val="auto"/>
                <w:sz w:val="24"/>
              </w:rPr>
              <w:t>禁止准入类和限制准入项目；</w:t>
            </w:r>
          </w:p>
          <w:p w14:paraId="02E13F80">
            <w:pPr>
              <w:spacing w:line="360" w:lineRule="auto"/>
              <w:ind w:firstLine="480" w:firstLineChars="200"/>
              <w:jc w:val="left"/>
              <w:rPr>
                <w:color w:val="auto"/>
                <w:sz w:val="24"/>
              </w:rPr>
            </w:pPr>
            <w:r>
              <w:rPr>
                <w:rFonts w:ascii="宋体" w:hAnsi="宋体" w:cs="宋体"/>
                <w:color w:val="auto"/>
                <w:sz w:val="24"/>
              </w:rPr>
              <w:t>②</w:t>
            </w:r>
            <w:r>
              <w:rPr>
                <w:color w:val="auto"/>
                <w:sz w:val="24"/>
              </w:rPr>
              <w:t>与《江苏省2023年度生态环境分区管控动态更新成果公告》相符性</w:t>
            </w:r>
          </w:p>
          <w:p w14:paraId="3BDA671B">
            <w:pPr>
              <w:pStyle w:val="4"/>
              <w:adjustRightInd w:val="0"/>
              <w:ind w:firstLine="0" w:firstLineChars="0"/>
              <w:jc w:val="center"/>
              <w:rPr>
                <w:rFonts w:ascii="Times New Roman" w:hAnsi="Times New Roman"/>
                <w:b/>
                <w:bCs/>
                <w:color w:val="auto"/>
                <w:kern w:val="2"/>
                <w:sz w:val="24"/>
                <w:szCs w:val="24"/>
              </w:rPr>
            </w:pPr>
            <w:r>
              <w:rPr>
                <w:rFonts w:ascii="Times New Roman" w:hAnsi="Times New Roman"/>
                <w:b/>
                <w:bCs/>
                <w:color w:val="auto"/>
                <w:kern w:val="2"/>
                <w:sz w:val="24"/>
                <w:szCs w:val="24"/>
              </w:rPr>
              <w:t>表1-</w:t>
            </w:r>
            <w:r>
              <w:rPr>
                <w:rFonts w:hint="eastAsia" w:ascii="Times New Roman" w:hAnsi="Times New Roman"/>
                <w:b/>
                <w:bCs/>
                <w:color w:val="auto"/>
                <w:kern w:val="2"/>
                <w:sz w:val="24"/>
                <w:szCs w:val="24"/>
              </w:rPr>
              <w:t xml:space="preserve">2  </w:t>
            </w:r>
            <w:r>
              <w:rPr>
                <w:rFonts w:ascii="Times New Roman" w:hAnsi="Times New Roman"/>
                <w:b/>
                <w:bCs/>
                <w:color w:val="auto"/>
                <w:kern w:val="2"/>
                <w:sz w:val="24"/>
                <w:szCs w:val="24"/>
              </w:rPr>
              <w:t>与《江苏省2023年度生态环境分区管控动态更新成果公告》相符性</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
              <w:gridCol w:w="525"/>
              <w:gridCol w:w="4064"/>
              <w:gridCol w:w="1968"/>
              <w:gridCol w:w="652"/>
            </w:tblGrid>
            <w:tr w14:paraId="3A59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tcMar>
                    <w:top w:w="0" w:type="dxa"/>
                    <w:left w:w="0" w:type="dxa"/>
                    <w:bottom w:w="0" w:type="dxa"/>
                    <w:right w:w="0" w:type="dxa"/>
                  </w:tcMar>
                  <w:vAlign w:val="center"/>
                </w:tcPr>
                <w:p w14:paraId="093700D3">
                  <w:pPr>
                    <w:jc w:val="center"/>
                    <w:rPr>
                      <w:b/>
                      <w:bCs/>
                      <w:color w:val="auto"/>
                    </w:rPr>
                  </w:pPr>
                  <w:r>
                    <w:rPr>
                      <w:b/>
                      <w:bCs/>
                      <w:color w:val="auto"/>
                    </w:rPr>
                    <w:t>序号</w:t>
                  </w:r>
                </w:p>
              </w:tc>
              <w:tc>
                <w:tcPr>
                  <w:tcW w:w="2988" w:type="pct"/>
                  <w:gridSpan w:val="2"/>
                  <w:tcMar>
                    <w:top w:w="0" w:type="dxa"/>
                    <w:left w:w="0" w:type="dxa"/>
                    <w:bottom w:w="0" w:type="dxa"/>
                    <w:right w:w="0" w:type="dxa"/>
                  </w:tcMar>
                  <w:vAlign w:val="center"/>
                </w:tcPr>
                <w:p w14:paraId="3E68AA6A">
                  <w:pPr>
                    <w:jc w:val="center"/>
                    <w:rPr>
                      <w:b/>
                      <w:bCs/>
                      <w:color w:val="auto"/>
                    </w:rPr>
                  </w:pPr>
                  <w:r>
                    <w:rPr>
                      <w:b/>
                      <w:bCs/>
                      <w:color w:val="auto"/>
                    </w:rPr>
                    <w:t>管控要求</w:t>
                  </w:r>
                </w:p>
              </w:tc>
              <w:tc>
                <w:tcPr>
                  <w:tcW w:w="1281" w:type="pct"/>
                  <w:tcMar>
                    <w:top w:w="0" w:type="dxa"/>
                    <w:left w:w="0" w:type="dxa"/>
                    <w:bottom w:w="0" w:type="dxa"/>
                    <w:right w:w="0" w:type="dxa"/>
                  </w:tcMar>
                  <w:vAlign w:val="center"/>
                </w:tcPr>
                <w:p w14:paraId="19F68844">
                  <w:pPr>
                    <w:jc w:val="center"/>
                    <w:rPr>
                      <w:b/>
                      <w:bCs/>
                      <w:color w:val="auto"/>
                    </w:rPr>
                  </w:pPr>
                  <w:r>
                    <w:rPr>
                      <w:b/>
                      <w:bCs/>
                      <w:color w:val="auto"/>
                    </w:rPr>
                    <w:t>本项目相关内容</w:t>
                  </w:r>
                </w:p>
              </w:tc>
              <w:tc>
                <w:tcPr>
                  <w:tcW w:w="425" w:type="pct"/>
                  <w:tcMar>
                    <w:top w:w="0" w:type="dxa"/>
                    <w:left w:w="0" w:type="dxa"/>
                    <w:bottom w:w="0" w:type="dxa"/>
                    <w:right w:w="0" w:type="dxa"/>
                  </w:tcMar>
                  <w:vAlign w:val="center"/>
                </w:tcPr>
                <w:p w14:paraId="40F0EBA3">
                  <w:pPr>
                    <w:jc w:val="center"/>
                    <w:rPr>
                      <w:b/>
                      <w:bCs/>
                      <w:color w:val="auto"/>
                    </w:rPr>
                  </w:pPr>
                  <w:r>
                    <w:rPr>
                      <w:b/>
                      <w:bCs/>
                      <w:color w:val="auto"/>
                    </w:rPr>
                    <w:t>相符性</w:t>
                  </w:r>
                </w:p>
              </w:tc>
            </w:tr>
            <w:tr w14:paraId="39C5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tcMar>
                    <w:top w:w="0" w:type="dxa"/>
                    <w:left w:w="0" w:type="dxa"/>
                    <w:bottom w:w="0" w:type="dxa"/>
                    <w:right w:w="0" w:type="dxa"/>
                  </w:tcMar>
                  <w:vAlign w:val="center"/>
                </w:tcPr>
                <w:p w14:paraId="1BCAE4EA">
                  <w:pPr>
                    <w:jc w:val="center"/>
                    <w:rPr>
                      <w:color w:val="auto"/>
                    </w:rPr>
                  </w:pPr>
                  <w:r>
                    <w:rPr>
                      <w:color w:val="auto"/>
                    </w:rPr>
                    <w:t>1</w:t>
                  </w:r>
                </w:p>
              </w:tc>
              <w:tc>
                <w:tcPr>
                  <w:tcW w:w="342" w:type="pct"/>
                  <w:vMerge w:val="restart"/>
                  <w:tcMar>
                    <w:top w:w="0" w:type="dxa"/>
                    <w:left w:w="0" w:type="dxa"/>
                    <w:bottom w:w="0" w:type="dxa"/>
                    <w:right w:w="0" w:type="dxa"/>
                  </w:tcMar>
                  <w:vAlign w:val="center"/>
                </w:tcPr>
                <w:p w14:paraId="7C673710">
                  <w:pPr>
                    <w:jc w:val="center"/>
                    <w:rPr>
                      <w:color w:val="auto"/>
                    </w:rPr>
                  </w:pPr>
                  <w:r>
                    <w:rPr>
                      <w:color w:val="auto"/>
                    </w:rPr>
                    <w:t>空间布局约束</w:t>
                  </w:r>
                </w:p>
              </w:tc>
              <w:tc>
                <w:tcPr>
                  <w:tcW w:w="2645" w:type="pct"/>
                  <w:tcMar>
                    <w:top w:w="0" w:type="dxa"/>
                    <w:left w:w="0" w:type="dxa"/>
                    <w:bottom w:w="0" w:type="dxa"/>
                    <w:right w:w="0" w:type="dxa"/>
                  </w:tcMar>
                  <w:vAlign w:val="center"/>
                </w:tcPr>
                <w:p w14:paraId="4A64122A">
                  <w:pPr>
                    <w:jc w:val="center"/>
                    <w:rPr>
                      <w:color w:val="auto"/>
                    </w:rPr>
                  </w:pPr>
                  <w:r>
                    <w:rPr>
                      <w:rFonts w:hint="eastAsia"/>
                      <w:color w:val="auto"/>
                    </w:rPr>
                    <w:t>1．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1281" w:type="pct"/>
                  <w:tcMar>
                    <w:top w:w="0" w:type="dxa"/>
                    <w:left w:w="0" w:type="dxa"/>
                    <w:bottom w:w="0" w:type="dxa"/>
                    <w:right w:w="0" w:type="dxa"/>
                  </w:tcMar>
                  <w:vAlign w:val="center"/>
                </w:tcPr>
                <w:p w14:paraId="7F7E6BA0">
                  <w:pPr>
                    <w:jc w:val="center"/>
                    <w:rPr>
                      <w:color w:val="auto"/>
                    </w:rPr>
                  </w:pPr>
                  <w:r>
                    <w:rPr>
                      <w:color w:val="auto"/>
                    </w:rPr>
                    <w:t>本项目</w:t>
                  </w:r>
                  <w:r>
                    <w:rPr>
                      <w:rFonts w:hint="eastAsia"/>
                      <w:color w:val="auto"/>
                    </w:rPr>
                    <w:t>距离</w:t>
                  </w:r>
                  <w:r>
                    <w:rPr>
                      <w:color w:val="auto"/>
                    </w:rPr>
                    <w:t>最近的生态空间管控区天荒湖重要渔业水域</w:t>
                  </w:r>
                  <w:r>
                    <w:rPr>
                      <w:rFonts w:hint="eastAsia"/>
                      <w:color w:val="auto"/>
                    </w:rPr>
                    <w:t>2.6k</w:t>
                  </w:r>
                  <w:r>
                    <w:rPr>
                      <w:color w:val="auto"/>
                    </w:rPr>
                    <w:t>m</w:t>
                  </w:r>
                  <w:r>
                    <w:rPr>
                      <w:rFonts w:hint="eastAsia"/>
                      <w:color w:val="auto"/>
                    </w:rPr>
                    <w:t>，</w:t>
                  </w:r>
                  <w:r>
                    <w:rPr>
                      <w:color w:val="auto"/>
                    </w:rPr>
                    <w:t>不在生态保护红线范围内，项目实施后，</w:t>
                  </w:r>
                  <w:r>
                    <w:rPr>
                      <w:rFonts w:hint="eastAsia"/>
                      <w:color w:val="auto"/>
                    </w:rPr>
                    <w:t>有机废气经收集处理后排放，生活污水不直接排放水体，</w:t>
                  </w:r>
                  <w:r>
                    <w:rPr>
                      <w:color w:val="auto"/>
                    </w:rPr>
                    <w:t>不会使生态功能降低、不会影响生态空间面积、不会改变生态空间性质</w:t>
                  </w:r>
                  <w:r>
                    <w:rPr>
                      <w:rFonts w:hint="eastAsia"/>
                      <w:color w:val="auto"/>
                    </w:rPr>
                    <w:t>。</w:t>
                  </w:r>
                </w:p>
              </w:tc>
              <w:tc>
                <w:tcPr>
                  <w:tcW w:w="425" w:type="pct"/>
                  <w:tcMar>
                    <w:top w:w="0" w:type="dxa"/>
                    <w:left w:w="0" w:type="dxa"/>
                    <w:bottom w:w="0" w:type="dxa"/>
                    <w:right w:w="0" w:type="dxa"/>
                  </w:tcMar>
                  <w:vAlign w:val="center"/>
                </w:tcPr>
                <w:p w14:paraId="1C31970D">
                  <w:pPr>
                    <w:jc w:val="center"/>
                    <w:rPr>
                      <w:color w:val="auto"/>
                    </w:rPr>
                  </w:pPr>
                  <w:r>
                    <w:rPr>
                      <w:color w:val="auto"/>
                    </w:rPr>
                    <w:t>相符</w:t>
                  </w:r>
                </w:p>
              </w:tc>
            </w:tr>
            <w:tr w14:paraId="4848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Mar>
                    <w:top w:w="0" w:type="dxa"/>
                    <w:left w:w="0" w:type="dxa"/>
                    <w:bottom w:w="0" w:type="dxa"/>
                    <w:right w:w="0" w:type="dxa"/>
                  </w:tcMar>
                  <w:vAlign w:val="center"/>
                </w:tcPr>
                <w:p w14:paraId="0FF747D1">
                  <w:pPr>
                    <w:jc w:val="center"/>
                    <w:rPr>
                      <w:color w:val="auto"/>
                    </w:rPr>
                  </w:pPr>
                </w:p>
              </w:tc>
              <w:tc>
                <w:tcPr>
                  <w:tcW w:w="342" w:type="pct"/>
                  <w:vMerge w:val="continue"/>
                  <w:tcMar>
                    <w:top w:w="0" w:type="dxa"/>
                    <w:left w:w="0" w:type="dxa"/>
                    <w:bottom w:w="0" w:type="dxa"/>
                    <w:right w:w="0" w:type="dxa"/>
                  </w:tcMar>
                  <w:vAlign w:val="center"/>
                </w:tcPr>
                <w:p w14:paraId="63D375FF">
                  <w:pPr>
                    <w:jc w:val="center"/>
                    <w:rPr>
                      <w:color w:val="auto"/>
                    </w:rPr>
                  </w:pPr>
                </w:p>
              </w:tc>
              <w:tc>
                <w:tcPr>
                  <w:tcW w:w="2645" w:type="pct"/>
                  <w:tcMar>
                    <w:top w:w="0" w:type="dxa"/>
                    <w:left w:w="0" w:type="dxa"/>
                    <w:bottom w:w="0" w:type="dxa"/>
                    <w:right w:w="0" w:type="dxa"/>
                  </w:tcMar>
                  <w:vAlign w:val="center"/>
                </w:tcPr>
                <w:p w14:paraId="779536F0">
                  <w:pPr>
                    <w:jc w:val="center"/>
                    <w:rPr>
                      <w:color w:val="auto"/>
                    </w:rPr>
                  </w:pPr>
                  <w:r>
                    <w:rPr>
                      <w:rFonts w:hint="eastAsia"/>
                      <w:color w:val="auto"/>
                    </w:rPr>
                    <w:t>2．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281" w:type="pct"/>
                  <w:tcMar>
                    <w:top w:w="0" w:type="dxa"/>
                    <w:left w:w="0" w:type="dxa"/>
                    <w:bottom w:w="0" w:type="dxa"/>
                    <w:right w:w="0" w:type="dxa"/>
                  </w:tcMar>
                  <w:vAlign w:val="center"/>
                </w:tcPr>
                <w:p w14:paraId="0235BB36">
                  <w:pPr>
                    <w:jc w:val="center"/>
                    <w:rPr>
                      <w:color w:val="auto"/>
                    </w:rPr>
                  </w:pPr>
                  <w:r>
                    <w:rPr>
                      <w:rFonts w:hint="eastAsia"/>
                      <w:color w:val="auto"/>
                    </w:rPr>
                    <w:t>本项目不在重点保护的岸线、河段、区域范围内，不属于排放量大、耗能高产能过剩的产业。</w:t>
                  </w:r>
                </w:p>
              </w:tc>
              <w:tc>
                <w:tcPr>
                  <w:tcW w:w="425" w:type="pct"/>
                  <w:tcMar>
                    <w:top w:w="0" w:type="dxa"/>
                    <w:left w:w="0" w:type="dxa"/>
                    <w:bottom w:w="0" w:type="dxa"/>
                    <w:right w:w="0" w:type="dxa"/>
                  </w:tcMar>
                  <w:vAlign w:val="center"/>
                </w:tcPr>
                <w:p w14:paraId="117D2F38">
                  <w:pPr>
                    <w:jc w:val="center"/>
                    <w:rPr>
                      <w:color w:val="auto"/>
                    </w:rPr>
                  </w:pPr>
                  <w:r>
                    <w:rPr>
                      <w:color w:val="auto"/>
                    </w:rPr>
                    <w:t>相符</w:t>
                  </w:r>
                </w:p>
              </w:tc>
            </w:tr>
            <w:tr w14:paraId="4F9B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Mar>
                    <w:top w:w="0" w:type="dxa"/>
                    <w:left w:w="0" w:type="dxa"/>
                    <w:bottom w:w="0" w:type="dxa"/>
                    <w:right w:w="0" w:type="dxa"/>
                  </w:tcMar>
                  <w:vAlign w:val="center"/>
                </w:tcPr>
                <w:p w14:paraId="2E380FD5">
                  <w:pPr>
                    <w:jc w:val="center"/>
                    <w:rPr>
                      <w:color w:val="auto"/>
                    </w:rPr>
                  </w:pPr>
                </w:p>
              </w:tc>
              <w:tc>
                <w:tcPr>
                  <w:tcW w:w="342" w:type="pct"/>
                  <w:vMerge w:val="continue"/>
                  <w:tcMar>
                    <w:top w:w="0" w:type="dxa"/>
                    <w:left w:w="0" w:type="dxa"/>
                    <w:bottom w:w="0" w:type="dxa"/>
                    <w:right w:w="0" w:type="dxa"/>
                  </w:tcMar>
                  <w:vAlign w:val="center"/>
                </w:tcPr>
                <w:p w14:paraId="343F7394">
                  <w:pPr>
                    <w:jc w:val="center"/>
                    <w:rPr>
                      <w:color w:val="auto"/>
                    </w:rPr>
                  </w:pPr>
                </w:p>
              </w:tc>
              <w:tc>
                <w:tcPr>
                  <w:tcW w:w="2645" w:type="pct"/>
                  <w:tcMar>
                    <w:top w:w="0" w:type="dxa"/>
                    <w:left w:w="0" w:type="dxa"/>
                    <w:bottom w:w="0" w:type="dxa"/>
                    <w:right w:w="0" w:type="dxa"/>
                  </w:tcMar>
                  <w:vAlign w:val="center"/>
                </w:tcPr>
                <w:p w14:paraId="7E9788D4">
                  <w:pPr>
                    <w:jc w:val="center"/>
                    <w:rPr>
                      <w:color w:val="auto"/>
                    </w:rPr>
                  </w:pPr>
                  <w:r>
                    <w:rPr>
                      <w:rFonts w:hint="eastAsia"/>
                      <w:color w:val="auto"/>
                    </w:rPr>
                    <w:t>3．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1281" w:type="pct"/>
                  <w:tcMar>
                    <w:top w:w="0" w:type="dxa"/>
                    <w:left w:w="0" w:type="dxa"/>
                    <w:bottom w:w="0" w:type="dxa"/>
                    <w:right w:w="0" w:type="dxa"/>
                  </w:tcMar>
                  <w:vAlign w:val="center"/>
                </w:tcPr>
                <w:p w14:paraId="6B755461">
                  <w:pPr>
                    <w:jc w:val="center"/>
                    <w:rPr>
                      <w:color w:val="auto"/>
                    </w:rPr>
                  </w:pPr>
                  <w:r>
                    <w:rPr>
                      <w:rFonts w:hint="eastAsia"/>
                      <w:color w:val="auto"/>
                    </w:rPr>
                    <w:t>本项目位于</w:t>
                  </w:r>
                  <w:r>
                    <w:rPr>
                      <w:color w:val="auto"/>
                    </w:rPr>
                    <w:t>江苏省常州市金坛区</w:t>
                  </w:r>
                  <w:r>
                    <w:rPr>
                      <w:rFonts w:hint="eastAsia"/>
                      <w:color w:val="auto"/>
                    </w:rPr>
                    <w:t>直溪镇工业集中区直溪大道16号，不在长江干支流两侧1公里范围内。</w:t>
                  </w:r>
                </w:p>
              </w:tc>
              <w:tc>
                <w:tcPr>
                  <w:tcW w:w="425" w:type="pct"/>
                  <w:tcMar>
                    <w:top w:w="0" w:type="dxa"/>
                    <w:left w:w="0" w:type="dxa"/>
                    <w:bottom w:w="0" w:type="dxa"/>
                    <w:right w:w="0" w:type="dxa"/>
                  </w:tcMar>
                  <w:vAlign w:val="center"/>
                </w:tcPr>
                <w:p w14:paraId="7D283B6C">
                  <w:pPr>
                    <w:jc w:val="center"/>
                    <w:rPr>
                      <w:color w:val="auto"/>
                    </w:rPr>
                  </w:pPr>
                  <w:r>
                    <w:rPr>
                      <w:color w:val="auto"/>
                    </w:rPr>
                    <w:t>相符</w:t>
                  </w:r>
                </w:p>
              </w:tc>
            </w:tr>
            <w:tr w14:paraId="0645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Mar>
                    <w:top w:w="0" w:type="dxa"/>
                    <w:left w:w="0" w:type="dxa"/>
                    <w:bottom w:w="0" w:type="dxa"/>
                    <w:right w:w="0" w:type="dxa"/>
                  </w:tcMar>
                  <w:vAlign w:val="center"/>
                </w:tcPr>
                <w:p w14:paraId="7E7284F7">
                  <w:pPr>
                    <w:jc w:val="center"/>
                    <w:rPr>
                      <w:color w:val="auto"/>
                    </w:rPr>
                  </w:pPr>
                </w:p>
              </w:tc>
              <w:tc>
                <w:tcPr>
                  <w:tcW w:w="342" w:type="pct"/>
                  <w:vMerge w:val="continue"/>
                  <w:tcMar>
                    <w:top w:w="0" w:type="dxa"/>
                    <w:left w:w="0" w:type="dxa"/>
                    <w:bottom w:w="0" w:type="dxa"/>
                    <w:right w:w="0" w:type="dxa"/>
                  </w:tcMar>
                  <w:vAlign w:val="center"/>
                </w:tcPr>
                <w:p w14:paraId="55DB799D">
                  <w:pPr>
                    <w:jc w:val="center"/>
                    <w:rPr>
                      <w:color w:val="auto"/>
                    </w:rPr>
                  </w:pPr>
                </w:p>
              </w:tc>
              <w:tc>
                <w:tcPr>
                  <w:tcW w:w="2645" w:type="pct"/>
                  <w:tcMar>
                    <w:top w:w="0" w:type="dxa"/>
                    <w:left w:w="0" w:type="dxa"/>
                    <w:bottom w:w="0" w:type="dxa"/>
                    <w:right w:w="0" w:type="dxa"/>
                  </w:tcMar>
                  <w:vAlign w:val="center"/>
                </w:tcPr>
                <w:p w14:paraId="494A1790">
                  <w:pPr>
                    <w:jc w:val="center"/>
                    <w:rPr>
                      <w:color w:val="auto"/>
                    </w:rPr>
                  </w:pPr>
                  <w:r>
                    <w:rPr>
                      <w:rFonts w:hint="eastAsia"/>
                      <w:color w:val="auto"/>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281" w:type="pct"/>
                  <w:tcMar>
                    <w:top w:w="0" w:type="dxa"/>
                    <w:left w:w="0" w:type="dxa"/>
                    <w:bottom w:w="0" w:type="dxa"/>
                    <w:right w:w="0" w:type="dxa"/>
                  </w:tcMar>
                  <w:vAlign w:val="center"/>
                </w:tcPr>
                <w:p w14:paraId="220E032E">
                  <w:pPr>
                    <w:jc w:val="center"/>
                    <w:rPr>
                      <w:color w:val="auto"/>
                    </w:rPr>
                  </w:pPr>
                  <w:r>
                    <w:rPr>
                      <w:rFonts w:hint="eastAsia"/>
                      <w:color w:val="auto"/>
                    </w:rPr>
                    <w:t>本项目从事气弹簧生产，不属于钢铁行业。</w:t>
                  </w:r>
                </w:p>
              </w:tc>
              <w:tc>
                <w:tcPr>
                  <w:tcW w:w="425" w:type="pct"/>
                  <w:tcMar>
                    <w:top w:w="0" w:type="dxa"/>
                    <w:left w:w="0" w:type="dxa"/>
                    <w:bottom w:w="0" w:type="dxa"/>
                    <w:right w:w="0" w:type="dxa"/>
                  </w:tcMar>
                  <w:vAlign w:val="center"/>
                </w:tcPr>
                <w:p w14:paraId="01B61291">
                  <w:pPr>
                    <w:jc w:val="center"/>
                    <w:rPr>
                      <w:color w:val="auto"/>
                    </w:rPr>
                  </w:pPr>
                  <w:r>
                    <w:rPr>
                      <w:color w:val="auto"/>
                    </w:rPr>
                    <w:t>相符</w:t>
                  </w:r>
                </w:p>
              </w:tc>
            </w:tr>
            <w:tr w14:paraId="09BD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Mar>
                    <w:top w:w="0" w:type="dxa"/>
                    <w:left w:w="0" w:type="dxa"/>
                    <w:bottom w:w="0" w:type="dxa"/>
                    <w:right w:w="0" w:type="dxa"/>
                  </w:tcMar>
                  <w:vAlign w:val="center"/>
                </w:tcPr>
                <w:p w14:paraId="60FAA494">
                  <w:pPr>
                    <w:jc w:val="center"/>
                    <w:rPr>
                      <w:color w:val="auto"/>
                    </w:rPr>
                  </w:pPr>
                </w:p>
              </w:tc>
              <w:tc>
                <w:tcPr>
                  <w:tcW w:w="342" w:type="pct"/>
                  <w:vMerge w:val="continue"/>
                  <w:tcMar>
                    <w:top w:w="0" w:type="dxa"/>
                    <w:left w:w="0" w:type="dxa"/>
                    <w:bottom w:w="0" w:type="dxa"/>
                    <w:right w:w="0" w:type="dxa"/>
                  </w:tcMar>
                  <w:vAlign w:val="center"/>
                </w:tcPr>
                <w:p w14:paraId="18B51C30">
                  <w:pPr>
                    <w:jc w:val="center"/>
                    <w:rPr>
                      <w:color w:val="auto"/>
                    </w:rPr>
                  </w:pPr>
                </w:p>
              </w:tc>
              <w:tc>
                <w:tcPr>
                  <w:tcW w:w="2645" w:type="pct"/>
                  <w:tcMar>
                    <w:top w:w="0" w:type="dxa"/>
                    <w:left w:w="0" w:type="dxa"/>
                    <w:bottom w:w="0" w:type="dxa"/>
                    <w:right w:w="0" w:type="dxa"/>
                  </w:tcMar>
                  <w:vAlign w:val="center"/>
                </w:tcPr>
                <w:p w14:paraId="02104396">
                  <w:pPr>
                    <w:jc w:val="center"/>
                    <w:rPr>
                      <w:color w:val="auto"/>
                    </w:rPr>
                  </w:pPr>
                  <w:r>
                    <w:rPr>
                      <w:rFonts w:hint="eastAsia"/>
                      <w:color w:val="auto"/>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281" w:type="pct"/>
                  <w:tcMar>
                    <w:top w:w="0" w:type="dxa"/>
                    <w:left w:w="0" w:type="dxa"/>
                    <w:bottom w:w="0" w:type="dxa"/>
                    <w:right w:w="0" w:type="dxa"/>
                  </w:tcMar>
                  <w:vAlign w:val="center"/>
                </w:tcPr>
                <w:p w14:paraId="311A6FB3">
                  <w:pPr>
                    <w:jc w:val="center"/>
                    <w:rPr>
                      <w:color w:val="auto"/>
                    </w:rPr>
                  </w:pPr>
                  <w:r>
                    <w:rPr>
                      <w:color w:val="auto"/>
                    </w:rPr>
                    <w:t>本项目</w:t>
                  </w:r>
                  <w:r>
                    <w:rPr>
                      <w:rFonts w:hint="eastAsia"/>
                      <w:color w:val="auto"/>
                    </w:rPr>
                    <w:t>不涉及</w:t>
                  </w:r>
                  <w:r>
                    <w:rPr>
                      <w:color w:val="auto"/>
                    </w:rPr>
                    <w:t>生态保护红线</w:t>
                  </w:r>
                  <w:r>
                    <w:rPr>
                      <w:rFonts w:hint="eastAsia"/>
                      <w:color w:val="auto"/>
                    </w:rPr>
                    <w:t>、相关法定保护区的重大民生项目、重大基础设施项目。</w:t>
                  </w:r>
                </w:p>
              </w:tc>
              <w:tc>
                <w:tcPr>
                  <w:tcW w:w="425" w:type="pct"/>
                  <w:tcMar>
                    <w:top w:w="0" w:type="dxa"/>
                    <w:left w:w="0" w:type="dxa"/>
                    <w:bottom w:w="0" w:type="dxa"/>
                    <w:right w:w="0" w:type="dxa"/>
                  </w:tcMar>
                  <w:vAlign w:val="center"/>
                </w:tcPr>
                <w:p w14:paraId="48DC0CBC">
                  <w:pPr>
                    <w:jc w:val="center"/>
                    <w:rPr>
                      <w:color w:val="auto"/>
                    </w:rPr>
                  </w:pPr>
                  <w:r>
                    <w:rPr>
                      <w:color w:val="auto"/>
                    </w:rPr>
                    <w:t>相符</w:t>
                  </w:r>
                </w:p>
              </w:tc>
            </w:tr>
            <w:tr w14:paraId="336A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tcMar>
                    <w:top w:w="0" w:type="dxa"/>
                    <w:left w:w="0" w:type="dxa"/>
                    <w:bottom w:w="0" w:type="dxa"/>
                    <w:right w:w="0" w:type="dxa"/>
                  </w:tcMar>
                  <w:vAlign w:val="center"/>
                </w:tcPr>
                <w:p w14:paraId="7DB1526D">
                  <w:pPr>
                    <w:jc w:val="center"/>
                    <w:rPr>
                      <w:color w:val="auto"/>
                    </w:rPr>
                  </w:pPr>
                  <w:r>
                    <w:rPr>
                      <w:color w:val="auto"/>
                    </w:rPr>
                    <w:t>2</w:t>
                  </w:r>
                </w:p>
              </w:tc>
              <w:tc>
                <w:tcPr>
                  <w:tcW w:w="342" w:type="pct"/>
                  <w:vMerge w:val="restart"/>
                  <w:tcMar>
                    <w:top w:w="0" w:type="dxa"/>
                    <w:left w:w="0" w:type="dxa"/>
                    <w:bottom w:w="0" w:type="dxa"/>
                    <w:right w:w="0" w:type="dxa"/>
                  </w:tcMar>
                  <w:vAlign w:val="center"/>
                </w:tcPr>
                <w:p w14:paraId="3E5146CE">
                  <w:pPr>
                    <w:jc w:val="center"/>
                    <w:rPr>
                      <w:color w:val="auto"/>
                    </w:rPr>
                  </w:pPr>
                  <w:r>
                    <w:rPr>
                      <w:color w:val="auto"/>
                    </w:rPr>
                    <w:t>污染物排放管控</w:t>
                  </w:r>
                </w:p>
              </w:tc>
              <w:tc>
                <w:tcPr>
                  <w:tcW w:w="2645" w:type="pct"/>
                  <w:tcMar>
                    <w:top w:w="0" w:type="dxa"/>
                    <w:left w:w="0" w:type="dxa"/>
                    <w:bottom w:w="0" w:type="dxa"/>
                    <w:right w:w="0" w:type="dxa"/>
                  </w:tcMar>
                  <w:vAlign w:val="center"/>
                </w:tcPr>
                <w:p w14:paraId="69A1E61C">
                  <w:pPr>
                    <w:jc w:val="center"/>
                    <w:rPr>
                      <w:color w:val="auto"/>
                    </w:rPr>
                  </w:pPr>
                  <w:r>
                    <w:rPr>
                      <w:color w:val="auto"/>
                    </w:rPr>
                    <w:t>1．坚持生态环境质量只能更好、不能变坏，实施污染物总量控制，以环境容量定产业、定项目、定规模，确保开发建设行为不突破生态环境承载力。</w:t>
                  </w:r>
                </w:p>
              </w:tc>
              <w:tc>
                <w:tcPr>
                  <w:tcW w:w="1281" w:type="pct"/>
                  <w:tcMar>
                    <w:top w:w="0" w:type="dxa"/>
                    <w:left w:w="0" w:type="dxa"/>
                    <w:bottom w:w="0" w:type="dxa"/>
                    <w:right w:w="0" w:type="dxa"/>
                  </w:tcMar>
                  <w:vAlign w:val="center"/>
                </w:tcPr>
                <w:p w14:paraId="79474398">
                  <w:pPr>
                    <w:jc w:val="center"/>
                    <w:rPr>
                      <w:color w:val="auto"/>
                    </w:rPr>
                  </w:pPr>
                  <w:r>
                    <w:rPr>
                      <w:color w:val="auto"/>
                    </w:rPr>
                    <w:t>本项目应按要求向常州市金坛生态环境局申请总量</w:t>
                  </w:r>
                  <w:r>
                    <w:rPr>
                      <w:rFonts w:hint="eastAsia"/>
                      <w:color w:val="auto"/>
                    </w:rPr>
                    <w:t>。</w:t>
                  </w:r>
                </w:p>
              </w:tc>
              <w:tc>
                <w:tcPr>
                  <w:tcW w:w="425" w:type="pct"/>
                  <w:tcMar>
                    <w:top w:w="0" w:type="dxa"/>
                    <w:left w:w="0" w:type="dxa"/>
                    <w:bottom w:w="0" w:type="dxa"/>
                    <w:right w:w="0" w:type="dxa"/>
                  </w:tcMar>
                  <w:vAlign w:val="center"/>
                </w:tcPr>
                <w:p w14:paraId="72294CC9">
                  <w:pPr>
                    <w:jc w:val="center"/>
                    <w:rPr>
                      <w:color w:val="auto"/>
                    </w:rPr>
                  </w:pPr>
                  <w:r>
                    <w:rPr>
                      <w:color w:val="auto"/>
                    </w:rPr>
                    <w:t>相符</w:t>
                  </w:r>
                </w:p>
              </w:tc>
            </w:tr>
            <w:tr w14:paraId="0D3C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Mar>
                    <w:top w:w="0" w:type="dxa"/>
                    <w:left w:w="0" w:type="dxa"/>
                    <w:bottom w:w="0" w:type="dxa"/>
                    <w:right w:w="0" w:type="dxa"/>
                  </w:tcMar>
                  <w:vAlign w:val="center"/>
                </w:tcPr>
                <w:p w14:paraId="5B5BA4D8">
                  <w:pPr>
                    <w:jc w:val="center"/>
                    <w:rPr>
                      <w:color w:val="auto"/>
                    </w:rPr>
                  </w:pPr>
                </w:p>
              </w:tc>
              <w:tc>
                <w:tcPr>
                  <w:tcW w:w="342" w:type="pct"/>
                  <w:vMerge w:val="continue"/>
                  <w:tcMar>
                    <w:top w:w="0" w:type="dxa"/>
                    <w:left w:w="0" w:type="dxa"/>
                    <w:bottom w:w="0" w:type="dxa"/>
                    <w:right w:w="0" w:type="dxa"/>
                  </w:tcMar>
                  <w:vAlign w:val="center"/>
                </w:tcPr>
                <w:p w14:paraId="4F601318">
                  <w:pPr>
                    <w:jc w:val="center"/>
                    <w:rPr>
                      <w:color w:val="auto"/>
                    </w:rPr>
                  </w:pPr>
                </w:p>
              </w:tc>
              <w:tc>
                <w:tcPr>
                  <w:tcW w:w="2645" w:type="pct"/>
                  <w:tcMar>
                    <w:top w:w="0" w:type="dxa"/>
                    <w:left w:w="0" w:type="dxa"/>
                    <w:bottom w:w="0" w:type="dxa"/>
                    <w:right w:w="0" w:type="dxa"/>
                  </w:tcMar>
                  <w:vAlign w:val="center"/>
                </w:tcPr>
                <w:p w14:paraId="08A95D88">
                  <w:pPr>
                    <w:jc w:val="center"/>
                    <w:rPr>
                      <w:color w:val="auto"/>
                    </w:rPr>
                  </w:pPr>
                  <w:r>
                    <w:rPr>
                      <w:color w:val="auto"/>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281" w:type="pct"/>
                  <w:tcMar>
                    <w:top w:w="0" w:type="dxa"/>
                    <w:left w:w="0" w:type="dxa"/>
                    <w:bottom w:w="0" w:type="dxa"/>
                    <w:right w:w="0" w:type="dxa"/>
                  </w:tcMar>
                  <w:vAlign w:val="center"/>
                </w:tcPr>
                <w:p w14:paraId="5A03BA90">
                  <w:pPr>
                    <w:jc w:val="center"/>
                    <w:rPr>
                      <w:color w:val="auto"/>
                    </w:rPr>
                  </w:pPr>
                  <w:r>
                    <w:rPr>
                      <w:color w:val="auto"/>
                    </w:rPr>
                    <w:t>本项目</w:t>
                  </w:r>
                  <w:r>
                    <w:rPr>
                      <w:rFonts w:hint="eastAsia"/>
                      <w:color w:val="auto"/>
                    </w:rPr>
                    <w:t>从事气弹簧生产，</w:t>
                  </w:r>
                  <w:r>
                    <w:rPr>
                      <w:color w:val="auto"/>
                    </w:rPr>
                    <w:t>不属于</w:t>
                  </w:r>
                  <w:r>
                    <w:rPr>
                      <w:rFonts w:hint="eastAsia"/>
                      <w:color w:val="auto"/>
                    </w:rPr>
                    <w:t>高能耗</w:t>
                  </w:r>
                  <w:r>
                    <w:rPr>
                      <w:color w:val="auto"/>
                    </w:rPr>
                    <w:t>工业，</w:t>
                  </w:r>
                  <w:r>
                    <w:rPr>
                      <w:rFonts w:hint="eastAsia"/>
                      <w:color w:val="auto"/>
                    </w:rPr>
                    <w:t>本项目有机废气收集处理后排放，减少有机废气的排放。</w:t>
                  </w:r>
                </w:p>
              </w:tc>
              <w:tc>
                <w:tcPr>
                  <w:tcW w:w="425" w:type="pct"/>
                  <w:tcMar>
                    <w:top w:w="0" w:type="dxa"/>
                    <w:left w:w="0" w:type="dxa"/>
                    <w:bottom w:w="0" w:type="dxa"/>
                    <w:right w:w="0" w:type="dxa"/>
                  </w:tcMar>
                  <w:vAlign w:val="center"/>
                </w:tcPr>
                <w:p w14:paraId="436B1FF1">
                  <w:pPr>
                    <w:jc w:val="center"/>
                    <w:rPr>
                      <w:color w:val="auto"/>
                    </w:rPr>
                  </w:pPr>
                  <w:r>
                    <w:rPr>
                      <w:color w:val="auto"/>
                    </w:rPr>
                    <w:t>相符</w:t>
                  </w:r>
                </w:p>
              </w:tc>
            </w:tr>
            <w:tr w14:paraId="454A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tcMar>
                    <w:top w:w="0" w:type="dxa"/>
                    <w:left w:w="0" w:type="dxa"/>
                    <w:bottom w:w="0" w:type="dxa"/>
                    <w:right w:w="0" w:type="dxa"/>
                  </w:tcMar>
                  <w:vAlign w:val="center"/>
                </w:tcPr>
                <w:p w14:paraId="313E3626">
                  <w:pPr>
                    <w:jc w:val="center"/>
                    <w:rPr>
                      <w:color w:val="auto"/>
                    </w:rPr>
                  </w:pPr>
                  <w:r>
                    <w:rPr>
                      <w:color w:val="auto"/>
                    </w:rPr>
                    <w:t>3</w:t>
                  </w:r>
                </w:p>
              </w:tc>
              <w:tc>
                <w:tcPr>
                  <w:tcW w:w="342" w:type="pct"/>
                  <w:vMerge w:val="restart"/>
                  <w:tcMar>
                    <w:top w:w="0" w:type="dxa"/>
                    <w:left w:w="0" w:type="dxa"/>
                    <w:bottom w:w="0" w:type="dxa"/>
                    <w:right w:w="0" w:type="dxa"/>
                  </w:tcMar>
                  <w:vAlign w:val="center"/>
                </w:tcPr>
                <w:p w14:paraId="01AE0AE2">
                  <w:pPr>
                    <w:jc w:val="center"/>
                    <w:rPr>
                      <w:color w:val="auto"/>
                    </w:rPr>
                  </w:pPr>
                  <w:r>
                    <w:rPr>
                      <w:color w:val="auto"/>
                    </w:rPr>
                    <w:t>环境风险防控</w:t>
                  </w:r>
                </w:p>
              </w:tc>
              <w:tc>
                <w:tcPr>
                  <w:tcW w:w="2645" w:type="pct"/>
                  <w:tcMar>
                    <w:top w:w="0" w:type="dxa"/>
                    <w:left w:w="0" w:type="dxa"/>
                    <w:bottom w:w="0" w:type="dxa"/>
                    <w:right w:w="0" w:type="dxa"/>
                  </w:tcMar>
                  <w:vAlign w:val="center"/>
                </w:tcPr>
                <w:p w14:paraId="4F806156">
                  <w:pPr>
                    <w:jc w:val="center"/>
                    <w:rPr>
                      <w:color w:val="auto"/>
                    </w:rPr>
                  </w:pPr>
                  <w:r>
                    <w:rPr>
                      <w:rFonts w:hint="eastAsia"/>
                      <w:color w:val="auto"/>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281" w:type="pct"/>
                  <w:tcMar>
                    <w:top w:w="0" w:type="dxa"/>
                    <w:left w:w="0" w:type="dxa"/>
                    <w:bottom w:w="0" w:type="dxa"/>
                    <w:right w:w="0" w:type="dxa"/>
                  </w:tcMar>
                  <w:vAlign w:val="center"/>
                </w:tcPr>
                <w:p w14:paraId="3D307B85">
                  <w:pPr>
                    <w:jc w:val="center"/>
                    <w:rPr>
                      <w:color w:val="auto"/>
                    </w:rPr>
                  </w:pPr>
                  <w:r>
                    <w:rPr>
                      <w:color w:val="auto"/>
                    </w:rPr>
                    <w:t>本项目不运输剧毒物质</w:t>
                  </w:r>
                  <w:r>
                    <w:rPr>
                      <w:rFonts w:hint="eastAsia"/>
                      <w:color w:val="auto"/>
                    </w:rPr>
                    <w:t>和</w:t>
                  </w:r>
                  <w:r>
                    <w:rPr>
                      <w:color w:val="auto"/>
                    </w:rPr>
                    <w:t>危险化学品</w:t>
                  </w:r>
                  <w:r>
                    <w:rPr>
                      <w:rFonts w:hint="eastAsia"/>
                      <w:color w:val="auto"/>
                    </w:rPr>
                    <w:t>；本项目</w:t>
                  </w:r>
                  <w:r>
                    <w:rPr>
                      <w:color w:val="auto"/>
                    </w:rPr>
                    <w:t>产生的危险废物交由有资质单位处置，</w:t>
                  </w:r>
                  <w:r>
                    <w:rPr>
                      <w:rFonts w:hint="eastAsia"/>
                      <w:color w:val="auto"/>
                    </w:rPr>
                    <w:t>零</w:t>
                  </w:r>
                  <w:r>
                    <w:rPr>
                      <w:color w:val="auto"/>
                    </w:rPr>
                    <w:t>排放。</w:t>
                  </w:r>
                </w:p>
              </w:tc>
              <w:tc>
                <w:tcPr>
                  <w:tcW w:w="425" w:type="pct"/>
                  <w:tcMar>
                    <w:top w:w="0" w:type="dxa"/>
                    <w:left w:w="0" w:type="dxa"/>
                    <w:bottom w:w="0" w:type="dxa"/>
                    <w:right w:w="0" w:type="dxa"/>
                  </w:tcMar>
                  <w:vAlign w:val="center"/>
                </w:tcPr>
                <w:p w14:paraId="543739AC">
                  <w:pPr>
                    <w:jc w:val="center"/>
                    <w:rPr>
                      <w:color w:val="auto"/>
                    </w:rPr>
                  </w:pPr>
                  <w:r>
                    <w:rPr>
                      <w:color w:val="auto"/>
                    </w:rPr>
                    <w:t>相符</w:t>
                  </w:r>
                </w:p>
              </w:tc>
            </w:tr>
            <w:tr w14:paraId="30D2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Mar>
                    <w:top w:w="0" w:type="dxa"/>
                    <w:left w:w="0" w:type="dxa"/>
                    <w:bottom w:w="0" w:type="dxa"/>
                    <w:right w:w="0" w:type="dxa"/>
                  </w:tcMar>
                  <w:vAlign w:val="center"/>
                </w:tcPr>
                <w:p w14:paraId="548C1496">
                  <w:pPr>
                    <w:jc w:val="center"/>
                    <w:rPr>
                      <w:color w:val="auto"/>
                    </w:rPr>
                  </w:pPr>
                </w:p>
              </w:tc>
              <w:tc>
                <w:tcPr>
                  <w:tcW w:w="342" w:type="pct"/>
                  <w:vMerge w:val="continue"/>
                  <w:tcMar>
                    <w:top w:w="0" w:type="dxa"/>
                    <w:left w:w="0" w:type="dxa"/>
                    <w:bottom w:w="0" w:type="dxa"/>
                    <w:right w:w="0" w:type="dxa"/>
                  </w:tcMar>
                  <w:vAlign w:val="center"/>
                </w:tcPr>
                <w:p w14:paraId="2C5F9DD6">
                  <w:pPr>
                    <w:jc w:val="center"/>
                    <w:rPr>
                      <w:color w:val="auto"/>
                    </w:rPr>
                  </w:pPr>
                </w:p>
              </w:tc>
              <w:tc>
                <w:tcPr>
                  <w:tcW w:w="2645" w:type="pct"/>
                  <w:tcMar>
                    <w:top w:w="0" w:type="dxa"/>
                    <w:left w:w="0" w:type="dxa"/>
                    <w:bottom w:w="0" w:type="dxa"/>
                    <w:right w:w="0" w:type="dxa"/>
                  </w:tcMar>
                  <w:vAlign w:val="center"/>
                </w:tcPr>
                <w:p w14:paraId="5866888D">
                  <w:pPr>
                    <w:jc w:val="center"/>
                    <w:rPr>
                      <w:color w:val="auto"/>
                    </w:rPr>
                  </w:pPr>
                  <w:r>
                    <w:rPr>
                      <w:rFonts w:hint="eastAsia"/>
                      <w:color w:val="auto"/>
                    </w:rPr>
                    <w:t>3．强化环境事故应急管理。深化跨部门、跨区域环境应急协调联动，分区域建立环境应急物资储备库。各级工业园区（集聚区）和企业的环境应急装备和储备物资应纳入储备体系。</w:t>
                  </w:r>
                </w:p>
              </w:tc>
              <w:tc>
                <w:tcPr>
                  <w:tcW w:w="1281" w:type="pct"/>
                  <w:tcMar>
                    <w:top w:w="0" w:type="dxa"/>
                    <w:left w:w="0" w:type="dxa"/>
                    <w:bottom w:w="0" w:type="dxa"/>
                    <w:right w:w="0" w:type="dxa"/>
                  </w:tcMar>
                  <w:vAlign w:val="center"/>
                </w:tcPr>
                <w:p w14:paraId="2A6452B4">
                  <w:pPr>
                    <w:jc w:val="center"/>
                    <w:rPr>
                      <w:color w:val="auto"/>
                    </w:rPr>
                  </w:pPr>
                  <w:r>
                    <w:rPr>
                      <w:color w:val="auto"/>
                    </w:rPr>
                    <w:t>项目实施后，</w:t>
                  </w:r>
                  <w:r>
                    <w:rPr>
                      <w:rFonts w:hint="eastAsia"/>
                      <w:color w:val="auto"/>
                    </w:rPr>
                    <w:t>按</w:t>
                  </w:r>
                  <w:r>
                    <w:rPr>
                      <w:color w:val="auto"/>
                    </w:rPr>
                    <w:t>要求</w:t>
                  </w:r>
                  <w:r>
                    <w:rPr>
                      <w:rFonts w:hint="eastAsia"/>
                      <w:color w:val="auto"/>
                    </w:rPr>
                    <w:t>配备环境应急装备、储备应急物资。</w:t>
                  </w:r>
                </w:p>
              </w:tc>
              <w:tc>
                <w:tcPr>
                  <w:tcW w:w="425" w:type="pct"/>
                  <w:tcMar>
                    <w:top w:w="0" w:type="dxa"/>
                    <w:left w:w="0" w:type="dxa"/>
                    <w:bottom w:w="0" w:type="dxa"/>
                    <w:right w:w="0" w:type="dxa"/>
                  </w:tcMar>
                  <w:vAlign w:val="center"/>
                </w:tcPr>
                <w:p w14:paraId="789CCCDB">
                  <w:pPr>
                    <w:jc w:val="center"/>
                    <w:rPr>
                      <w:color w:val="auto"/>
                    </w:rPr>
                  </w:pPr>
                  <w:r>
                    <w:rPr>
                      <w:color w:val="auto"/>
                    </w:rPr>
                    <w:t>相符</w:t>
                  </w:r>
                </w:p>
              </w:tc>
            </w:tr>
            <w:tr w14:paraId="61DD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Mar>
                    <w:top w:w="0" w:type="dxa"/>
                    <w:left w:w="0" w:type="dxa"/>
                    <w:bottom w:w="0" w:type="dxa"/>
                    <w:right w:w="0" w:type="dxa"/>
                  </w:tcMar>
                  <w:vAlign w:val="center"/>
                </w:tcPr>
                <w:p w14:paraId="61D50070">
                  <w:pPr>
                    <w:jc w:val="center"/>
                    <w:rPr>
                      <w:color w:val="auto"/>
                    </w:rPr>
                  </w:pPr>
                </w:p>
              </w:tc>
              <w:tc>
                <w:tcPr>
                  <w:tcW w:w="342" w:type="pct"/>
                  <w:vMerge w:val="continue"/>
                  <w:tcMar>
                    <w:top w:w="0" w:type="dxa"/>
                    <w:left w:w="0" w:type="dxa"/>
                    <w:bottom w:w="0" w:type="dxa"/>
                    <w:right w:w="0" w:type="dxa"/>
                  </w:tcMar>
                  <w:vAlign w:val="center"/>
                </w:tcPr>
                <w:p w14:paraId="176B5D55">
                  <w:pPr>
                    <w:jc w:val="center"/>
                    <w:rPr>
                      <w:color w:val="auto"/>
                    </w:rPr>
                  </w:pPr>
                </w:p>
              </w:tc>
              <w:tc>
                <w:tcPr>
                  <w:tcW w:w="2645" w:type="pct"/>
                  <w:tcMar>
                    <w:top w:w="0" w:type="dxa"/>
                    <w:left w:w="0" w:type="dxa"/>
                    <w:bottom w:w="0" w:type="dxa"/>
                    <w:right w:w="0" w:type="dxa"/>
                  </w:tcMar>
                  <w:vAlign w:val="center"/>
                </w:tcPr>
                <w:p w14:paraId="593866C8">
                  <w:pPr>
                    <w:jc w:val="center"/>
                    <w:rPr>
                      <w:color w:val="auto"/>
                    </w:rPr>
                  </w:pPr>
                  <w:r>
                    <w:rPr>
                      <w:rFonts w:hint="eastAsia"/>
                      <w:color w:val="auto"/>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281" w:type="pct"/>
                  <w:tcMar>
                    <w:top w:w="0" w:type="dxa"/>
                    <w:left w:w="0" w:type="dxa"/>
                    <w:bottom w:w="0" w:type="dxa"/>
                    <w:right w:w="0" w:type="dxa"/>
                  </w:tcMar>
                  <w:vAlign w:val="center"/>
                </w:tcPr>
                <w:p w14:paraId="42FC0501">
                  <w:pPr>
                    <w:jc w:val="center"/>
                    <w:rPr>
                      <w:color w:val="auto"/>
                    </w:rPr>
                  </w:pPr>
                  <w:r>
                    <w:rPr>
                      <w:color w:val="auto"/>
                    </w:rPr>
                    <w:t>项目实施后，</w:t>
                  </w:r>
                  <w:r>
                    <w:rPr>
                      <w:rFonts w:hint="eastAsia"/>
                      <w:color w:val="auto"/>
                    </w:rPr>
                    <w:t>按</w:t>
                  </w:r>
                  <w:r>
                    <w:rPr>
                      <w:color w:val="auto"/>
                    </w:rPr>
                    <w:t>要求编制</w:t>
                  </w:r>
                  <w:r>
                    <w:rPr>
                      <w:rFonts w:hint="eastAsia"/>
                      <w:color w:val="auto"/>
                    </w:rPr>
                    <w:t>突发环境事件</w:t>
                  </w:r>
                  <w:r>
                    <w:rPr>
                      <w:color w:val="auto"/>
                    </w:rPr>
                    <w:t>应急预案</w:t>
                  </w:r>
                  <w:r>
                    <w:rPr>
                      <w:rFonts w:hint="eastAsia"/>
                      <w:color w:val="auto"/>
                    </w:rPr>
                    <w:t>、落实预案中的相关</w:t>
                  </w:r>
                  <w:r>
                    <w:rPr>
                      <w:color w:val="auto"/>
                    </w:rPr>
                    <w:t>风险防范措施</w:t>
                  </w:r>
                  <w:r>
                    <w:rPr>
                      <w:rFonts w:hint="eastAsia"/>
                      <w:color w:val="auto"/>
                    </w:rPr>
                    <w:t>并报相关部门备案。</w:t>
                  </w:r>
                </w:p>
              </w:tc>
              <w:tc>
                <w:tcPr>
                  <w:tcW w:w="425" w:type="pct"/>
                  <w:tcMar>
                    <w:top w:w="0" w:type="dxa"/>
                    <w:left w:w="0" w:type="dxa"/>
                    <w:bottom w:w="0" w:type="dxa"/>
                    <w:right w:w="0" w:type="dxa"/>
                  </w:tcMar>
                  <w:vAlign w:val="center"/>
                </w:tcPr>
                <w:p w14:paraId="376FC36A">
                  <w:pPr>
                    <w:jc w:val="center"/>
                    <w:rPr>
                      <w:color w:val="auto"/>
                    </w:rPr>
                  </w:pPr>
                  <w:r>
                    <w:rPr>
                      <w:color w:val="auto"/>
                    </w:rPr>
                    <w:t>相符</w:t>
                  </w:r>
                </w:p>
              </w:tc>
            </w:tr>
            <w:tr w14:paraId="7FA9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tcMar>
                    <w:top w:w="0" w:type="dxa"/>
                    <w:left w:w="0" w:type="dxa"/>
                    <w:bottom w:w="0" w:type="dxa"/>
                    <w:right w:w="0" w:type="dxa"/>
                  </w:tcMar>
                  <w:vAlign w:val="center"/>
                </w:tcPr>
                <w:p w14:paraId="71753D3C">
                  <w:pPr>
                    <w:jc w:val="center"/>
                    <w:rPr>
                      <w:color w:val="auto"/>
                    </w:rPr>
                  </w:pPr>
                  <w:r>
                    <w:rPr>
                      <w:color w:val="auto"/>
                    </w:rPr>
                    <w:t>4</w:t>
                  </w:r>
                </w:p>
              </w:tc>
              <w:tc>
                <w:tcPr>
                  <w:tcW w:w="342" w:type="pct"/>
                  <w:vMerge w:val="restart"/>
                  <w:tcMar>
                    <w:top w:w="0" w:type="dxa"/>
                    <w:left w:w="0" w:type="dxa"/>
                    <w:bottom w:w="0" w:type="dxa"/>
                    <w:right w:w="0" w:type="dxa"/>
                  </w:tcMar>
                  <w:vAlign w:val="center"/>
                </w:tcPr>
                <w:p w14:paraId="4C55D163">
                  <w:pPr>
                    <w:jc w:val="center"/>
                    <w:rPr>
                      <w:color w:val="auto"/>
                    </w:rPr>
                  </w:pPr>
                  <w:r>
                    <w:rPr>
                      <w:color w:val="auto"/>
                    </w:rPr>
                    <w:t>资源利用效率要求</w:t>
                  </w:r>
                </w:p>
              </w:tc>
              <w:tc>
                <w:tcPr>
                  <w:tcW w:w="2645" w:type="pct"/>
                  <w:tcMar>
                    <w:top w:w="0" w:type="dxa"/>
                    <w:left w:w="0" w:type="dxa"/>
                    <w:bottom w:w="0" w:type="dxa"/>
                    <w:right w:w="0" w:type="dxa"/>
                  </w:tcMar>
                  <w:vAlign w:val="center"/>
                </w:tcPr>
                <w:p w14:paraId="37906C1F">
                  <w:pPr>
                    <w:jc w:val="center"/>
                    <w:rPr>
                      <w:color w:val="auto"/>
                    </w:rPr>
                  </w:pPr>
                  <w:r>
                    <w:rPr>
                      <w:color w:val="auto"/>
                    </w:rPr>
                    <w:t>1．水资源利用总量及效率要求：到2025年，全省用水总量控制在525.9亿立方米以内，万元地区生产总值用水量、万元工业增加值用水量下降完成国家下达目标，农田灌溉水有效利用系数提高到0.625。</w:t>
                  </w:r>
                </w:p>
              </w:tc>
              <w:tc>
                <w:tcPr>
                  <w:tcW w:w="1281" w:type="pct"/>
                  <w:tcMar>
                    <w:top w:w="0" w:type="dxa"/>
                    <w:left w:w="0" w:type="dxa"/>
                    <w:bottom w:w="0" w:type="dxa"/>
                    <w:right w:w="0" w:type="dxa"/>
                  </w:tcMar>
                  <w:vAlign w:val="center"/>
                </w:tcPr>
                <w:p w14:paraId="7D0D3B11">
                  <w:pPr>
                    <w:autoSpaceDE w:val="0"/>
                    <w:autoSpaceDN w:val="0"/>
                    <w:adjustRightInd w:val="0"/>
                    <w:jc w:val="center"/>
                    <w:rPr>
                      <w:color w:val="auto"/>
                    </w:rPr>
                  </w:pPr>
                  <w:r>
                    <w:rPr>
                      <w:color w:val="auto"/>
                    </w:rPr>
                    <w:t>本项目</w:t>
                  </w:r>
                  <w:r>
                    <w:rPr>
                      <w:rFonts w:hint="eastAsia"/>
                      <w:color w:val="auto"/>
                    </w:rPr>
                    <w:t>仅生活用水，用水量较少，满足要求</w:t>
                  </w:r>
                </w:p>
              </w:tc>
              <w:tc>
                <w:tcPr>
                  <w:tcW w:w="425" w:type="pct"/>
                  <w:tcMar>
                    <w:top w:w="0" w:type="dxa"/>
                    <w:left w:w="0" w:type="dxa"/>
                    <w:bottom w:w="0" w:type="dxa"/>
                    <w:right w:w="0" w:type="dxa"/>
                  </w:tcMar>
                  <w:vAlign w:val="center"/>
                </w:tcPr>
                <w:p w14:paraId="0B14813B">
                  <w:pPr>
                    <w:jc w:val="center"/>
                    <w:rPr>
                      <w:color w:val="auto"/>
                    </w:rPr>
                  </w:pPr>
                  <w:r>
                    <w:rPr>
                      <w:color w:val="auto"/>
                    </w:rPr>
                    <w:t>相符</w:t>
                  </w:r>
                </w:p>
              </w:tc>
            </w:tr>
            <w:tr w14:paraId="7C4C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Mar>
                    <w:top w:w="0" w:type="dxa"/>
                    <w:left w:w="0" w:type="dxa"/>
                    <w:bottom w:w="0" w:type="dxa"/>
                    <w:right w:w="0" w:type="dxa"/>
                  </w:tcMar>
                  <w:vAlign w:val="center"/>
                </w:tcPr>
                <w:p w14:paraId="50E65095">
                  <w:pPr>
                    <w:jc w:val="center"/>
                    <w:rPr>
                      <w:color w:val="auto"/>
                    </w:rPr>
                  </w:pPr>
                </w:p>
              </w:tc>
              <w:tc>
                <w:tcPr>
                  <w:tcW w:w="342" w:type="pct"/>
                  <w:vMerge w:val="continue"/>
                  <w:tcMar>
                    <w:top w:w="0" w:type="dxa"/>
                    <w:left w:w="0" w:type="dxa"/>
                    <w:bottom w:w="0" w:type="dxa"/>
                    <w:right w:w="0" w:type="dxa"/>
                  </w:tcMar>
                  <w:vAlign w:val="center"/>
                </w:tcPr>
                <w:p w14:paraId="5BA5E1DD">
                  <w:pPr>
                    <w:jc w:val="center"/>
                    <w:rPr>
                      <w:color w:val="auto"/>
                    </w:rPr>
                  </w:pPr>
                </w:p>
              </w:tc>
              <w:tc>
                <w:tcPr>
                  <w:tcW w:w="2645" w:type="pct"/>
                  <w:tcMar>
                    <w:top w:w="0" w:type="dxa"/>
                    <w:left w:w="0" w:type="dxa"/>
                    <w:bottom w:w="0" w:type="dxa"/>
                    <w:right w:w="0" w:type="dxa"/>
                  </w:tcMar>
                  <w:vAlign w:val="center"/>
                </w:tcPr>
                <w:p w14:paraId="62EB3ECE">
                  <w:pPr>
                    <w:jc w:val="center"/>
                    <w:rPr>
                      <w:color w:val="auto"/>
                    </w:rPr>
                  </w:pPr>
                  <w:r>
                    <w:rPr>
                      <w:color w:val="auto"/>
                    </w:rPr>
                    <w:t>2．土地资源总量要求：到2025年，江苏省耕地保有量不低于5977万亩，其中永久基本农田保护面积不低于5344万亩。</w:t>
                  </w:r>
                </w:p>
              </w:tc>
              <w:tc>
                <w:tcPr>
                  <w:tcW w:w="1281" w:type="pct"/>
                  <w:tcMar>
                    <w:top w:w="0" w:type="dxa"/>
                    <w:left w:w="0" w:type="dxa"/>
                    <w:bottom w:w="0" w:type="dxa"/>
                    <w:right w:w="0" w:type="dxa"/>
                  </w:tcMar>
                  <w:vAlign w:val="center"/>
                </w:tcPr>
                <w:p w14:paraId="527A821E">
                  <w:pPr>
                    <w:jc w:val="center"/>
                    <w:rPr>
                      <w:color w:val="auto"/>
                    </w:rPr>
                  </w:pPr>
                  <w:r>
                    <w:rPr>
                      <w:rFonts w:hint="eastAsia"/>
                      <w:color w:val="auto"/>
                    </w:rPr>
                    <w:t>项目不新增建设用地，利用现有闲置地块新建厂房。</w:t>
                  </w:r>
                </w:p>
              </w:tc>
              <w:tc>
                <w:tcPr>
                  <w:tcW w:w="425" w:type="pct"/>
                  <w:tcMar>
                    <w:top w:w="0" w:type="dxa"/>
                    <w:left w:w="0" w:type="dxa"/>
                    <w:bottom w:w="0" w:type="dxa"/>
                    <w:right w:w="0" w:type="dxa"/>
                  </w:tcMar>
                  <w:vAlign w:val="center"/>
                </w:tcPr>
                <w:p w14:paraId="2CCD2A6E">
                  <w:pPr>
                    <w:jc w:val="center"/>
                    <w:rPr>
                      <w:color w:val="auto"/>
                    </w:rPr>
                  </w:pPr>
                  <w:r>
                    <w:rPr>
                      <w:color w:val="auto"/>
                    </w:rPr>
                    <w:t>相符</w:t>
                  </w:r>
                </w:p>
              </w:tc>
            </w:tr>
            <w:tr w14:paraId="349F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tcMar>
                    <w:top w:w="0" w:type="dxa"/>
                    <w:left w:w="0" w:type="dxa"/>
                    <w:bottom w:w="0" w:type="dxa"/>
                    <w:right w:w="0" w:type="dxa"/>
                  </w:tcMar>
                  <w:vAlign w:val="center"/>
                </w:tcPr>
                <w:p w14:paraId="0C977EF2">
                  <w:pPr>
                    <w:jc w:val="center"/>
                    <w:rPr>
                      <w:color w:val="auto"/>
                    </w:rPr>
                  </w:pPr>
                </w:p>
              </w:tc>
              <w:tc>
                <w:tcPr>
                  <w:tcW w:w="342" w:type="pct"/>
                  <w:vMerge w:val="continue"/>
                  <w:tcMar>
                    <w:top w:w="0" w:type="dxa"/>
                    <w:left w:w="0" w:type="dxa"/>
                    <w:bottom w:w="0" w:type="dxa"/>
                    <w:right w:w="0" w:type="dxa"/>
                  </w:tcMar>
                  <w:vAlign w:val="center"/>
                </w:tcPr>
                <w:p w14:paraId="691B801C">
                  <w:pPr>
                    <w:jc w:val="center"/>
                    <w:rPr>
                      <w:color w:val="auto"/>
                    </w:rPr>
                  </w:pPr>
                </w:p>
              </w:tc>
              <w:tc>
                <w:tcPr>
                  <w:tcW w:w="2645" w:type="pct"/>
                  <w:tcMar>
                    <w:top w:w="0" w:type="dxa"/>
                    <w:left w:w="0" w:type="dxa"/>
                    <w:bottom w:w="0" w:type="dxa"/>
                    <w:right w:w="0" w:type="dxa"/>
                  </w:tcMar>
                  <w:vAlign w:val="center"/>
                </w:tcPr>
                <w:p w14:paraId="02704A65">
                  <w:pPr>
                    <w:jc w:val="center"/>
                    <w:rPr>
                      <w:color w:val="auto"/>
                    </w:rPr>
                  </w:pPr>
                  <w:r>
                    <w:rPr>
                      <w:color w:val="auto"/>
                    </w:rPr>
                    <w:t>3．禁燃区要求：在禁燃区内，禁止销售、燃用高污染燃料；禁止新建、扩建燃用高污染燃料的设施，已建成的，应当在城市人民政府规定的期限内改用天然气、页岩气、液化石油气、电或者其他清洁能源</w:t>
                  </w:r>
                  <w:r>
                    <w:rPr>
                      <w:rFonts w:hint="eastAsia"/>
                      <w:color w:val="auto"/>
                    </w:rPr>
                    <w:t>。</w:t>
                  </w:r>
                </w:p>
              </w:tc>
              <w:tc>
                <w:tcPr>
                  <w:tcW w:w="1281" w:type="pct"/>
                  <w:tcMar>
                    <w:top w:w="0" w:type="dxa"/>
                    <w:left w:w="0" w:type="dxa"/>
                    <w:bottom w:w="0" w:type="dxa"/>
                    <w:right w:w="0" w:type="dxa"/>
                  </w:tcMar>
                  <w:vAlign w:val="center"/>
                </w:tcPr>
                <w:p w14:paraId="17E9BCB9">
                  <w:pPr>
                    <w:jc w:val="center"/>
                    <w:rPr>
                      <w:color w:val="auto"/>
                    </w:rPr>
                  </w:pPr>
                  <w:r>
                    <w:rPr>
                      <w:color w:val="auto"/>
                    </w:rPr>
                    <w:t>项目</w:t>
                  </w:r>
                  <w:r>
                    <w:rPr>
                      <w:rFonts w:hint="eastAsia"/>
                      <w:color w:val="auto"/>
                    </w:rPr>
                    <w:t>位于</w:t>
                  </w:r>
                  <w:r>
                    <w:rPr>
                      <w:color w:val="auto"/>
                    </w:rPr>
                    <w:t>江苏省常州市金坛区</w:t>
                  </w:r>
                  <w:r>
                    <w:rPr>
                      <w:rFonts w:hint="eastAsia"/>
                      <w:color w:val="auto"/>
                    </w:rPr>
                    <w:t>直溪镇工业集中区直溪大道16号，使用电能作为清洁能源。</w:t>
                  </w:r>
                </w:p>
              </w:tc>
              <w:tc>
                <w:tcPr>
                  <w:tcW w:w="425" w:type="pct"/>
                  <w:tcMar>
                    <w:top w:w="0" w:type="dxa"/>
                    <w:left w:w="0" w:type="dxa"/>
                    <w:bottom w:w="0" w:type="dxa"/>
                    <w:right w:w="0" w:type="dxa"/>
                  </w:tcMar>
                  <w:vAlign w:val="center"/>
                </w:tcPr>
                <w:p w14:paraId="7014816A">
                  <w:pPr>
                    <w:jc w:val="center"/>
                    <w:rPr>
                      <w:color w:val="auto"/>
                    </w:rPr>
                  </w:pPr>
                  <w:r>
                    <w:rPr>
                      <w:color w:val="auto"/>
                    </w:rPr>
                    <w:t>相符</w:t>
                  </w:r>
                </w:p>
              </w:tc>
            </w:tr>
          </w:tbl>
          <w:p w14:paraId="48603F0B">
            <w:pPr>
              <w:spacing w:line="360" w:lineRule="auto"/>
              <w:ind w:firstLine="480" w:firstLineChars="200"/>
              <w:jc w:val="left"/>
              <w:rPr>
                <w:color w:val="auto"/>
                <w:sz w:val="24"/>
              </w:rPr>
            </w:pPr>
            <w:r>
              <w:rPr>
                <w:color w:val="auto"/>
                <w:sz w:val="24"/>
              </w:rPr>
              <w:t>综上，本项目建设与《江苏省2023年度生态环境分区管控动态更新成果公告》相符。</w:t>
            </w:r>
          </w:p>
          <w:p w14:paraId="557AA38F">
            <w:pPr>
              <w:spacing w:line="360" w:lineRule="auto"/>
              <w:ind w:firstLine="480" w:firstLineChars="200"/>
              <w:jc w:val="left"/>
              <w:rPr>
                <w:color w:val="auto"/>
                <w:sz w:val="24"/>
              </w:rPr>
            </w:pPr>
            <w:r>
              <w:rPr>
                <w:rFonts w:ascii="Calibri" w:hAnsi="Calibri" w:cs="Calibri"/>
                <w:color w:val="auto"/>
                <w:sz w:val="24"/>
              </w:rPr>
              <w:t>③</w:t>
            </w:r>
            <w:r>
              <w:rPr>
                <w:rFonts w:hint="eastAsia"/>
                <w:color w:val="auto"/>
                <w:sz w:val="24"/>
              </w:rPr>
              <w:t>与</w:t>
            </w:r>
            <w:r>
              <w:rPr>
                <w:color w:val="auto"/>
                <w:sz w:val="24"/>
              </w:rPr>
              <w:t>《常州市2023年生态环境分区管控动态更新成果》</w:t>
            </w:r>
            <w:r>
              <w:rPr>
                <w:rFonts w:hint="eastAsia"/>
                <w:color w:val="auto"/>
                <w:sz w:val="24"/>
              </w:rPr>
              <w:t>相符性分析</w:t>
            </w:r>
          </w:p>
          <w:p w14:paraId="242941E2">
            <w:pPr>
              <w:pStyle w:val="4"/>
              <w:adjustRightInd w:val="0"/>
              <w:spacing w:before="156" w:beforeLines="50"/>
              <w:ind w:firstLine="0" w:firstLineChars="0"/>
              <w:jc w:val="center"/>
              <w:rPr>
                <w:rFonts w:ascii="Times New Roman" w:hAnsi="Times New Roman"/>
                <w:b/>
                <w:bCs/>
                <w:color w:val="auto"/>
                <w:kern w:val="2"/>
                <w:sz w:val="24"/>
              </w:rPr>
            </w:pPr>
          </w:p>
          <w:p w14:paraId="2DCF34A7">
            <w:pPr>
              <w:pStyle w:val="4"/>
              <w:adjustRightInd w:val="0"/>
              <w:spacing w:before="156" w:beforeLines="50"/>
              <w:ind w:firstLine="0" w:firstLineChars="0"/>
              <w:jc w:val="center"/>
              <w:rPr>
                <w:rFonts w:ascii="Times New Roman" w:hAnsi="Times New Roman"/>
                <w:b/>
                <w:bCs/>
                <w:color w:val="auto"/>
                <w:kern w:val="2"/>
                <w:sz w:val="24"/>
              </w:rPr>
            </w:pPr>
            <w:r>
              <w:rPr>
                <w:rFonts w:ascii="Times New Roman" w:hAnsi="Times New Roman"/>
                <w:b/>
                <w:bCs/>
                <w:color w:val="auto"/>
                <w:kern w:val="2"/>
                <w:sz w:val="24"/>
              </w:rPr>
              <w:t>表1-</w:t>
            </w:r>
            <w:r>
              <w:rPr>
                <w:rFonts w:hint="eastAsia" w:ascii="Times New Roman" w:hAnsi="Times New Roman"/>
                <w:b/>
                <w:bCs/>
                <w:color w:val="auto"/>
                <w:kern w:val="2"/>
                <w:sz w:val="24"/>
              </w:rPr>
              <w:t xml:space="preserve">3  </w:t>
            </w:r>
            <w:r>
              <w:rPr>
                <w:rFonts w:ascii="Times New Roman" w:hAnsi="Times New Roman"/>
                <w:b/>
                <w:bCs/>
                <w:color w:val="auto"/>
                <w:kern w:val="2"/>
                <w:sz w:val="24"/>
              </w:rPr>
              <w:t>与《常州市2023年生态环境分区管控动态更新成果》相符性</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7"/>
              <w:gridCol w:w="565"/>
              <w:gridCol w:w="4382"/>
              <w:gridCol w:w="1504"/>
              <w:gridCol w:w="652"/>
            </w:tblGrid>
            <w:tr w14:paraId="1E3A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Mar>
                    <w:top w:w="0" w:type="dxa"/>
                    <w:left w:w="0" w:type="dxa"/>
                    <w:bottom w:w="0" w:type="dxa"/>
                    <w:right w:w="0" w:type="dxa"/>
                  </w:tcMar>
                  <w:vAlign w:val="center"/>
                </w:tcPr>
                <w:p w14:paraId="4C3E92FB">
                  <w:pPr>
                    <w:jc w:val="center"/>
                    <w:rPr>
                      <w:b/>
                      <w:bCs/>
                      <w:color w:val="auto"/>
                    </w:rPr>
                  </w:pPr>
                  <w:r>
                    <w:rPr>
                      <w:b/>
                      <w:bCs/>
                      <w:color w:val="auto"/>
                    </w:rPr>
                    <w:t>序号</w:t>
                  </w:r>
                </w:p>
              </w:tc>
              <w:tc>
                <w:tcPr>
                  <w:tcW w:w="3225" w:type="pct"/>
                  <w:gridSpan w:val="2"/>
                  <w:tcMar>
                    <w:top w:w="0" w:type="dxa"/>
                    <w:left w:w="0" w:type="dxa"/>
                    <w:bottom w:w="0" w:type="dxa"/>
                    <w:right w:w="0" w:type="dxa"/>
                  </w:tcMar>
                  <w:vAlign w:val="center"/>
                </w:tcPr>
                <w:p w14:paraId="488E4904">
                  <w:pPr>
                    <w:jc w:val="center"/>
                    <w:rPr>
                      <w:b/>
                      <w:bCs/>
                      <w:color w:val="auto"/>
                    </w:rPr>
                  </w:pPr>
                  <w:r>
                    <w:rPr>
                      <w:b/>
                      <w:bCs/>
                      <w:color w:val="auto"/>
                    </w:rPr>
                    <w:t>管控要求</w:t>
                  </w:r>
                </w:p>
              </w:tc>
              <w:tc>
                <w:tcPr>
                  <w:tcW w:w="980" w:type="pct"/>
                  <w:tcMar>
                    <w:top w:w="0" w:type="dxa"/>
                    <w:left w:w="0" w:type="dxa"/>
                    <w:bottom w:w="0" w:type="dxa"/>
                    <w:right w:w="0" w:type="dxa"/>
                  </w:tcMar>
                  <w:vAlign w:val="center"/>
                </w:tcPr>
                <w:p w14:paraId="7324F287">
                  <w:pPr>
                    <w:jc w:val="center"/>
                    <w:rPr>
                      <w:b/>
                      <w:bCs/>
                      <w:color w:val="auto"/>
                    </w:rPr>
                  </w:pPr>
                  <w:r>
                    <w:rPr>
                      <w:b/>
                      <w:color w:val="auto"/>
                    </w:rPr>
                    <w:t>本项目相关内容</w:t>
                  </w:r>
                </w:p>
              </w:tc>
              <w:tc>
                <w:tcPr>
                  <w:tcW w:w="424" w:type="pct"/>
                  <w:tcMar>
                    <w:top w:w="0" w:type="dxa"/>
                    <w:left w:w="0" w:type="dxa"/>
                    <w:bottom w:w="0" w:type="dxa"/>
                    <w:right w:w="0" w:type="dxa"/>
                  </w:tcMar>
                  <w:vAlign w:val="center"/>
                </w:tcPr>
                <w:p w14:paraId="07446384">
                  <w:pPr>
                    <w:jc w:val="center"/>
                    <w:rPr>
                      <w:b/>
                      <w:bCs/>
                      <w:color w:val="auto"/>
                    </w:rPr>
                  </w:pPr>
                  <w:r>
                    <w:rPr>
                      <w:b/>
                      <w:bCs/>
                      <w:color w:val="auto"/>
                    </w:rPr>
                    <w:t>相符性</w:t>
                  </w:r>
                </w:p>
              </w:tc>
            </w:tr>
            <w:tr w14:paraId="3C16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Mar>
                    <w:top w:w="0" w:type="dxa"/>
                    <w:left w:w="0" w:type="dxa"/>
                    <w:bottom w:w="0" w:type="dxa"/>
                    <w:right w:w="0" w:type="dxa"/>
                  </w:tcMar>
                  <w:vAlign w:val="center"/>
                </w:tcPr>
                <w:p w14:paraId="55C39D45">
                  <w:pPr>
                    <w:jc w:val="center"/>
                    <w:rPr>
                      <w:color w:val="auto"/>
                    </w:rPr>
                  </w:pPr>
                  <w:r>
                    <w:rPr>
                      <w:color w:val="auto"/>
                    </w:rPr>
                    <w:t>1</w:t>
                  </w:r>
                </w:p>
              </w:tc>
              <w:tc>
                <w:tcPr>
                  <w:tcW w:w="368" w:type="pct"/>
                  <w:tcMar>
                    <w:top w:w="0" w:type="dxa"/>
                    <w:left w:w="0" w:type="dxa"/>
                    <w:bottom w:w="0" w:type="dxa"/>
                    <w:right w:w="0" w:type="dxa"/>
                  </w:tcMar>
                  <w:vAlign w:val="center"/>
                </w:tcPr>
                <w:p w14:paraId="4510E999">
                  <w:pPr>
                    <w:jc w:val="center"/>
                    <w:rPr>
                      <w:color w:val="auto"/>
                    </w:rPr>
                  </w:pPr>
                  <w:r>
                    <w:rPr>
                      <w:color w:val="auto"/>
                    </w:rPr>
                    <w:t>空间布局约束</w:t>
                  </w:r>
                </w:p>
              </w:tc>
              <w:tc>
                <w:tcPr>
                  <w:tcW w:w="2856" w:type="pct"/>
                  <w:tcMar>
                    <w:top w:w="0" w:type="dxa"/>
                    <w:left w:w="0" w:type="dxa"/>
                    <w:bottom w:w="0" w:type="dxa"/>
                    <w:right w:w="0" w:type="dxa"/>
                  </w:tcMar>
                  <w:vAlign w:val="center"/>
                </w:tcPr>
                <w:p w14:paraId="439E3A03">
                  <w:pPr>
                    <w:jc w:val="left"/>
                    <w:rPr>
                      <w:color w:val="auto"/>
                    </w:rPr>
                  </w:pPr>
                  <w:r>
                    <w:rPr>
                      <w:rFonts w:hint="eastAsia"/>
                      <w:color w:val="auto"/>
                    </w:rPr>
                    <w:t>（1）严格执行《江苏省“三线一单”生态环境分区管控方案》（苏政发〔2020〕49号）附件3江苏省省域生态环境管控要求中“空间布局约束”的相关要求。</w:t>
                  </w:r>
                </w:p>
                <w:p w14:paraId="0F9B2260">
                  <w:pPr>
                    <w:jc w:val="left"/>
                    <w:rPr>
                      <w:color w:val="auto"/>
                    </w:rPr>
                  </w:pPr>
                  <w:r>
                    <w:rPr>
                      <w:rFonts w:hint="eastAsia"/>
                      <w:color w:val="auto"/>
                    </w:rPr>
                    <w:t>（2）严格执行《关于印发各设区市2023年深入打好污染防治攻坚战目标任务书的通知》（苏污防攻坚指办〔2023〕53号）《2023年常州市生态文明建设工作方案》（常政发〔2023〕23号）等文件要求。</w:t>
                  </w:r>
                </w:p>
                <w:p w14:paraId="62B5E92B">
                  <w:pPr>
                    <w:jc w:val="left"/>
                    <w:rPr>
                      <w:color w:val="auto"/>
                    </w:rPr>
                  </w:pPr>
                  <w:r>
                    <w:rPr>
                      <w:rFonts w:hint="eastAsia"/>
                      <w:color w:val="auto"/>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51E1BCE7">
                  <w:pPr>
                    <w:jc w:val="left"/>
                    <w:rPr>
                      <w:color w:val="auto"/>
                    </w:rPr>
                  </w:pPr>
                  <w:r>
                    <w:rPr>
                      <w:rFonts w:hint="eastAsia"/>
                      <w:color w:val="auto"/>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980" w:type="pct"/>
                  <w:tcMar>
                    <w:top w:w="0" w:type="dxa"/>
                    <w:left w:w="0" w:type="dxa"/>
                    <w:bottom w:w="0" w:type="dxa"/>
                    <w:right w:w="0" w:type="dxa"/>
                  </w:tcMar>
                  <w:vAlign w:val="center"/>
                </w:tcPr>
                <w:p w14:paraId="70BC5433">
                  <w:pPr>
                    <w:jc w:val="center"/>
                    <w:rPr>
                      <w:color w:val="auto"/>
                    </w:rPr>
                  </w:pPr>
                  <w:r>
                    <w:rPr>
                      <w:rFonts w:hint="eastAsia"/>
                      <w:color w:val="auto"/>
                    </w:rPr>
                    <w:t>（1）已严格执行苏政发〔2020〕49号空间布局约束要求；</w:t>
                  </w:r>
                </w:p>
                <w:p w14:paraId="5ADFD45F">
                  <w:pPr>
                    <w:jc w:val="center"/>
                    <w:rPr>
                      <w:color w:val="auto"/>
                    </w:rPr>
                  </w:pPr>
                  <w:r>
                    <w:rPr>
                      <w:rFonts w:hint="eastAsia"/>
                      <w:color w:val="auto"/>
                    </w:rPr>
                    <w:t>（2）已严格执行苏污防攻坚指办〔2023〕53号及常政发〔2023〕23号等文件要求</w:t>
                  </w:r>
                </w:p>
                <w:p w14:paraId="0D11FF92">
                  <w:pPr>
                    <w:jc w:val="center"/>
                    <w:rPr>
                      <w:color w:val="auto"/>
                    </w:rPr>
                  </w:pPr>
                  <w:r>
                    <w:rPr>
                      <w:rFonts w:hint="eastAsia"/>
                      <w:color w:val="auto"/>
                    </w:rPr>
                    <w:t>（3）本项目</w:t>
                  </w:r>
                  <w:r>
                    <w:rPr>
                      <w:color w:val="auto"/>
                    </w:rPr>
                    <w:t>从事</w:t>
                  </w:r>
                  <w:r>
                    <w:rPr>
                      <w:rFonts w:hint="eastAsia"/>
                      <w:color w:val="auto"/>
                    </w:rPr>
                    <w:t>气弹簧生产</w:t>
                  </w:r>
                  <w:r>
                    <w:rPr>
                      <w:color w:val="auto"/>
                    </w:rPr>
                    <w:t>，属于C3483弹簧制造</w:t>
                  </w:r>
                  <w:r>
                    <w:rPr>
                      <w:rFonts w:hint="eastAsia"/>
                      <w:color w:val="auto"/>
                    </w:rPr>
                    <w:t>，不属于禁止引入项目</w:t>
                  </w:r>
                </w:p>
                <w:p w14:paraId="4DC7CFA7">
                  <w:pPr>
                    <w:jc w:val="center"/>
                    <w:rPr>
                      <w:color w:val="auto"/>
                    </w:rPr>
                  </w:pPr>
                  <w:r>
                    <w:rPr>
                      <w:rFonts w:hint="eastAsia"/>
                      <w:color w:val="auto"/>
                    </w:rPr>
                    <w:t>（4）本项目位于江苏省常州市金坛区直溪镇工业集中区直溪大道16号，不在长江干支流岸线一公里范围内，从事气弹簧生产</w:t>
                  </w:r>
                  <w:r>
                    <w:rPr>
                      <w:color w:val="auto"/>
                    </w:rPr>
                    <w:t>，</w:t>
                  </w:r>
                  <w:r>
                    <w:rPr>
                      <w:rFonts w:hint="eastAsia"/>
                      <w:color w:val="auto"/>
                    </w:rPr>
                    <w:t>不属于化工项目，不属于禁止的投资建设活动，不属于高污染项目</w:t>
                  </w:r>
                </w:p>
              </w:tc>
              <w:tc>
                <w:tcPr>
                  <w:tcW w:w="424" w:type="pct"/>
                  <w:tcMar>
                    <w:top w:w="0" w:type="dxa"/>
                    <w:left w:w="0" w:type="dxa"/>
                    <w:bottom w:w="0" w:type="dxa"/>
                    <w:right w:w="0" w:type="dxa"/>
                  </w:tcMar>
                  <w:vAlign w:val="center"/>
                </w:tcPr>
                <w:p w14:paraId="2055D991">
                  <w:pPr>
                    <w:jc w:val="center"/>
                    <w:rPr>
                      <w:color w:val="auto"/>
                    </w:rPr>
                  </w:pPr>
                  <w:r>
                    <w:rPr>
                      <w:color w:val="auto"/>
                    </w:rPr>
                    <w:t>相符</w:t>
                  </w:r>
                </w:p>
              </w:tc>
            </w:tr>
            <w:tr w14:paraId="1FEB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Mar>
                    <w:top w:w="0" w:type="dxa"/>
                    <w:left w:w="0" w:type="dxa"/>
                    <w:bottom w:w="0" w:type="dxa"/>
                    <w:right w:w="0" w:type="dxa"/>
                  </w:tcMar>
                  <w:vAlign w:val="center"/>
                </w:tcPr>
                <w:p w14:paraId="13747569">
                  <w:pPr>
                    <w:jc w:val="center"/>
                    <w:rPr>
                      <w:color w:val="auto"/>
                    </w:rPr>
                  </w:pPr>
                  <w:r>
                    <w:rPr>
                      <w:color w:val="auto"/>
                    </w:rPr>
                    <w:t>2</w:t>
                  </w:r>
                </w:p>
              </w:tc>
              <w:tc>
                <w:tcPr>
                  <w:tcW w:w="368" w:type="pct"/>
                  <w:tcMar>
                    <w:top w:w="0" w:type="dxa"/>
                    <w:left w:w="0" w:type="dxa"/>
                    <w:bottom w:w="0" w:type="dxa"/>
                    <w:right w:w="0" w:type="dxa"/>
                  </w:tcMar>
                  <w:vAlign w:val="center"/>
                </w:tcPr>
                <w:p w14:paraId="3E52570B">
                  <w:pPr>
                    <w:jc w:val="center"/>
                    <w:rPr>
                      <w:color w:val="auto"/>
                    </w:rPr>
                  </w:pPr>
                  <w:r>
                    <w:rPr>
                      <w:color w:val="auto"/>
                    </w:rPr>
                    <w:t>污染物排放管控</w:t>
                  </w:r>
                </w:p>
              </w:tc>
              <w:tc>
                <w:tcPr>
                  <w:tcW w:w="2856" w:type="pct"/>
                  <w:tcMar>
                    <w:top w:w="0" w:type="dxa"/>
                    <w:left w:w="0" w:type="dxa"/>
                    <w:bottom w:w="0" w:type="dxa"/>
                    <w:right w:w="0" w:type="dxa"/>
                  </w:tcMar>
                  <w:vAlign w:val="center"/>
                </w:tcPr>
                <w:p w14:paraId="1C59F21C">
                  <w:pPr>
                    <w:jc w:val="left"/>
                    <w:rPr>
                      <w:color w:val="auto"/>
                    </w:rPr>
                  </w:pPr>
                  <w:r>
                    <w:rPr>
                      <w:rFonts w:hint="eastAsia"/>
                      <w:color w:val="auto"/>
                    </w:rPr>
                    <w:t>（1）坚持生态环境质量只能更好、不能变坏，实施污染物总量控制，以环境容量定产业、定项目、定规模，确保开发建设行为不突破生态环境承载力。</w:t>
                  </w:r>
                </w:p>
                <w:p w14:paraId="5BE20B31">
                  <w:pPr>
                    <w:jc w:val="left"/>
                    <w:rPr>
                      <w:color w:val="auto"/>
                    </w:rPr>
                  </w:pPr>
                  <w:r>
                    <w:rPr>
                      <w:rFonts w:hint="eastAsia"/>
                      <w:color w:val="auto"/>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980" w:type="pct"/>
                  <w:tcMar>
                    <w:top w:w="0" w:type="dxa"/>
                    <w:left w:w="0" w:type="dxa"/>
                    <w:bottom w:w="0" w:type="dxa"/>
                    <w:right w:w="0" w:type="dxa"/>
                  </w:tcMar>
                  <w:vAlign w:val="center"/>
                </w:tcPr>
                <w:p w14:paraId="41C602AA">
                  <w:pPr>
                    <w:jc w:val="center"/>
                    <w:rPr>
                      <w:color w:val="auto"/>
                    </w:rPr>
                  </w:pPr>
                  <w:r>
                    <w:rPr>
                      <w:rFonts w:hint="eastAsia"/>
                      <w:color w:val="auto"/>
                    </w:rPr>
                    <w:t>（1）</w:t>
                  </w:r>
                  <w:r>
                    <w:rPr>
                      <w:color w:val="auto"/>
                    </w:rPr>
                    <w:t>建设项目</w:t>
                  </w:r>
                  <w:r>
                    <w:rPr>
                      <w:rFonts w:hint="eastAsia"/>
                      <w:color w:val="auto"/>
                    </w:rPr>
                    <w:t>需向金坛区生态环境局申请总量。（2）</w:t>
                  </w:r>
                  <w:r>
                    <w:rPr>
                      <w:rFonts w:ascii="瀹嬩綋" w:hAnsi="瀹嬩綋" w:eastAsia="瀹嬩綋" w:cs="瀹嬩綋"/>
                      <w:color w:val="auto"/>
                      <w:kern w:val="0"/>
                      <w:lang w:bidi="ar"/>
                    </w:rPr>
                    <w:t>本项目生活污水</w:t>
                  </w:r>
                  <w:r>
                    <w:rPr>
                      <w:rFonts w:hint="eastAsia" w:ascii="瀹嬩綋" w:hAnsi="瀹嬩綋" w:eastAsia="瀹嬩綋" w:cs="瀹嬩綋"/>
                      <w:color w:val="auto"/>
                      <w:kern w:val="0"/>
                      <w:lang w:bidi="ar"/>
                    </w:rPr>
                    <w:t>接管</w:t>
                  </w:r>
                  <w:r>
                    <w:rPr>
                      <w:rFonts w:hint="eastAsia" w:eastAsia="宋体"/>
                      <w:color w:val="auto"/>
                      <w:lang w:eastAsia="zh-CN"/>
                    </w:rPr>
                    <w:t>常州市金坛区溪城污水处理有限公司直溪污水处理厂</w:t>
                  </w:r>
                  <w:r>
                    <w:rPr>
                      <w:rFonts w:hint="eastAsia" w:ascii="瀹嬩綋" w:hAnsi="瀹嬩綋" w:eastAsia="瀹嬩綋" w:cs="瀹嬩綋"/>
                      <w:color w:val="auto"/>
                      <w:kern w:val="0"/>
                      <w:lang w:bidi="ar"/>
                    </w:rPr>
                    <w:t>处理</w:t>
                  </w:r>
                  <w:r>
                    <w:rPr>
                      <w:rFonts w:hint="eastAsia"/>
                      <w:color w:val="auto"/>
                    </w:rPr>
                    <w:t>，固废外售综合利用。</w:t>
                  </w:r>
                </w:p>
              </w:tc>
              <w:tc>
                <w:tcPr>
                  <w:tcW w:w="424" w:type="pct"/>
                  <w:tcMar>
                    <w:top w:w="0" w:type="dxa"/>
                    <w:left w:w="0" w:type="dxa"/>
                    <w:bottom w:w="0" w:type="dxa"/>
                    <w:right w:w="0" w:type="dxa"/>
                  </w:tcMar>
                  <w:vAlign w:val="center"/>
                </w:tcPr>
                <w:p w14:paraId="3390A640">
                  <w:pPr>
                    <w:jc w:val="center"/>
                    <w:rPr>
                      <w:color w:val="auto"/>
                    </w:rPr>
                  </w:pPr>
                  <w:r>
                    <w:rPr>
                      <w:color w:val="auto"/>
                    </w:rPr>
                    <w:t>相符</w:t>
                  </w:r>
                </w:p>
              </w:tc>
            </w:tr>
            <w:tr w14:paraId="484E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Mar>
                    <w:top w:w="0" w:type="dxa"/>
                    <w:left w:w="0" w:type="dxa"/>
                    <w:bottom w:w="0" w:type="dxa"/>
                    <w:right w:w="0" w:type="dxa"/>
                  </w:tcMar>
                  <w:vAlign w:val="center"/>
                </w:tcPr>
                <w:p w14:paraId="10AB1392">
                  <w:pPr>
                    <w:jc w:val="center"/>
                    <w:rPr>
                      <w:color w:val="auto"/>
                    </w:rPr>
                  </w:pPr>
                  <w:r>
                    <w:rPr>
                      <w:color w:val="auto"/>
                    </w:rPr>
                    <w:t>3</w:t>
                  </w:r>
                </w:p>
              </w:tc>
              <w:tc>
                <w:tcPr>
                  <w:tcW w:w="368" w:type="pct"/>
                  <w:tcMar>
                    <w:top w:w="0" w:type="dxa"/>
                    <w:left w:w="0" w:type="dxa"/>
                    <w:bottom w:w="0" w:type="dxa"/>
                    <w:right w:w="0" w:type="dxa"/>
                  </w:tcMar>
                  <w:vAlign w:val="center"/>
                </w:tcPr>
                <w:p w14:paraId="0B9BC0E6">
                  <w:pPr>
                    <w:jc w:val="center"/>
                    <w:rPr>
                      <w:color w:val="auto"/>
                    </w:rPr>
                  </w:pPr>
                  <w:r>
                    <w:rPr>
                      <w:color w:val="auto"/>
                    </w:rPr>
                    <w:t>环境风险防控</w:t>
                  </w:r>
                </w:p>
              </w:tc>
              <w:tc>
                <w:tcPr>
                  <w:tcW w:w="2856" w:type="pct"/>
                  <w:tcMar>
                    <w:top w:w="0" w:type="dxa"/>
                    <w:left w:w="0" w:type="dxa"/>
                    <w:bottom w:w="0" w:type="dxa"/>
                    <w:right w:w="0" w:type="dxa"/>
                  </w:tcMar>
                  <w:vAlign w:val="center"/>
                </w:tcPr>
                <w:p w14:paraId="6A3C0CC1">
                  <w:pPr>
                    <w:jc w:val="left"/>
                    <w:rPr>
                      <w:color w:val="auto"/>
                    </w:rPr>
                  </w:pPr>
                  <w:r>
                    <w:rPr>
                      <w:rFonts w:hint="eastAsia"/>
                      <w:color w:val="auto"/>
                    </w:rPr>
                    <w:t>（1）严格执行《江苏省“三线一单”生态环境分区管控方案》（苏政发〔2020〕49号）附件3江苏省省域生态环境管控要求中“环境风险防控”的相关要求。</w:t>
                  </w:r>
                </w:p>
                <w:p w14:paraId="0C63B819">
                  <w:pPr>
                    <w:jc w:val="left"/>
                    <w:rPr>
                      <w:color w:val="auto"/>
                    </w:rPr>
                  </w:pPr>
                  <w:r>
                    <w:rPr>
                      <w:rFonts w:hint="eastAsia"/>
                      <w:color w:val="auto"/>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01B9CFA0">
                  <w:pPr>
                    <w:jc w:val="left"/>
                    <w:rPr>
                      <w:color w:val="auto"/>
                    </w:rPr>
                  </w:pPr>
                  <w:r>
                    <w:rPr>
                      <w:rFonts w:hint="eastAsia"/>
                      <w:color w:val="auto"/>
                    </w:rPr>
                    <w:t>（3）强化饮用水水源环境风险管控，建成应急水源工程。</w:t>
                  </w:r>
                </w:p>
                <w:p w14:paraId="6D2353D5">
                  <w:pPr>
                    <w:jc w:val="left"/>
                    <w:rPr>
                      <w:color w:val="auto"/>
                    </w:rPr>
                  </w:pPr>
                  <w:r>
                    <w:rPr>
                      <w:rFonts w:hint="eastAsia"/>
                      <w:color w:val="auto"/>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980" w:type="pct"/>
                  <w:tcMar>
                    <w:top w:w="0" w:type="dxa"/>
                    <w:left w:w="0" w:type="dxa"/>
                    <w:bottom w:w="0" w:type="dxa"/>
                    <w:right w:w="0" w:type="dxa"/>
                  </w:tcMar>
                  <w:vAlign w:val="center"/>
                </w:tcPr>
                <w:p w14:paraId="7BCC561F">
                  <w:pPr>
                    <w:jc w:val="center"/>
                    <w:rPr>
                      <w:color w:val="auto"/>
                    </w:rPr>
                  </w:pPr>
                  <w:r>
                    <w:rPr>
                      <w:rFonts w:hint="eastAsia"/>
                      <w:color w:val="auto"/>
                    </w:rPr>
                    <w:t>（1）本项目位于江苏省常州市金坛区直溪镇工业集中区直溪大道16号，不在长江1公里范围内，</w:t>
                  </w:r>
                  <w:r>
                    <w:rPr>
                      <w:color w:val="auto"/>
                    </w:rPr>
                    <w:t>从事</w:t>
                  </w:r>
                  <w:r>
                    <w:rPr>
                      <w:rFonts w:hint="eastAsia"/>
                      <w:color w:val="auto"/>
                    </w:rPr>
                    <w:t>气弹簧生产</w:t>
                  </w:r>
                  <w:r>
                    <w:rPr>
                      <w:color w:val="auto"/>
                    </w:rPr>
                    <w:t>，属于C3483弹簧制造</w:t>
                  </w:r>
                  <w:r>
                    <w:rPr>
                      <w:rFonts w:hint="eastAsia"/>
                      <w:color w:val="auto"/>
                    </w:rPr>
                    <w:t>。（2）项目实施</w:t>
                  </w:r>
                  <w:r>
                    <w:rPr>
                      <w:color w:val="auto"/>
                    </w:rPr>
                    <w:t>后，</w:t>
                  </w:r>
                  <w:r>
                    <w:rPr>
                      <w:rFonts w:hint="eastAsia"/>
                      <w:color w:val="auto"/>
                    </w:rPr>
                    <w:t>按要求</w:t>
                  </w:r>
                  <w:r>
                    <w:rPr>
                      <w:color w:val="auto"/>
                    </w:rPr>
                    <w:t>建立环境应急体系</w:t>
                  </w:r>
                  <w:r>
                    <w:rPr>
                      <w:rFonts w:hint="eastAsia"/>
                      <w:color w:val="auto"/>
                    </w:rPr>
                    <w:t>、编制</w:t>
                  </w:r>
                  <w:r>
                    <w:rPr>
                      <w:color w:val="auto"/>
                    </w:rPr>
                    <w:t>突发环境事件</w:t>
                  </w:r>
                  <w:r>
                    <w:rPr>
                      <w:rFonts w:hint="eastAsia"/>
                      <w:color w:val="auto"/>
                    </w:rPr>
                    <w:t>应急预案</w:t>
                  </w:r>
                  <w:r>
                    <w:rPr>
                      <w:color w:val="auto"/>
                    </w:rPr>
                    <w:t>，</w:t>
                  </w:r>
                  <w:r>
                    <w:rPr>
                      <w:rFonts w:hint="eastAsia"/>
                      <w:color w:val="auto"/>
                    </w:rPr>
                    <w:t>落实预案中的相关要求，</w:t>
                  </w:r>
                  <w:r>
                    <w:rPr>
                      <w:color w:val="auto"/>
                    </w:rPr>
                    <w:t>并报</w:t>
                  </w:r>
                  <w:r>
                    <w:rPr>
                      <w:rFonts w:hint="eastAsia"/>
                      <w:color w:val="auto"/>
                    </w:rPr>
                    <w:t>环保部门</w:t>
                  </w:r>
                  <w:r>
                    <w:rPr>
                      <w:color w:val="auto"/>
                    </w:rPr>
                    <w:t>备案</w:t>
                  </w:r>
                  <w:r>
                    <w:rPr>
                      <w:rFonts w:hint="eastAsia"/>
                      <w:color w:val="auto"/>
                    </w:rPr>
                    <w:t>。本项目</w:t>
                  </w:r>
                  <w:r>
                    <w:rPr>
                      <w:color w:val="auto"/>
                    </w:rPr>
                    <w:t>产生的危险废物交由有资质单位处置，</w:t>
                  </w:r>
                  <w:r>
                    <w:rPr>
                      <w:rFonts w:hint="eastAsia"/>
                      <w:color w:val="auto"/>
                    </w:rPr>
                    <w:t>零</w:t>
                  </w:r>
                  <w:r>
                    <w:rPr>
                      <w:color w:val="auto"/>
                    </w:rPr>
                    <w:t>排放</w:t>
                  </w:r>
                  <w:r>
                    <w:rPr>
                      <w:rFonts w:hint="eastAsia"/>
                      <w:color w:val="auto"/>
                    </w:rPr>
                    <w:t>。</w:t>
                  </w:r>
                </w:p>
              </w:tc>
              <w:tc>
                <w:tcPr>
                  <w:tcW w:w="424" w:type="pct"/>
                  <w:tcMar>
                    <w:top w:w="0" w:type="dxa"/>
                    <w:left w:w="0" w:type="dxa"/>
                    <w:bottom w:w="0" w:type="dxa"/>
                    <w:right w:w="0" w:type="dxa"/>
                  </w:tcMar>
                  <w:vAlign w:val="center"/>
                </w:tcPr>
                <w:p w14:paraId="185B3223">
                  <w:pPr>
                    <w:jc w:val="center"/>
                    <w:rPr>
                      <w:color w:val="auto"/>
                    </w:rPr>
                  </w:pPr>
                  <w:r>
                    <w:rPr>
                      <w:color w:val="auto"/>
                    </w:rPr>
                    <w:t>相符</w:t>
                  </w:r>
                </w:p>
              </w:tc>
            </w:tr>
            <w:tr w14:paraId="34E7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9" w:type="pct"/>
                  <w:tcMar>
                    <w:top w:w="0" w:type="dxa"/>
                    <w:left w:w="0" w:type="dxa"/>
                    <w:bottom w:w="0" w:type="dxa"/>
                    <w:right w:w="0" w:type="dxa"/>
                  </w:tcMar>
                  <w:vAlign w:val="center"/>
                </w:tcPr>
                <w:p w14:paraId="10068DDF">
                  <w:pPr>
                    <w:jc w:val="center"/>
                    <w:rPr>
                      <w:color w:val="auto"/>
                    </w:rPr>
                  </w:pPr>
                  <w:r>
                    <w:rPr>
                      <w:color w:val="auto"/>
                    </w:rPr>
                    <w:t>4</w:t>
                  </w:r>
                </w:p>
              </w:tc>
              <w:tc>
                <w:tcPr>
                  <w:tcW w:w="368" w:type="pct"/>
                  <w:tcMar>
                    <w:top w:w="0" w:type="dxa"/>
                    <w:left w:w="0" w:type="dxa"/>
                    <w:bottom w:w="0" w:type="dxa"/>
                    <w:right w:w="0" w:type="dxa"/>
                  </w:tcMar>
                  <w:vAlign w:val="center"/>
                </w:tcPr>
                <w:p w14:paraId="04365062">
                  <w:pPr>
                    <w:jc w:val="center"/>
                    <w:rPr>
                      <w:color w:val="auto"/>
                    </w:rPr>
                  </w:pPr>
                  <w:r>
                    <w:rPr>
                      <w:color w:val="auto"/>
                    </w:rPr>
                    <w:t>资源利用效率要求</w:t>
                  </w:r>
                </w:p>
              </w:tc>
              <w:tc>
                <w:tcPr>
                  <w:tcW w:w="2856" w:type="pct"/>
                  <w:tcMar>
                    <w:top w:w="0" w:type="dxa"/>
                    <w:left w:w="0" w:type="dxa"/>
                    <w:bottom w:w="0" w:type="dxa"/>
                    <w:right w:w="0" w:type="dxa"/>
                  </w:tcMar>
                  <w:vAlign w:val="center"/>
                </w:tcPr>
                <w:p w14:paraId="02016AF4">
                  <w:pPr>
                    <w:jc w:val="left"/>
                    <w:rPr>
                      <w:color w:val="auto"/>
                    </w:rPr>
                  </w:pPr>
                  <w:r>
                    <w:rPr>
                      <w:rFonts w:hint="eastAsia"/>
                      <w:color w:val="auto"/>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6D2706EB">
                  <w:pPr>
                    <w:jc w:val="left"/>
                    <w:rPr>
                      <w:color w:val="auto"/>
                    </w:rPr>
                  </w:pPr>
                  <w:r>
                    <w:rPr>
                      <w:rFonts w:hint="eastAsia"/>
                      <w:color w:val="auto"/>
                    </w:rPr>
                    <w:t>（2）根据《常州市国土空间总体规划（2021-2035年）（上报稿）》，永久基本农田实际划定是7.53万公顷，2035年任务量为7.66万公顷。</w:t>
                  </w:r>
                </w:p>
                <w:p w14:paraId="301999E5">
                  <w:pPr>
                    <w:jc w:val="left"/>
                    <w:rPr>
                      <w:color w:val="auto"/>
                    </w:rPr>
                  </w:pPr>
                  <w:r>
                    <w:rPr>
                      <w:rFonts w:hint="eastAsia"/>
                      <w:color w:val="auto"/>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3B01486C">
                  <w:pPr>
                    <w:jc w:val="left"/>
                    <w:rPr>
                      <w:color w:val="auto"/>
                    </w:rPr>
                  </w:pPr>
                  <w:r>
                    <w:rPr>
                      <w:rFonts w:hint="eastAsia"/>
                      <w:color w:val="auto"/>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980" w:type="pct"/>
                  <w:tcMar>
                    <w:top w:w="0" w:type="dxa"/>
                    <w:left w:w="0" w:type="dxa"/>
                    <w:bottom w:w="0" w:type="dxa"/>
                    <w:right w:w="0" w:type="dxa"/>
                  </w:tcMar>
                  <w:vAlign w:val="center"/>
                </w:tcPr>
                <w:p w14:paraId="147F750C">
                  <w:pPr>
                    <w:jc w:val="center"/>
                    <w:rPr>
                      <w:color w:val="auto"/>
                    </w:rPr>
                  </w:pPr>
                  <w:r>
                    <w:rPr>
                      <w:rFonts w:hint="eastAsia"/>
                      <w:color w:val="auto"/>
                    </w:rPr>
                    <w:t>（1）本项目员工生活用水量较小；</w:t>
                  </w:r>
                </w:p>
                <w:p w14:paraId="6E7F795D">
                  <w:pPr>
                    <w:jc w:val="center"/>
                    <w:rPr>
                      <w:color w:val="auto"/>
                    </w:rPr>
                  </w:pPr>
                  <w:r>
                    <w:rPr>
                      <w:rFonts w:hint="eastAsia"/>
                      <w:color w:val="auto"/>
                    </w:rPr>
                    <w:t>（2）本项目不在永久基本农田范围内；</w:t>
                  </w:r>
                </w:p>
                <w:p w14:paraId="33E068B8">
                  <w:pPr>
                    <w:jc w:val="center"/>
                    <w:rPr>
                      <w:color w:val="auto"/>
                    </w:rPr>
                  </w:pPr>
                  <w:r>
                    <w:rPr>
                      <w:rFonts w:hint="eastAsia"/>
                      <w:color w:val="auto"/>
                    </w:rPr>
                    <w:t>（3）项目位于江苏省常州市金坛区直溪镇工业集中区直溪大道16号，不在禁燃区范围内，不使用以上禁止燃用的燃料</w:t>
                  </w:r>
                  <w:r>
                    <w:rPr>
                      <w:color w:val="auto"/>
                    </w:rPr>
                    <w:t>；</w:t>
                  </w:r>
                  <w:r>
                    <w:rPr>
                      <w:rFonts w:hint="eastAsia"/>
                      <w:color w:val="auto"/>
                    </w:rPr>
                    <w:t>使用清洁能源电</w:t>
                  </w:r>
                  <w:r>
                    <w:rPr>
                      <w:color w:val="auto"/>
                    </w:rPr>
                    <w:t>；不建设燃煤设施</w:t>
                  </w:r>
                </w:p>
                <w:p w14:paraId="1B80318B">
                  <w:pPr>
                    <w:jc w:val="center"/>
                    <w:rPr>
                      <w:color w:val="auto"/>
                    </w:rPr>
                  </w:pPr>
                  <w:r>
                    <w:rPr>
                      <w:rFonts w:hint="eastAsia"/>
                      <w:color w:val="auto"/>
                    </w:rPr>
                    <w:t>（4）本项目用电190万kwh，折算标煤为</w:t>
                  </w:r>
                  <w:r>
                    <w:rPr>
                      <w:rFonts w:hint="eastAsia"/>
                      <w:color w:val="auto"/>
                      <w:spacing w:val="-3"/>
                    </w:rPr>
                    <w:t>233510kgce</w:t>
                  </w:r>
                  <w:r>
                    <w:rPr>
                      <w:rFonts w:hint="eastAsia"/>
                      <w:color w:val="auto"/>
                    </w:rPr>
                    <w:t>（折标系0.1229kgce/kW·h）能耗较小。</w:t>
                  </w:r>
                </w:p>
              </w:tc>
              <w:tc>
                <w:tcPr>
                  <w:tcW w:w="424" w:type="pct"/>
                  <w:tcMar>
                    <w:top w:w="0" w:type="dxa"/>
                    <w:left w:w="0" w:type="dxa"/>
                    <w:bottom w:w="0" w:type="dxa"/>
                    <w:right w:w="0" w:type="dxa"/>
                  </w:tcMar>
                  <w:vAlign w:val="center"/>
                </w:tcPr>
                <w:p w14:paraId="2D2A498D">
                  <w:pPr>
                    <w:jc w:val="center"/>
                    <w:rPr>
                      <w:color w:val="auto"/>
                    </w:rPr>
                  </w:pPr>
                  <w:r>
                    <w:rPr>
                      <w:color w:val="auto"/>
                    </w:rPr>
                    <w:t>相符</w:t>
                  </w:r>
                </w:p>
              </w:tc>
            </w:tr>
          </w:tbl>
          <w:p w14:paraId="79B29352">
            <w:pPr>
              <w:spacing w:line="360" w:lineRule="auto"/>
              <w:ind w:firstLine="480" w:firstLineChars="200"/>
              <w:jc w:val="left"/>
              <w:rPr>
                <w:bCs/>
                <w:color w:val="auto"/>
                <w:sz w:val="24"/>
              </w:rPr>
            </w:pPr>
            <w:r>
              <w:rPr>
                <w:color w:val="auto"/>
                <w:sz w:val="24"/>
              </w:rPr>
              <w:t>综上，本项目建设与《常州市2023年生态环境分区管控动态更新成果</w:t>
            </w:r>
            <w:r>
              <w:rPr>
                <w:rFonts w:hint="eastAsia"/>
                <w:color w:val="auto"/>
                <w:sz w:val="24"/>
              </w:rPr>
              <w:t>》</w:t>
            </w:r>
            <w:r>
              <w:rPr>
                <w:color w:val="auto"/>
                <w:sz w:val="24"/>
              </w:rPr>
              <w:t>相符。</w:t>
            </w:r>
          </w:p>
          <w:p w14:paraId="5934AE33">
            <w:pPr>
              <w:spacing w:line="360" w:lineRule="auto"/>
              <w:ind w:firstLine="600" w:firstLineChars="250"/>
              <w:rPr>
                <w:color w:val="auto"/>
                <w:sz w:val="24"/>
              </w:rPr>
            </w:pPr>
            <w:r>
              <w:rPr>
                <w:color w:val="auto"/>
                <w:sz w:val="24"/>
              </w:rPr>
              <w:t>综上所述，本项目符合</w:t>
            </w:r>
            <w:r>
              <w:rPr>
                <w:rFonts w:hint="eastAsia"/>
                <w:color w:val="auto"/>
                <w:sz w:val="24"/>
              </w:rPr>
              <w:t>“</w:t>
            </w:r>
            <w:r>
              <w:rPr>
                <w:color w:val="auto"/>
                <w:sz w:val="24"/>
              </w:rPr>
              <w:t>三线一单</w:t>
            </w:r>
            <w:r>
              <w:rPr>
                <w:rFonts w:hint="eastAsia"/>
                <w:color w:val="auto"/>
                <w:sz w:val="24"/>
              </w:rPr>
              <w:t>”</w:t>
            </w:r>
            <w:r>
              <w:rPr>
                <w:color w:val="auto"/>
                <w:sz w:val="24"/>
              </w:rPr>
              <w:t>的相关要求。</w:t>
            </w:r>
          </w:p>
          <w:p w14:paraId="13922F43">
            <w:pPr>
              <w:spacing w:line="360" w:lineRule="auto"/>
              <w:ind w:firstLine="480" w:firstLineChars="200"/>
              <w:rPr>
                <w:b/>
                <w:bCs/>
                <w:color w:val="auto"/>
                <w:sz w:val="24"/>
              </w:rPr>
            </w:pPr>
            <w:r>
              <w:rPr>
                <w:rFonts w:hint="eastAsia"/>
                <w:color w:val="auto"/>
                <w:sz w:val="24"/>
              </w:rPr>
              <w:t>3、与《江苏省国土空间规划（</w:t>
            </w:r>
            <w:r>
              <w:rPr>
                <w:color w:val="auto"/>
                <w:sz w:val="24"/>
              </w:rPr>
              <w:t>2021-2035</w:t>
            </w:r>
            <w:r>
              <w:rPr>
                <w:rFonts w:hint="eastAsia"/>
                <w:color w:val="auto"/>
                <w:sz w:val="24"/>
              </w:rPr>
              <w:t>年）》的批复（国函〔</w:t>
            </w:r>
            <w:r>
              <w:rPr>
                <w:color w:val="auto"/>
                <w:sz w:val="24"/>
              </w:rPr>
              <w:t>2023</w:t>
            </w:r>
            <w:r>
              <w:rPr>
                <w:rFonts w:hint="eastAsia"/>
                <w:color w:val="auto"/>
                <w:sz w:val="24"/>
              </w:rPr>
              <w:t>〕</w:t>
            </w:r>
            <w:r>
              <w:rPr>
                <w:color w:val="auto"/>
                <w:sz w:val="24"/>
              </w:rPr>
              <w:t>69</w:t>
            </w:r>
            <w:r>
              <w:rPr>
                <w:rFonts w:hint="eastAsia"/>
                <w:color w:val="auto"/>
                <w:sz w:val="24"/>
              </w:rPr>
              <w:t>号）、《常州市国土空间总体规划（</w:t>
            </w:r>
            <w:r>
              <w:rPr>
                <w:color w:val="auto"/>
                <w:sz w:val="24"/>
              </w:rPr>
              <w:t>2021-2035</w:t>
            </w:r>
            <w:r>
              <w:rPr>
                <w:rFonts w:hint="eastAsia"/>
                <w:color w:val="auto"/>
                <w:sz w:val="24"/>
              </w:rPr>
              <w:t>年）》相符性分析。</w:t>
            </w:r>
          </w:p>
          <w:p w14:paraId="71A19981">
            <w:pPr>
              <w:pStyle w:val="8"/>
              <w:spacing w:before="0" w:after="0" w:line="240" w:lineRule="auto"/>
              <w:ind w:right="0"/>
              <w:jc w:val="center"/>
              <w:rPr>
                <w:b/>
                <w:color w:val="auto"/>
                <w:sz w:val="24"/>
                <w:lang w:val="zh-CN"/>
              </w:rPr>
            </w:pPr>
            <w:r>
              <w:rPr>
                <w:rFonts w:hint="eastAsia"/>
                <w:b/>
                <w:bCs/>
                <w:color w:val="auto"/>
                <w:kern w:val="2"/>
                <w:sz w:val="24"/>
                <w:szCs w:val="24"/>
              </w:rPr>
              <w:t>表1-4  与江苏省、常州市国土空间规划</w:t>
            </w:r>
            <w:r>
              <w:rPr>
                <w:rFonts w:hint="eastAsia"/>
                <w:b/>
                <w:bCs/>
                <w:color w:val="auto"/>
                <w:kern w:val="2"/>
                <w:sz w:val="24"/>
                <w:szCs w:val="24"/>
                <w:lang w:val="zh-CN"/>
              </w:rPr>
              <w:t>相符性对照分析</w:t>
            </w:r>
          </w:p>
          <w:tbl>
            <w:tblPr>
              <w:tblStyle w:val="23"/>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4467"/>
              <w:gridCol w:w="1610"/>
              <w:gridCol w:w="590"/>
            </w:tblGrid>
            <w:tr w14:paraId="4E23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Align w:val="center"/>
                </w:tcPr>
                <w:p w14:paraId="4637A51E">
                  <w:pPr>
                    <w:jc w:val="center"/>
                    <w:rPr>
                      <w:b/>
                      <w:bCs/>
                      <w:color w:val="auto"/>
                    </w:rPr>
                  </w:pPr>
                  <w:r>
                    <w:rPr>
                      <w:rFonts w:hint="eastAsia"/>
                      <w:b/>
                      <w:bCs/>
                      <w:color w:val="auto"/>
                    </w:rPr>
                    <w:t>类别</w:t>
                  </w:r>
                </w:p>
              </w:tc>
              <w:tc>
                <w:tcPr>
                  <w:tcW w:w="4467" w:type="dxa"/>
                  <w:vAlign w:val="center"/>
                </w:tcPr>
                <w:p w14:paraId="42A2BE4D">
                  <w:pPr>
                    <w:jc w:val="center"/>
                    <w:rPr>
                      <w:b/>
                      <w:bCs/>
                      <w:color w:val="auto"/>
                    </w:rPr>
                  </w:pPr>
                  <w:r>
                    <w:rPr>
                      <w:rFonts w:hint="eastAsia"/>
                      <w:b/>
                      <w:bCs/>
                      <w:color w:val="auto"/>
                    </w:rPr>
                    <w:t>相关要求</w:t>
                  </w:r>
                </w:p>
              </w:tc>
              <w:tc>
                <w:tcPr>
                  <w:tcW w:w="1610" w:type="dxa"/>
                  <w:vAlign w:val="center"/>
                </w:tcPr>
                <w:p w14:paraId="360DA583">
                  <w:pPr>
                    <w:jc w:val="center"/>
                    <w:rPr>
                      <w:b/>
                      <w:bCs/>
                      <w:color w:val="auto"/>
                    </w:rPr>
                  </w:pPr>
                  <w:r>
                    <w:rPr>
                      <w:rFonts w:hint="eastAsia"/>
                      <w:b/>
                      <w:bCs/>
                      <w:color w:val="auto"/>
                    </w:rPr>
                    <w:t>本项目</w:t>
                  </w:r>
                </w:p>
              </w:tc>
              <w:tc>
                <w:tcPr>
                  <w:tcW w:w="590" w:type="dxa"/>
                  <w:vAlign w:val="center"/>
                </w:tcPr>
                <w:p w14:paraId="51BFDA64">
                  <w:pPr>
                    <w:jc w:val="center"/>
                    <w:rPr>
                      <w:b/>
                      <w:bCs/>
                      <w:color w:val="auto"/>
                    </w:rPr>
                  </w:pPr>
                  <w:r>
                    <w:rPr>
                      <w:rFonts w:hint="eastAsia"/>
                      <w:b/>
                      <w:bCs/>
                      <w:color w:val="auto"/>
                    </w:rPr>
                    <w:t>是否相符</w:t>
                  </w:r>
                </w:p>
              </w:tc>
            </w:tr>
            <w:tr w14:paraId="5A8F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6" w:type="dxa"/>
                  <w:vAlign w:val="center"/>
                </w:tcPr>
                <w:p w14:paraId="73ED0D03">
                  <w:pPr>
                    <w:rPr>
                      <w:color w:val="auto"/>
                    </w:rPr>
                  </w:pPr>
                  <w:r>
                    <w:rPr>
                      <w:color w:val="auto"/>
                    </w:rPr>
                    <w:t>《江苏省国土空间规划（2021-2035年）》</w:t>
                  </w:r>
                </w:p>
              </w:tc>
              <w:tc>
                <w:tcPr>
                  <w:tcW w:w="4467" w:type="dxa"/>
                </w:tcPr>
                <w:p w14:paraId="00898961">
                  <w:pPr>
                    <w:rPr>
                      <w:color w:val="auto"/>
                    </w:rPr>
                  </w:pPr>
                  <w:r>
                    <w:rPr>
                      <w:color w:val="auto"/>
                    </w:rPr>
                    <w:t>1.3范围期限</w:t>
                  </w:r>
                </w:p>
                <w:p w14:paraId="74318000">
                  <w:pPr>
                    <w:rPr>
                      <w:color w:val="auto"/>
                    </w:rPr>
                  </w:pPr>
                  <w:r>
                    <w:rPr>
                      <w:color w:val="auto"/>
                    </w:rPr>
                    <w:t>规划范围包括江苏省全部陆域和管理海域的国土空间，总面积14.45万平方公里。</w:t>
                  </w:r>
                </w:p>
                <w:p w14:paraId="6B6D521C">
                  <w:pPr>
                    <w:rPr>
                      <w:color w:val="auto"/>
                    </w:rPr>
                  </w:pPr>
                  <w:r>
                    <w:rPr>
                      <w:color w:val="auto"/>
                    </w:rPr>
                    <w:t>规划期限为2021-2035年，规划目标年为2035年近期目标年为2025年，远景展望到2050年。</w:t>
                  </w:r>
                </w:p>
                <w:p w14:paraId="7B73F64A">
                  <w:pPr>
                    <w:rPr>
                      <w:color w:val="auto"/>
                    </w:rPr>
                  </w:pPr>
                  <w:r>
                    <w:rPr>
                      <w:color w:val="auto"/>
                    </w:rPr>
                    <w:t>2.2空间策略</w:t>
                  </w:r>
                </w:p>
                <w:p w14:paraId="3F0DC730">
                  <w:pPr>
                    <w:rPr>
                      <w:color w:val="auto"/>
                    </w:rPr>
                  </w:pPr>
                  <w:r>
                    <w:rPr>
                      <w:color w:val="auto"/>
                    </w:rPr>
                    <w:t>底线管控：坚持保护优先，严守粮食安全、生态安全和国土安全底线，形成绿色生产和生活方式，全面推动绿色发展。</w:t>
                  </w:r>
                </w:p>
                <w:p w14:paraId="2FE78AE0">
                  <w:pPr>
                    <w:rPr>
                      <w:color w:val="auto"/>
                    </w:rPr>
                  </w:pPr>
                  <w:r>
                    <w:rPr>
                      <w:color w:val="auto"/>
                    </w:rPr>
                    <w:t>空间统筹：以江海河湖联动促进省域一体化发展，形成陆海统筹、江海联动、河海联通、湖海呼应的统筹发展格局。</w:t>
                  </w:r>
                </w:p>
                <w:p w14:paraId="24873CE8">
                  <w:pPr>
                    <w:rPr>
                      <w:color w:val="auto"/>
                    </w:rPr>
                  </w:pPr>
                  <w:r>
                    <w:rPr>
                      <w:color w:val="auto"/>
                    </w:rPr>
                    <w:t>高效集约：全面实施资源利用总量和强度控制，形成以资源环境承载能力上限约束为导向的资源高效集约利用方式，走内涵提升发展道路。</w:t>
                  </w:r>
                </w:p>
                <w:p w14:paraId="014EB2FB">
                  <w:pPr>
                    <w:rPr>
                      <w:color w:val="auto"/>
                    </w:rPr>
                  </w:pPr>
                  <w:r>
                    <w:rPr>
                      <w:color w:val="auto"/>
                    </w:rPr>
                    <w:t>品质提升：提升城乡基础设施和公共服务设施现代化服务水平，全面改善人居环境品质，传承南秀北雄的文化特质，彰显“水韵江苏”魅力。</w:t>
                  </w:r>
                </w:p>
                <w:p w14:paraId="6D449FA0">
                  <w:pPr>
                    <w:rPr>
                      <w:color w:val="auto"/>
                    </w:rPr>
                  </w:pPr>
                  <w:r>
                    <w:rPr>
                      <w:color w:val="auto"/>
                    </w:rPr>
                    <w:t>协同治理：建设国土空间规划实施监督平台，强化规划战略、指标和边界的纵向和横向传导，加强国土空间规划全生命周期管理。</w:t>
                  </w:r>
                </w:p>
                <w:p w14:paraId="0C55E3B6">
                  <w:pPr>
                    <w:rPr>
                      <w:color w:val="auto"/>
                    </w:rPr>
                  </w:pPr>
                  <w:r>
                    <w:rPr>
                      <w:color w:val="auto"/>
                    </w:rPr>
                    <w:t>4.2系统保护自然生态基底</w:t>
                  </w:r>
                </w:p>
                <w:p w14:paraId="2F558531">
                  <w:pPr>
                    <w:rPr>
                      <w:color w:val="auto"/>
                    </w:rPr>
                  </w:pPr>
                  <w:r>
                    <w:rPr>
                      <w:color w:val="auto"/>
                    </w:rPr>
                    <w:t>陆域生态保护红线：主要包括长江、京杭大运河、太湖等水源涵养重要区域，洪泽湖湿地、沿海湿地等生物多样性富集区域，宜溧宁镇丘陵淮北丘岗等水源涵养和水土保持重要区域。</w:t>
                  </w:r>
                </w:p>
                <w:p w14:paraId="69911DF7">
                  <w:pPr>
                    <w:rPr>
                      <w:color w:val="auto"/>
                    </w:rPr>
                  </w:pPr>
                  <w:r>
                    <w:rPr>
                      <w:color w:val="auto"/>
                    </w:rPr>
                    <w:t>海域生态保护红线：主要包括重要滩涂及浅海水域、重要渔业资源产卵场、重要河口等海洋生物多样性维护区，集中分布于北部海州湾、中部沿海滩涂和长江口北侧海域。</w:t>
                  </w:r>
                </w:p>
              </w:tc>
              <w:tc>
                <w:tcPr>
                  <w:tcW w:w="1610" w:type="dxa"/>
                  <w:vAlign w:val="center"/>
                </w:tcPr>
                <w:p w14:paraId="04F321DA">
                  <w:pPr>
                    <w:rPr>
                      <w:color w:val="auto"/>
                    </w:rPr>
                  </w:pPr>
                  <w:r>
                    <w:rPr>
                      <w:color w:val="auto"/>
                    </w:rPr>
                    <w:t>本项目位于江苏省常州市金坛区直溪镇工业集中区直溪大道16号，距离最近的生态空间管控区天荒湖重要渔业水域2.6km</w:t>
                  </w:r>
                  <w:r>
                    <w:rPr>
                      <w:rFonts w:hint="eastAsia"/>
                      <w:color w:val="auto"/>
                    </w:rPr>
                    <w:t>，</w:t>
                  </w:r>
                  <w:r>
                    <w:rPr>
                      <w:color w:val="auto"/>
                    </w:rPr>
                    <w:t>不在生态保护红线范围、生态空间管控区域范围内。</w:t>
                  </w:r>
                </w:p>
              </w:tc>
              <w:tc>
                <w:tcPr>
                  <w:tcW w:w="590" w:type="dxa"/>
                  <w:vAlign w:val="center"/>
                </w:tcPr>
                <w:p w14:paraId="48E29356">
                  <w:pPr>
                    <w:jc w:val="center"/>
                    <w:rPr>
                      <w:color w:val="auto"/>
                    </w:rPr>
                  </w:pPr>
                  <w:r>
                    <w:rPr>
                      <w:rFonts w:hint="eastAsia"/>
                      <w:color w:val="auto"/>
                    </w:rPr>
                    <w:t>相符</w:t>
                  </w:r>
                </w:p>
              </w:tc>
            </w:tr>
            <w:tr w14:paraId="4720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jc w:val="center"/>
              </w:trPr>
              <w:tc>
                <w:tcPr>
                  <w:tcW w:w="986" w:type="dxa"/>
                  <w:vAlign w:val="center"/>
                </w:tcPr>
                <w:p w14:paraId="2245F447">
                  <w:pPr>
                    <w:widowControl/>
                    <w:jc w:val="left"/>
                    <w:rPr>
                      <w:color w:val="auto"/>
                    </w:rPr>
                  </w:pPr>
                  <w:r>
                    <w:rPr>
                      <w:rFonts w:hint="eastAsia" w:ascii="宋体" w:hAnsi="宋体" w:cs="宋体"/>
                      <w:color w:val="auto"/>
                      <w:kern w:val="0"/>
                      <w:lang w:bidi="ar"/>
                    </w:rPr>
                    <w:t>《常州市国土空间总体规划（</w:t>
                  </w:r>
                  <w:r>
                    <w:rPr>
                      <w:color w:val="auto"/>
                      <w:kern w:val="0"/>
                      <w:lang w:bidi="ar"/>
                    </w:rPr>
                    <w:t>2021-2035</w:t>
                  </w:r>
                  <w:r>
                    <w:rPr>
                      <w:rFonts w:hint="eastAsia" w:ascii="宋体" w:hAnsi="宋体" w:cs="宋体"/>
                      <w:color w:val="auto"/>
                      <w:kern w:val="0"/>
                      <w:lang w:bidi="ar"/>
                    </w:rPr>
                    <w:t>年）》</w:t>
                  </w:r>
                </w:p>
                <w:p w14:paraId="0D2A4049">
                  <w:pPr>
                    <w:rPr>
                      <w:color w:val="auto"/>
                    </w:rPr>
                  </w:pPr>
                </w:p>
              </w:tc>
              <w:tc>
                <w:tcPr>
                  <w:tcW w:w="4467" w:type="dxa"/>
                </w:tcPr>
                <w:p w14:paraId="6D131FA6">
                  <w:pPr>
                    <w:widowControl/>
                    <w:jc w:val="left"/>
                    <w:rPr>
                      <w:color w:val="auto"/>
                      <w:kern w:val="0"/>
                      <w:lang w:bidi="ar"/>
                    </w:rPr>
                  </w:pPr>
                  <w:r>
                    <w:rPr>
                      <w:color w:val="auto"/>
                      <w:kern w:val="0"/>
                      <w:lang w:bidi="ar"/>
                    </w:rPr>
                    <w:t>（一）规划范围</w:t>
                  </w:r>
                </w:p>
                <w:p w14:paraId="262A123B">
                  <w:pPr>
                    <w:widowControl/>
                    <w:jc w:val="left"/>
                    <w:rPr>
                      <w:color w:val="auto"/>
                    </w:rPr>
                  </w:pPr>
                  <w:r>
                    <w:rPr>
                      <w:color w:val="auto"/>
                      <w:kern w:val="0"/>
                      <w:lang w:bidi="ar"/>
                    </w:rPr>
                    <w:t>规划范围为常州市行政管辖范围，分为市域、市辖区和中心城区三个层次。</w:t>
                  </w:r>
                </w:p>
                <w:p w14:paraId="4016579C">
                  <w:pPr>
                    <w:widowControl/>
                    <w:jc w:val="left"/>
                    <w:rPr>
                      <w:color w:val="auto"/>
                    </w:rPr>
                  </w:pPr>
                  <w:r>
                    <w:rPr>
                      <w:color w:val="auto"/>
                      <w:kern w:val="0"/>
                      <w:lang w:bidi="ar"/>
                    </w:rPr>
                    <w:t>市域：常州市行政管辖范围，面积约4372平方公里。</w:t>
                  </w:r>
                </w:p>
                <w:p w14:paraId="7B97FB8D">
                  <w:pPr>
                    <w:widowControl/>
                    <w:jc w:val="left"/>
                    <w:rPr>
                      <w:color w:val="auto"/>
                    </w:rPr>
                  </w:pPr>
                  <w:r>
                    <w:rPr>
                      <w:color w:val="auto"/>
                      <w:kern w:val="0"/>
                      <w:lang w:bidi="ar"/>
                    </w:rPr>
                    <w:t>市辖区：包括金坛区、武进区、新北区、天宁区、钟楼区和常州经济开发区，面积约2838平方公里。</w:t>
                  </w:r>
                </w:p>
                <w:p w14:paraId="14342240">
                  <w:pPr>
                    <w:widowControl/>
                    <w:jc w:val="left"/>
                    <w:rPr>
                      <w:color w:val="auto"/>
                    </w:rPr>
                  </w:pPr>
                  <w:r>
                    <w:rPr>
                      <w:color w:val="auto"/>
                      <w:kern w:val="0"/>
                      <w:lang w:bidi="ar"/>
                    </w:rPr>
                    <w:t>中心城区：市辖区内规划集中建设连绵区，面积约724平方公里。</w:t>
                  </w:r>
                </w:p>
                <w:p w14:paraId="7EAFBEC4">
                  <w:pPr>
                    <w:widowControl/>
                    <w:jc w:val="left"/>
                    <w:rPr>
                      <w:color w:val="auto"/>
                    </w:rPr>
                  </w:pPr>
                  <w:r>
                    <w:rPr>
                      <w:color w:val="auto"/>
                      <w:kern w:val="0"/>
                      <w:lang w:bidi="ar"/>
                    </w:rPr>
                    <w:t>（二）发展目标</w:t>
                  </w:r>
                </w:p>
                <w:p w14:paraId="05683544">
                  <w:pPr>
                    <w:widowControl/>
                    <w:jc w:val="left"/>
                    <w:rPr>
                      <w:color w:val="auto"/>
                    </w:rPr>
                  </w:pPr>
                  <w:r>
                    <w:rPr>
                      <w:color w:val="auto"/>
                      <w:kern w:val="0"/>
                      <w:lang w:bidi="ar"/>
                    </w:rPr>
                    <w:t>2035年：建设交通中轴、创新中轴、产业中轴、生态中轴、文旅中轴，打造社会主义现代化走在前列的标杆城市。</w:t>
                  </w:r>
                </w:p>
                <w:p w14:paraId="3C8334BF">
                  <w:pPr>
                    <w:widowControl/>
                    <w:jc w:val="left"/>
                    <w:rPr>
                      <w:color w:val="auto"/>
                    </w:rPr>
                  </w:pPr>
                  <w:r>
                    <w:rPr>
                      <w:color w:val="auto"/>
                      <w:kern w:val="0"/>
                      <w:lang w:bidi="ar"/>
                    </w:rPr>
                    <w:t>2050年：在率先实现碳中和愿景上走在前列，建成繁荣文明和谐美丽的中国梦示范城市和先锋城市。</w:t>
                  </w:r>
                </w:p>
                <w:p w14:paraId="0CAB54D9">
                  <w:pPr>
                    <w:widowControl/>
                    <w:jc w:val="left"/>
                    <w:rPr>
                      <w:color w:val="auto"/>
                    </w:rPr>
                  </w:pPr>
                  <w:r>
                    <w:rPr>
                      <w:color w:val="auto"/>
                      <w:kern w:val="0"/>
                      <w:lang w:bidi="ar"/>
                    </w:rPr>
                    <w:t>（三）三区三线</w:t>
                  </w:r>
                </w:p>
                <w:p w14:paraId="1B7DDE9D">
                  <w:pPr>
                    <w:widowControl/>
                    <w:jc w:val="left"/>
                    <w:rPr>
                      <w:color w:val="auto"/>
                    </w:rPr>
                  </w:pPr>
                  <w:r>
                    <w:rPr>
                      <w:color w:val="auto"/>
                      <w:kern w:val="0"/>
                      <w:lang w:bidi="ar"/>
                    </w:rPr>
                    <w:t>（1）市域城镇空间结构</w:t>
                  </w:r>
                </w:p>
                <w:p w14:paraId="014E096F">
                  <w:pPr>
                    <w:widowControl/>
                    <w:jc w:val="left"/>
                    <w:rPr>
                      <w:color w:val="auto"/>
                    </w:rPr>
                  </w:pPr>
                  <w:r>
                    <w:rPr>
                      <w:color w:val="auto"/>
                      <w:kern w:val="0"/>
                      <w:lang w:bidi="ar"/>
                    </w:rPr>
                    <w:t>一主：常州中心城区。包括金坛、武进、新北、天宁、钟楼、常州经开区的集中建设区，是常州政治、经济、文化中心，城市综合服务职能的主要承载地区。</w:t>
                  </w:r>
                </w:p>
                <w:p w14:paraId="69C2ED28">
                  <w:pPr>
                    <w:widowControl/>
                    <w:jc w:val="left"/>
                    <w:rPr>
                      <w:color w:val="auto"/>
                    </w:rPr>
                  </w:pPr>
                  <w:r>
                    <w:rPr>
                      <w:color w:val="auto"/>
                      <w:kern w:val="0"/>
                      <w:lang w:bidi="ar"/>
                    </w:rPr>
                    <w:t>一区：两湖创新区。位于滆湖与长荡湖之间，依托优质生态资源，坚持创新核心地位，培育长三角有特色有影响力的高品质区域创新中心。</w:t>
                  </w:r>
                </w:p>
                <w:p w14:paraId="202DC8F0">
                  <w:pPr>
                    <w:widowControl/>
                    <w:jc w:val="left"/>
                    <w:rPr>
                      <w:color w:val="auto"/>
                    </w:rPr>
                  </w:pPr>
                  <w:r>
                    <w:rPr>
                      <w:color w:val="auto"/>
                      <w:kern w:val="0"/>
                      <w:lang w:bidi="ar"/>
                    </w:rPr>
                    <w:t>一极：溧阳发展极。国家两山理论实践与城乡融合发展样板区，长三角生态康养休闲目的地，沪苏浙皖创新动能交汇枢纽，宁杭生态经济带美丽宜居公园城市。</w:t>
                  </w:r>
                </w:p>
                <w:p w14:paraId="0018A035">
                  <w:pPr>
                    <w:widowControl/>
                    <w:jc w:val="left"/>
                    <w:rPr>
                      <w:color w:val="auto"/>
                    </w:rPr>
                  </w:pPr>
                  <w:r>
                    <w:rPr>
                      <w:color w:val="auto"/>
                      <w:kern w:val="0"/>
                      <w:lang w:bidi="ar"/>
                    </w:rPr>
                    <w:t>三轴：长三角中轴：是常州城市发展的交通中轴、创新中轴、产业中轴、生态中轴、文旅中轴，以长三角中轴引领城市地位和能级提升，打造长三角中轴枢纽。包括：（东西向）长三角中轴：是融合沪宁城市发展带、大运河文化带形成的复合轴；衔接上海、南京都市圈，深化常金同城发展，完善城市功能，提升科创能力。（南北向）长三角中轴：是联系北京、杭州和支撑江苏跨江融合发展的主要通道，也是强化城市功能复合发展的主要轴线；推进交通廊道建设，培育区域功能高地，提升城市能级。</w:t>
                  </w:r>
                </w:p>
                <w:p w14:paraId="5B5689C9">
                  <w:pPr>
                    <w:widowControl/>
                    <w:jc w:val="left"/>
                    <w:rPr>
                      <w:color w:val="auto"/>
                    </w:rPr>
                  </w:pPr>
                  <w:r>
                    <w:rPr>
                      <w:color w:val="auto"/>
                      <w:kern w:val="0"/>
                      <w:lang w:bidi="ar"/>
                    </w:rPr>
                    <w:t>生态创新轴：常金溧生态创新走廊；高品质生态空间和创新空间的集聚轴带；进一步集聚高等级创新资源和创新平台。</w:t>
                  </w:r>
                </w:p>
                <w:p w14:paraId="4035B49E">
                  <w:pPr>
                    <w:widowControl/>
                    <w:jc w:val="left"/>
                    <w:rPr>
                      <w:color w:val="auto"/>
                    </w:rPr>
                  </w:pPr>
                  <w:r>
                    <w:rPr>
                      <w:color w:val="auto"/>
                      <w:kern w:val="0"/>
                      <w:lang w:bidi="ar"/>
                    </w:rPr>
                    <w:t>（2）市域生态空间结构</w:t>
                  </w:r>
                </w:p>
                <w:p w14:paraId="484F1193">
                  <w:pPr>
                    <w:widowControl/>
                    <w:jc w:val="left"/>
                    <w:rPr>
                      <w:color w:val="auto"/>
                    </w:rPr>
                  </w:pPr>
                  <w:r>
                    <w:rPr>
                      <w:color w:val="auto"/>
                      <w:kern w:val="0"/>
                      <w:lang w:bidi="ar"/>
                    </w:rPr>
                    <w:t>一江：长江</w:t>
                  </w:r>
                </w:p>
                <w:p w14:paraId="7501EA65">
                  <w:pPr>
                    <w:widowControl/>
                    <w:jc w:val="left"/>
                    <w:rPr>
                      <w:color w:val="auto"/>
                    </w:rPr>
                  </w:pPr>
                  <w:r>
                    <w:rPr>
                      <w:color w:val="auto"/>
                      <w:kern w:val="0"/>
                      <w:lang w:bidi="ar"/>
                    </w:rPr>
                    <w:t>三湖：太湖、滆湖、长荡湖</w:t>
                  </w:r>
                </w:p>
                <w:p w14:paraId="2CA19BE6">
                  <w:pPr>
                    <w:widowControl/>
                    <w:jc w:val="left"/>
                    <w:rPr>
                      <w:color w:val="auto"/>
                    </w:rPr>
                  </w:pPr>
                  <w:r>
                    <w:rPr>
                      <w:color w:val="auto"/>
                      <w:kern w:val="0"/>
                      <w:lang w:bidi="ar"/>
                    </w:rPr>
                    <w:t>五山：茅山、南山、竺山、横山、小黄山等五个方位的山体</w:t>
                  </w:r>
                  <w:r>
                    <w:rPr>
                      <w:rFonts w:hint="eastAsia"/>
                      <w:color w:val="auto"/>
                      <w:kern w:val="0"/>
                      <w:lang w:bidi="ar"/>
                    </w:rPr>
                    <w:t>。</w:t>
                  </w:r>
                </w:p>
                <w:p w14:paraId="2D9A4786">
                  <w:pPr>
                    <w:widowControl/>
                    <w:jc w:val="left"/>
                    <w:rPr>
                      <w:color w:val="auto"/>
                    </w:rPr>
                  </w:pPr>
                  <w:r>
                    <w:rPr>
                      <w:color w:val="auto"/>
                      <w:kern w:val="0"/>
                      <w:lang w:bidi="ar"/>
                    </w:rPr>
                    <w:t>九脉：依托新孟河、德胜河-武宜运河、澡港河-横塘河-丁塘港-采菱港-永安河、新沟河、丹金溧漕河、京杭大运河（含京杭运河老线段、关河）、通济河-尧塘河-夏溪河-武南河、薛埠河-北干河-太滆运河、芜申运河-南河等主要水系，形成九个方向的生态绿脉</w:t>
                  </w:r>
                  <w:r>
                    <w:rPr>
                      <w:rFonts w:hint="eastAsia"/>
                      <w:color w:val="auto"/>
                      <w:kern w:val="0"/>
                      <w:lang w:bidi="ar"/>
                    </w:rPr>
                    <w:t>。</w:t>
                  </w:r>
                </w:p>
                <w:p w14:paraId="50FCF3A3">
                  <w:pPr>
                    <w:widowControl/>
                    <w:jc w:val="left"/>
                    <w:rPr>
                      <w:color w:val="auto"/>
                    </w:rPr>
                  </w:pPr>
                  <w:r>
                    <w:rPr>
                      <w:color w:val="auto"/>
                      <w:kern w:val="0"/>
                      <w:lang w:bidi="ar"/>
                    </w:rPr>
                    <w:t>（3）市域农业空间结构</w:t>
                  </w:r>
                </w:p>
                <w:p w14:paraId="6C0E7983">
                  <w:pPr>
                    <w:widowControl/>
                    <w:jc w:val="left"/>
                    <w:rPr>
                      <w:color w:val="auto"/>
                    </w:rPr>
                  </w:pPr>
                  <w:r>
                    <w:rPr>
                      <w:color w:val="auto"/>
                      <w:kern w:val="0"/>
                      <w:lang w:bidi="ar"/>
                    </w:rPr>
                    <w:t>优化农业生产空间格局，形成集中连片、特色鲜明的农业空间布局。</w:t>
                  </w:r>
                </w:p>
                <w:p w14:paraId="07DAFA3F">
                  <w:pPr>
                    <w:widowControl/>
                    <w:jc w:val="left"/>
                    <w:rPr>
                      <w:color w:val="auto"/>
                    </w:rPr>
                  </w:pPr>
                  <w:r>
                    <w:rPr>
                      <w:color w:val="auto"/>
                      <w:kern w:val="0"/>
                      <w:lang w:bidi="ar"/>
                    </w:rPr>
                    <w:t>建设金坛和溧阳平原圩区、武进南部、新北西部等粮食生产区。建设依山、依湖休闲农业区。建设溧阳、金坛、武进、新北、天宁、钟楼现代农业园区。</w:t>
                  </w:r>
                </w:p>
                <w:p w14:paraId="40AC6B15">
                  <w:pPr>
                    <w:widowControl/>
                    <w:jc w:val="left"/>
                    <w:rPr>
                      <w:color w:val="auto"/>
                    </w:rPr>
                  </w:pPr>
                  <w:r>
                    <w:rPr>
                      <w:color w:val="auto"/>
                      <w:kern w:val="0"/>
                      <w:lang w:bidi="ar"/>
                    </w:rPr>
                    <w:t>（4）国土空间规划分区</w:t>
                  </w:r>
                </w:p>
                <w:p w14:paraId="7F412D9A">
                  <w:pPr>
                    <w:widowControl/>
                    <w:jc w:val="left"/>
                    <w:rPr>
                      <w:color w:val="auto"/>
                    </w:rPr>
                  </w:pPr>
                  <w:r>
                    <w:rPr>
                      <w:color w:val="auto"/>
                      <w:kern w:val="0"/>
                      <w:lang w:bidi="ar"/>
                    </w:rPr>
                    <w:t>生态保护红线区346.11平方公里，占市域面积的7.9%；永久基本农田保护区2095.03平方公里（暂定），占市域面积的47.9%；城镇发展区1293.10平方公里（暂定），占市域面积的29.6%；乡村发展区637.76平方公里，占市域面积的14.6%。</w:t>
                  </w:r>
                </w:p>
              </w:tc>
              <w:tc>
                <w:tcPr>
                  <w:tcW w:w="1610" w:type="dxa"/>
                  <w:vAlign w:val="center"/>
                </w:tcPr>
                <w:p w14:paraId="33903FD8">
                  <w:pPr>
                    <w:widowControl/>
                    <w:jc w:val="left"/>
                    <w:rPr>
                      <w:color w:val="auto"/>
                    </w:rPr>
                  </w:pPr>
                  <w:r>
                    <w:rPr>
                      <w:rFonts w:hint="eastAsia" w:ascii="宋体" w:hAnsi="宋体" w:cs="宋体"/>
                      <w:color w:val="auto"/>
                      <w:kern w:val="0"/>
                      <w:lang w:bidi="ar"/>
                    </w:rPr>
                    <w:t>本项目位于</w:t>
                  </w:r>
                  <w:r>
                    <w:rPr>
                      <w:color w:val="auto"/>
                    </w:rPr>
                    <w:t>江苏省常州市金坛区直溪镇工业集中区直溪大道16号</w:t>
                  </w:r>
                  <w:r>
                    <w:rPr>
                      <w:rFonts w:hint="eastAsia"/>
                      <w:color w:val="auto"/>
                    </w:rPr>
                    <w:t>，属于</w:t>
                  </w:r>
                  <w:r>
                    <w:rPr>
                      <w:rFonts w:hint="eastAsia" w:ascii="宋体" w:hAnsi="宋体" w:cs="宋体"/>
                      <w:color w:val="auto"/>
                      <w:kern w:val="0"/>
                      <w:lang w:bidi="ar"/>
                    </w:rPr>
                    <w:t>市域辖区边界内，距离最近的生态空间管控区天荒湖重要渔业水域</w:t>
                  </w:r>
                  <w:r>
                    <w:rPr>
                      <w:color w:val="auto"/>
                      <w:kern w:val="0"/>
                      <w:lang w:bidi="ar"/>
                    </w:rPr>
                    <w:t>2.6km，</w:t>
                  </w:r>
                  <w:r>
                    <w:rPr>
                      <w:rFonts w:hint="eastAsia" w:ascii="宋体" w:hAnsi="宋体" w:cs="宋体"/>
                      <w:color w:val="auto"/>
                      <w:kern w:val="0"/>
                      <w:lang w:bidi="ar"/>
                    </w:rPr>
                    <w:t>不在生态保护红线区、永久基本农田保护区内，故本项目的建设符合常州市国土空间规划“三区三线”要求。</w:t>
                  </w:r>
                </w:p>
                <w:p w14:paraId="2A1AC013">
                  <w:pPr>
                    <w:widowControl/>
                    <w:jc w:val="left"/>
                    <w:rPr>
                      <w:color w:val="auto"/>
                    </w:rPr>
                  </w:pPr>
                </w:p>
              </w:tc>
              <w:tc>
                <w:tcPr>
                  <w:tcW w:w="590" w:type="dxa"/>
                  <w:vAlign w:val="center"/>
                </w:tcPr>
                <w:p w14:paraId="719FEF58">
                  <w:pPr>
                    <w:jc w:val="center"/>
                    <w:rPr>
                      <w:color w:val="auto"/>
                    </w:rPr>
                  </w:pPr>
                  <w:r>
                    <w:rPr>
                      <w:rFonts w:hint="eastAsia"/>
                      <w:color w:val="auto"/>
                    </w:rPr>
                    <w:t>相符</w:t>
                  </w:r>
                </w:p>
              </w:tc>
            </w:tr>
          </w:tbl>
          <w:p w14:paraId="2612876F">
            <w:pPr>
              <w:pStyle w:val="9"/>
              <w:spacing w:after="0" w:line="360" w:lineRule="auto"/>
              <w:ind w:left="0" w:leftChars="0" w:firstLine="480" w:firstLineChars="200"/>
              <w:rPr>
                <w:rFonts w:hAnsi="宋体"/>
                <w:bCs/>
                <w:color w:val="auto"/>
                <w:szCs w:val="28"/>
              </w:rPr>
            </w:pPr>
            <w:r>
              <w:rPr>
                <w:rFonts w:hint="eastAsia" w:hAnsi="宋体"/>
                <w:bCs/>
                <w:color w:val="auto"/>
                <w:szCs w:val="28"/>
              </w:rPr>
              <w:t>4、太湖条例相符性分析</w:t>
            </w:r>
          </w:p>
          <w:p w14:paraId="60E08973">
            <w:pPr>
              <w:spacing w:line="360" w:lineRule="auto"/>
              <w:ind w:firstLine="480" w:firstLineChars="200"/>
              <w:jc w:val="left"/>
              <w:rPr>
                <w:rFonts w:hAnsi="宋体"/>
                <w:bCs/>
                <w:color w:val="auto"/>
                <w:kern w:val="0"/>
                <w:sz w:val="24"/>
                <w:szCs w:val="28"/>
              </w:rPr>
            </w:pPr>
            <w:r>
              <w:rPr>
                <w:rFonts w:hint="eastAsia" w:hAnsi="宋体"/>
                <w:bCs/>
                <w:color w:val="auto"/>
                <w:kern w:val="0"/>
                <w:sz w:val="24"/>
                <w:szCs w:val="28"/>
              </w:rPr>
              <w:t>与《太湖流域管理条例》和《江苏省太湖水污染防治条例》相符性分析见下表。</w:t>
            </w:r>
          </w:p>
          <w:p w14:paraId="300AA135">
            <w:pPr>
              <w:spacing w:line="240" w:lineRule="auto"/>
              <w:jc w:val="center"/>
              <w:rPr>
                <w:rFonts w:ascii="宋体" w:hAnsi="宋体" w:cs="宋体"/>
                <w:color w:val="auto"/>
                <w:sz w:val="24"/>
              </w:rPr>
            </w:pPr>
            <w:r>
              <w:rPr>
                <w:b/>
                <w:color w:val="auto"/>
                <w:sz w:val="24"/>
              </w:rPr>
              <w:t>表1-</w:t>
            </w:r>
            <w:r>
              <w:rPr>
                <w:rFonts w:hint="eastAsia"/>
                <w:b/>
                <w:color w:val="auto"/>
                <w:sz w:val="24"/>
              </w:rPr>
              <w:t xml:space="preserve">5  </w:t>
            </w:r>
            <w:r>
              <w:rPr>
                <w:b/>
                <w:color w:val="auto"/>
                <w:sz w:val="24"/>
              </w:rPr>
              <w:t>与《太湖</w:t>
            </w:r>
            <w:r>
              <w:rPr>
                <w:rFonts w:hint="eastAsia" w:ascii="宋体" w:hAnsi="宋体" w:cs="宋体"/>
                <w:b/>
                <w:color w:val="auto"/>
                <w:sz w:val="24"/>
              </w:rPr>
              <w:t>流域管理条例》和</w:t>
            </w:r>
            <w:r>
              <w:rPr>
                <w:rFonts w:hint="eastAsia" w:ascii="宋体" w:hAnsi="宋体" w:cs="宋体"/>
                <w:b/>
                <w:bCs/>
                <w:color w:val="auto"/>
                <w:sz w:val="24"/>
              </w:rPr>
              <w:t>《江苏省太湖水污染防治条例》</w:t>
            </w:r>
            <w:r>
              <w:rPr>
                <w:rFonts w:hint="eastAsia" w:ascii="宋体" w:hAnsi="宋体" w:cs="宋体"/>
                <w:b/>
                <w:color w:val="auto"/>
                <w:sz w:val="24"/>
              </w:rPr>
              <w:t>相符性分析</w:t>
            </w:r>
          </w:p>
          <w:tbl>
            <w:tblPr>
              <w:tblStyle w:val="22"/>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525"/>
              <w:gridCol w:w="3518"/>
              <w:gridCol w:w="2169"/>
              <w:gridCol w:w="892"/>
            </w:tblGrid>
            <w:tr w14:paraId="2102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3" w:type="dxa"/>
                  <w:gridSpan w:val="3"/>
                  <w:vAlign w:val="center"/>
                </w:tcPr>
                <w:p w14:paraId="27E5C045">
                  <w:pPr>
                    <w:jc w:val="center"/>
                    <w:rPr>
                      <w:rFonts w:ascii="宋体" w:hAnsi="宋体" w:cs="宋体"/>
                      <w:b/>
                      <w:color w:val="auto"/>
                    </w:rPr>
                  </w:pPr>
                  <w:r>
                    <w:rPr>
                      <w:rFonts w:hint="eastAsia" w:ascii="宋体" w:hAnsi="宋体" w:cs="宋体"/>
                      <w:b/>
                      <w:color w:val="auto"/>
                    </w:rPr>
                    <w:t>《太湖流域管理条例》相关要求</w:t>
                  </w:r>
                </w:p>
              </w:tc>
              <w:tc>
                <w:tcPr>
                  <w:tcW w:w="2593" w:type="dxa"/>
                  <w:vAlign w:val="center"/>
                </w:tcPr>
                <w:p w14:paraId="367B3EA3">
                  <w:pPr>
                    <w:jc w:val="center"/>
                    <w:rPr>
                      <w:rFonts w:ascii="宋体" w:hAnsi="宋体" w:cs="宋体"/>
                      <w:b/>
                      <w:color w:val="auto"/>
                    </w:rPr>
                  </w:pPr>
                  <w:r>
                    <w:rPr>
                      <w:rFonts w:hint="eastAsia" w:ascii="宋体" w:hAnsi="宋体" w:cs="宋体"/>
                      <w:b/>
                      <w:color w:val="auto"/>
                    </w:rPr>
                    <w:t>本项目</w:t>
                  </w:r>
                </w:p>
              </w:tc>
              <w:tc>
                <w:tcPr>
                  <w:tcW w:w="1036" w:type="dxa"/>
                  <w:vAlign w:val="center"/>
                </w:tcPr>
                <w:p w14:paraId="0E9D199A">
                  <w:pPr>
                    <w:jc w:val="center"/>
                    <w:rPr>
                      <w:rFonts w:ascii="宋体" w:hAnsi="宋体" w:cs="宋体"/>
                      <w:b/>
                      <w:color w:val="auto"/>
                    </w:rPr>
                  </w:pPr>
                  <w:r>
                    <w:rPr>
                      <w:rFonts w:hint="eastAsia" w:ascii="宋体" w:hAnsi="宋体" w:cs="宋体"/>
                      <w:b/>
                      <w:color w:val="auto"/>
                    </w:rPr>
                    <w:t>相符性</w:t>
                  </w:r>
                </w:p>
              </w:tc>
            </w:tr>
            <w:tr w14:paraId="7346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 w:type="dxa"/>
                  <w:vMerge w:val="restart"/>
                  <w:vAlign w:val="center"/>
                </w:tcPr>
                <w:p w14:paraId="322A8B6C">
                  <w:pPr>
                    <w:jc w:val="center"/>
                    <w:rPr>
                      <w:rFonts w:ascii="宋体" w:hAnsi="宋体" w:cs="宋体"/>
                      <w:color w:val="auto"/>
                    </w:rPr>
                  </w:pPr>
                  <w:r>
                    <w:rPr>
                      <w:rFonts w:hint="eastAsia" w:ascii="宋体" w:hAnsi="宋体" w:cs="宋体"/>
                      <w:color w:val="auto"/>
                    </w:rPr>
                    <w:t>第四章水污染防治</w:t>
                  </w:r>
                </w:p>
              </w:tc>
              <w:tc>
                <w:tcPr>
                  <w:tcW w:w="588" w:type="dxa"/>
                  <w:vAlign w:val="center"/>
                </w:tcPr>
                <w:p w14:paraId="3D48E455">
                  <w:pPr>
                    <w:jc w:val="center"/>
                    <w:rPr>
                      <w:rFonts w:ascii="宋体" w:hAnsi="宋体" w:cs="宋体"/>
                      <w:color w:val="auto"/>
                    </w:rPr>
                  </w:pPr>
                  <w:r>
                    <w:rPr>
                      <w:rFonts w:hint="eastAsia" w:ascii="宋体" w:hAnsi="宋体" w:cs="宋体"/>
                      <w:color w:val="auto"/>
                    </w:rPr>
                    <w:t>第二十八条</w:t>
                  </w:r>
                </w:p>
              </w:tc>
              <w:tc>
                <w:tcPr>
                  <w:tcW w:w="4237" w:type="dxa"/>
                  <w:vAlign w:val="center"/>
                </w:tcPr>
                <w:p w14:paraId="54069133">
                  <w:pPr>
                    <w:rPr>
                      <w:rFonts w:ascii="宋体" w:hAnsi="宋体" w:cs="宋体"/>
                      <w:color w:val="auto"/>
                    </w:rPr>
                  </w:pPr>
                  <w:r>
                    <w:rPr>
                      <w:rFonts w:hint="eastAsia" w:ascii="宋体" w:hAnsi="宋体" w:cs="宋体"/>
                      <w:color w:val="auto"/>
                    </w:rPr>
                    <w:t>排污单位排放水污染物，不得超过经核定的水污染物排放总量，并应当按照规定设置便于检查、采样的规范化排污口，悬挂标志牌；不得私设暗管或者采取其他规避监管的方式排放水污染物。</w:t>
                  </w:r>
                </w:p>
                <w:p w14:paraId="2DD9633D">
                  <w:pPr>
                    <w:rPr>
                      <w:rFonts w:ascii="宋体" w:hAnsi="宋体" w:cs="宋体"/>
                      <w:color w:val="auto"/>
                    </w:rPr>
                  </w:pPr>
                  <w:r>
                    <w:rPr>
                      <w:rFonts w:hint="eastAsia" w:ascii="宋体" w:hAnsi="宋体" w:cs="宋体"/>
                      <w:color w:val="auto"/>
                    </w:rPr>
                    <w:t>禁止在太湖流域设置不符合国家产业政策和水环境综合治理要求的造纸、制革、酒精、淀粉、冶金、酿造、印染、电镀等排放水污染物的生产项目，现有的生产项目不能实现达标排放的，应当依法关闭。</w:t>
                  </w:r>
                </w:p>
                <w:p w14:paraId="35ED241D">
                  <w:pPr>
                    <w:rPr>
                      <w:rFonts w:ascii="宋体" w:hAnsi="宋体" w:cs="宋体"/>
                      <w:color w:val="auto"/>
                    </w:rPr>
                  </w:pPr>
                  <w:r>
                    <w:rPr>
                      <w:rFonts w:hint="eastAsia" w:ascii="宋体" w:hAnsi="宋体" w:cs="宋体"/>
                      <w:color w:val="auto"/>
                    </w:rPr>
                    <w:t>在太湖流域新设企业应当符合国家规定的清洁生产要求，现有的企业尚未达到清洁生产要求的，应当按照清洁生产规划要求进行技术改造，两省一市人民政府应当加强监督检查。</w:t>
                  </w:r>
                </w:p>
              </w:tc>
              <w:tc>
                <w:tcPr>
                  <w:tcW w:w="2593" w:type="dxa"/>
                  <w:vAlign w:val="center"/>
                </w:tcPr>
                <w:p w14:paraId="6601BAA6">
                  <w:pPr>
                    <w:pStyle w:val="7"/>
                    <w:rPr>
                      <w:color w:val="auto"/>
                      <w:kern w:val="0"/>
                    </w:rPr>
                  </w:pPr>
                  <w:r>
                    <w:rPr>
                      <w:color w:val="auto"/>
                      <w:kern w:val="0"/>
                    </w:rPr>
                    <w:t>本项目从事</w:t>
                  </w:r>
                  <w:r>
                    <w:rPr>
                      <w:rFonts w:hint="eastAsia"/>
                      <w:color w:val="auto"/>
                      <w:kern w:val="0"/>
                    </w:rPr>
                    <w:t>气弹簧</w:t>
                  </w:r>
                  <w:r>
                    <w:rPr>
                      <w:rFonts w:hint="eastAsia"/>
                      <w:color w:val="auto"/>
                    </w:rPr>
                    <w:t>的生产，</w:t>
                  </w:r>
                  <w:r>
                    <w:rPr>
                      <w:rFonts w:hint="eastAsia"/>
                      <w:color w:val="auto"/>
                      <w:kern w:val="0"/>
                    </w:rPr>
                    <w:t>属于C3483弹簧制造,</w:t>
                  </w:r>
                  <w:r>
                    <w:rPr>
                      <w:color w:val="auto"/>
                      <w:kern w:val="0"/>
                    </w:rPr>
                    <w:t>不属于国家产业政策和水环境综合治理要求生产项目</w:t>
                  </w:r>
                  <w:r>
                    <w:rPr>
                      <w:rFonts w:hint="eastAsia"/>
                      <w:color w:val="auto"/>
                      <w:kern w:val="0"/>
                    </w:rPr>
                    <w:t>，不属于</w:t>
                  </w:r>
                  <w:r>
                    <w:rPr>
                      <w:rFonts w:hint="eastAsia"/>
                      <w:color w:val="auto"/>
                    </w:rPr>
                    <w:t>太湖流域禁止设置的项目</w:t>
                  </w:r>
                  <w:r>
                    <w:rPr>
                      <w:color w:val="auto"/>
                      <w:kern w:val="0"/>
                    </w:rPr>
                    <w:t>；</w:t>
                  </w:r>
                  <w:r>
                    <w:rPr>
                      <w:rFonts w:hint="eastAsia"/>
                      <w:color w:val="auto"/>
                    </w:rPr>
                    <w:t>项目按照有关要求申请总量，并严格按照总量要求进行生产；</w:t>
                  </w:r>
                  <w:r>
                    <w:rPr>
                      <w:color w:val="auto"/>
                      <w:kern w:val="0"/>
                    </w:rPr>
                    <w:t>项目建成后，将设置便于检查、采样的规范化排污口，悬挂标志牌；符合清洁生产要求。</w:t>
                  </w:r>
                </w:p>
              </w:tc>
              <w:tc>
                <w:tcPr>
                  <w:tcW w:w="1036" w:type="dxa"/>
                  <w:vAlign w:val="center"/>
                </w:tcPr>
                <w:p w14:paraId="46FC073E">
                  <w:pPr>
                    <w:jc w:val="center"/>
                    <w:rPr>
                      <w:rFonts w:ascii="宋体" w:hAnsi="宋体" w:cs="宋体"/>
                      <w:color w:val="auto"/>
                    </w:rPr>
                  </w:pPr>
                  <w:r>
                    <w:rPr>
                      <w:rFonts w:hint="eastAsia" w:ascii="宋体" w:hAnsi="宋体" w:cs="宋体"/>
                      <w:color w:val="auto"/>
                    </w:rPr>
                    <w:t>相符</w:t>
                  </w:r>
                </w:p>
              </w:tc>
            </w:tr>
            <w:tr w14:paraId="20C3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vMerge w:val="continue"/>
                  <w:vAlign w:val="center"/>
                </w:tcPr>
                <w:p w14:paraId="535532D6">
                  <w:pPr>
                    <w:jc w:val="center"/>
                    <w:rPr>
                      <w:rFonts w:ascii="宋体" w:hAnsi="宋体" w:cs="宋体"/>
                      <w:color w:val="auto"/>
                    </w:rPr>
                  </w:pPr>
                </w:p>
              </w:tc>
              <w:tc>
                <w:tcPr>
                  <w:tcW w:w="588" w:type="dxa"/>
                  <w:vAlign w:val="center"/>
                </w:tcPr>
                <w:p w14:paraId="4CFE1938">
                  <w:pPr>
                    <w:jc w:val="center"/>
                    <w:rPr>
                      <w:rFonts w:ascii="宋体" w:hAnsi="宋体" w:cs="宋体"/>
                      <w:color w:val="auto"/>
                    </w:rPr>
                  </w:pPr>
                  <w:r>
                    <w:rPr>
                      <w:rFonts w:hint="eastAsia" w:ascii="宋体" w:hAnsi="宋体" w:cs="宋体"/>
                      <w:color w:val="auto"/>
                    </w:rPr>
                    <w:t>第二十九条</w:t>
                  </w:r>
                </w:p>
              </w:tc>
              <w:tc>
                <w:tcPr>
                  <w:tcW w:w="4237" w:type="dxa"/>
                  <w:vAlign w:val="center"/>
                </w:tcPr>
                <w:p w14:paraId="7690B1AB">
                  <w:pPr>
                    <w:tabs>
                      <w:tab w:val="left" w:pos="707"/>
                    </w:tabs>
                    <w:rPr>
                      <w:rFonts w:ascii="宋体" w:hAnsi="宋体" w:cs="宋体"/>
                      <w:color w:val="auto"/>
                    </w:rPr>
                  </w:pPr>
                  <w:r>
                    <w:rPr>
                      <w:rFonts w:hint="eastAsia" w:ascii="宋体" w:hAnsi="宋体" w:cs="宋体"/>
                      <w:color w:val="auto"/>
                    </w:rPr>
                    <w:t>新孟河、望虞河以外的其他主要入太湖河道，自河口</w:t>
                  </w:r>
                  <w:r>
                    <w:rPr>
                      <w:rFonts w:hint="eastAsia" w:cs="宋体"/>
                      <w:color w:val="auto"/>
                    </w:rPr>
                    <w:t>1</w:t>
                  </w:r>
                  <w:r>
                    <w:rPr>
                      <w:rFonts w:hint="eastAsia" w:ascii="宋体" w:hAnsi="宋体" w:cs="宋体"/>
                      <w:color w:val="auto"/>
                    </w:rPr>
                    <w:t>万米上溯至</w:t>
                  </w:r>
                  <w:r>
                    <w:rPr>
                      <w:rFonts w:hint="eastAsia" w:cs="宋体"/>
                      <w:color w:val="auto"/>
                    </w:rPr>
                    <w:t>5</w:t>
                  </w:r>
                  <w:r>
                    <w:rPr>
                      <w:rFonts w:hint="eastAsia" w:ascii="宋体" w:hAnsi="宋体" w:cs="宋体"/>
                      <w:color w:val="auto"/>
                    </w:rPr>
                    <w:t>万米河道岸线内及其岸线两侧各</w:t>
                  </w:r>
                  <w:r>
                    <w:rPr>
                      <w:rFonts w:hint="eastAsia" w:cs="宋体"/>
                      <w:color w:val="auto"/>
                    </w:rPr>
                    <w:t>1000</w:t>
                  </w:r>
                  <w:r>
                    <w:rPr>
                      <w:rFonts w:hint="eastAsia" w:ascii="宋体" w:hAnsi="宋体" w:cs="宋体"/>
                      <w:color w:val="auto"/>
                    </w:rPr>
                    <w:t>米范围内，禁止下列行为：</w:t>
                  </w:r>
                </w:p>
                <w:p w14:paraId="128C3C80">
                  <w:pPr>
                    <w:tabs>
                      <w:tab w:val="left" w:pos="707"/>
                    </w:tabs>
                    <w:rPr>
                      <w:rFonts w:ascii="宋体" w:hAnsi="宋体" w:cs="宋体"/>
                      <w:color w:val="auto"/>
                    </w:rPr>
                  </w:pPr>
                  <w:r>
                    <w:rPr>
                      <w:rFonts w:hint="eastAsia" w:ascii="宋体" w:hAnsi="宋体" w:cs="宋体"/>
                      <w:color w:val="auto"/>
                    </w:rPr>
                    <w:t>（一）新建、扩建化工、医药生产项目；</w:t>
                  </w:r>
                </w:p>
                <w:p w14:paraId="7468EEA7">
                  <w:pPr>
                    <w:tabs>
                      <w:tab w:val="left" w:pos="707"/>
                    </w:tabs>
                    <w:rPr>
                      <w:rFonts w:ascii="宋体" w:hAnsi="宋体" w:cs="宋体"/>
                      <w:color w:val="auto"/>
                    </w:rPr>
                  </w:pPr>
                  <w:r>
                    <w:rPr>
                      <w:rFonts w:hint="eastAsia" w:ascii="宋体" w:hAnsi="宋体" w:cs="宋体"/>
                      <w:color w:val="auto"/>
                    </w:rPr>
                    <w:t>（二）新建、扩建污水集中处理设施排污口以外的排污口；</w:t>
                  </w:r>
                </w:p>
                <w:p w14:paraId="103ED4BB">
                  <w:pPr>
                    <w:tabs>
                      <w:tab w:val="left" w:pos="707"/>
                    </w:tabs>
                    <w:rPr>
                      <w:rFonts w:ascii="宋体" w:hAnsi="宋体" w:cs="宋体"/>
                      <w:color w:val="auto"/>
                    </w:rPr>
                  </w:pPr>
                  <w:r>
                    <w:rPr>
                      <w:rFonts w:hint="eastAsia" w:ascii="宋体" w:hAnsi="宋体" w:cs="宋体"/>
                      <w:color w:val="auto"/>
                    </w:rPr>
                    <w:t>（三）扩大水产养殖规模。</w:t>
                  </w:r>
                </w:p>
              </w:tc>
              <w:tc>
                <w:tcPr>
                  <w:tcW w:w="2593" w:type="dxa"/>
                  <w:vAlign w:val="center"/>
                </w:tcPr>
                <w:p w14:paraId="6AD79490">
                  <w:pPr>
                    <w:autoSpaceDE w:val="0"/>
                    <w:autoSpaceDN w:val="0"/>
                    <w:adjustRightInd w:val="0"/>
                    <w:spacing w:line="0" w:lineRule="atLeast"/>
                    <w:jc w:val="left"/>
                    <w:rPr>
                      <w:color w:val="auto"/>
                      <w:kern w:val="0"/>
                    </w:rPr>
                  </w:pPr>
                  <w:r>
                    <w:rPr>
                      <w:rFonts w:hint="eastAsia"/>
                      <w:color w:val="auto"/>
                      <w:kern w:val="0"/>
                    </w:rPr>
                    <w:t>本项目位于江苏省常州市金坛区直溪镇工业集中区直溪大道16号，不属于“新孟河、望虞河以外的其他主要入太湖河道，自河口1万米上溯至5万米河道岸线内及其岸线两侧各1000米范围内”</w:t>
                  </w:r>
                </w:p>
              </w:tc>
              <w:tc>
                <w:tcPr>
                  <w:tcW w:w="1036" w:type="dxa"/>
                  <w:vAlign w:val="center"/>
                </w:tcPr>
                <w:p w14:paraId="61D6AB7A">
                  <w:pPr>
                    <w:jc w:val="center"/>
                    <w:rPr>
                      <w:rFonts w:ascii="宋体" w:hAnsi="宋体" w:cs="宋体"/>
                      <w:color w:val="auto"/>
                    </w:rPr>
                  </w:pPr>
                  <w:r>
                    <w:rPr>
                      <w:rFonts w:hint="eastAsia" w:ascii="宋体" w:hAnsi="宋体" w:cs="宋体"/>
                      <w:color w:val="auto"/>
                    </w:rPr>
                    <w:t>相符</w:t>
                  </w:r>
                </w:p>
              </w:tc>
            </w:tr>
            <w:tr w14:paraId="208D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 w:type="dxa"/>
                  <w:vMerge w:val="continue"/>
                  <w:vAlign w:val="center"/>
                </w:tcPr>
                <w:p w14:paraId="64D2EE9A">
                  <w:pPr>
                    <w:jc w:val="center"/>
                    <w:rPr>
                      <w:rFonts w:ascii="宋体" w:hAnsi="宋体" w:cs="宋体"/>
                      <w:color w:val="auto"/>
                    </w:rPr>
                  </w:pPr>
                </w:p>
              </w:tc>
              <w:tc>
                <w:tcPr>
                  <w:tcW w:w="588" w:type="dxa"/>
                  <w:vAlign w:val="center"/>
                </w:tcPr>
                <w:p w14:paraId="5BB562B0">
                  <w:pPr>
                    <w:jc w:val="center"/>
                    <w:rPr>
                      <w:rFonts w:ascii="宋体" w:hAnsi="宋体" w:cs="宋体"/>
                      <w:color w:val="auto"/>
                    </w:rPr>
                  </w:pPr>
                  <w:r>
                    <w:rPr>
                      <w:rFonts w:hint="eastAsia" w:ascii="宋体" w:hAnsi="宋体" w:cs="宋体"/>
                      <w:color w:val="auto"/>
                    </w:rPr>
                    <w:t>第三十条</w:t>
                  </w:r>
                </w:p>
              </w:tc>
              <w:tc>
                <w:tcPr>
                  <w:tcW w:w="4237" w:type="dxa"/>
                  <w:vAlign w:val="center"/>
                </w:tcPr>
                <w:p w14:paraId="3F524B69">
                  <w:pPr>
                    <w:rPr>
                      <w:rFonts w:ascii="宋体" w:hAnsi="宋体" w:cs="宋体"/>
                      <w:color w:val="auto"/>
                    </w:rPr>
                  </w:pPr>
                  <w:r>
                    <w:rPr>
                      <w:rFonts w:hint="eastAsia" w:ascii="宋体" w:hAnsi="宋体" w:cs="宋体"/>
                      <w:color w:val="auto"/>
                    </w:rPr>
                    <w:t>太湖岸线内和岸线周边</w:t>
                  </w:r>
                  <w:r>
                    <w:rPr>
                      <w:rFonts w:hint="eastAsia" w:cs="宋体"/>
                      <w:color w:val="auto"/>
                    </w:rPr>
                    <w:t>5000</w:t>
                  </w:r>
                  <w:r>
                    <w:rPr>
                      <w:rFonts w:hint="eastAsia" w:ascii="宋体" w:hAnsi="宋体" w:cs="宋体"/>
                      <w:color w:val="auto"/>
                    </w:rPr>
                    <w:t>米范围内，淀山湖岸线内和岸线周边</w:t>
                  </w:r>
                  <w:r>
                    <w:rPr>
                      <w:rFonts w:hint="eastAsia" w:cs="宋体"/>
                      <w:color w:val="auto"/>
                    </w:rPr>
                    <w:t>2000</w:t>
                  </w:r>
                  <w:r>
                    <w:rPr>
                      <w:rFonts w:hint="eastAsia" w:ascii="宋体" w:hAnsi="宋体" w:cs="宋体"/>
                      <w:color w:val="auto"/>
                    </w:rPr>
                    <w:t>米范围内，太浦河、新孟河、望虞河岸线内和岸线两侧各</w:t>
                  </w:r>
                  <w:r>
                    <w:rPr>
                      <w:rFonts w:hint="eastAsia" w:cs="宋体"/>
                      <w:color w:val="auto"/>
                    </w:rPr>
                    <w:t>1000</w:t>
                  </w:r>
                  <w:r>
                    <w:rPr>
                      <w:rFonts w:hint="eastAsia" w:ascii="宋体" w:hAnsi="宋体" w:cs="宋体"/>
                      <w:color w:val="auto"/>
                    </w:rPr>
                    <w:t>米范围内，其他主要入太湖河道自河口上溯至</w:t>
                  </w:r>
                  <w:r>
                    <w:rPr>
                      <w:rFonts w:hint="eastAsia" w:cs="宋体"/>
                      <w:color w:val="auto"/>
                    </w:rPr>
                    <w:t>1</w:t>
                  </w:r>
                  <w:r>
                    <w:rPr>
                      <w:rFonts w:hint="eastAsia" w:ascii="宋体" w:hAnsi="宋体" w:cs="宋体"/>
                      <w:color w:val="auto"/>
                    </w:rPr>
                    <w:t>万米河道岸线内及其岸线两侧各</w:t>
                  </w:r>
                  <w:r>
                    <w:rPr>
                      <w:rFonts w:hint="eastAsia" w:cs="宋体"/>
                      <w:color w:val="auto"/>
                    </w:rPr>
                    <w:t>1000</w:t>
                  </w:r>
                  <w:r>
                    <w:rPr>
                      <w:rFonts w:hint="eastAsia" w:ascii="宋体" w:hAnsi="宋体" w:cs="宋体"/>
                      <w:color w:val="auto"/>
                    </w:rPr>
                    <w:t>米范围内，禁止下列行为：</w:t>
                  </w:r>
                </w:p>
                <w:p w14:paraId="74007CDC">
                  <w:pPr>
                    <w:rPr>
                      <w:rFonts w:ascii="宋体" w:hAnsi="宋体" w:cs="宋体"/>
                      <w:color w:val="auto"/>
                    </w:rPr>
                  </w:pPr>
                  <w:r>
                    <w:rPr>
                      <w:rFonts w:hint="eastAsia" w:ascii="宋体" w:hAnsi="宋体" w:cs="宋体"/>
                      <w:color w:val="auto"/>
                    </w:rPr>
                    <w:t>（一）设置剧毒物质、危险化学品的贮存、输送设施和废物回收场、垃圾场；</w:t>
                  </w:r>
                </w:p>
                <w:p w14:paraId="4C3053EC">
                  <w:pPr>
                    <w:rPr>
                      <w:rFonts w:ascii="宋体" w:hAnsi="宋体" w:cs="宋体"/>
                      <w:color w:val="auto"/>
                    </w:rPr>
                  </w:pPr>
                  <w:r>
                    <w:rPr>
                      <w:rFonts w:hint="eastAsia" w:ascii="宋体" w:hAnsi="宋体" w:cs="宋体"/>
                      <w:color w:val="auto"/>
                    </w:rPr>
                    <w:t>（二）设置水上餐饮经营设施；</w:t>
                  </w:r>
                </w:p>
                <w:p w14:paraId="07B8E060">
                  <w:pPr>
                    <w:rPr>
                      <w:rFonts w:ascii="宋体" w:hAnsi="宋体" w:cs="宋体"/>
                      <w:color w:val="auto"/>
                    </w:rPr>
                  </w:pPr>
                  <w:r>
                    <w:rPr>
                      <w:rFonts w:hint="eastAsia" w:ascii="宋体" w:hAnsi="宋体" w:cs="宋体"/>
                      <w:color w:val="auto"/>
                    </w:rPr>
                    <w:t>（三）新建、扩建高尔夫球场；</w:t>
                  </w:r>
                </w:p>
                <w:p w14:paraId="6B860B65">
                  <w:pPr>
                    <w:rPr>
                      <w:rFonts w:ascii="宋体" w:hAnsi="宋体" w:cs="宋体"/>
                      <w:color w:val="auto"/>
                    </w:rPr>
                  </w:pPr>
                  <w:r>
                    <w:rPr>
                      <w:rFonts w:hint="eastAsia" w:ascii="宋体" w:hAnsi="宋体" w:cs="宋体"/>
                      <w:color w:val="auto"/>
                    </w:rPr>
                    <w:t>（四）新建、扩建畜禽养殖场；</w:t>
                  </w:r>
                </w:p>
                <w:p w14:paraId="555D85DC">
                  <w:pPr>
                    <w:rPr>
                      <w:rFonts w:ascii="宋体" w:hAnsi="宋体" w:cs="宋体"/>
                      <w:color w:val="auto"/>
                    </w:rPr>
                  </w:pPr>
                  <w:r>
                    <w:rPr>
                      <w:rFonts w:hint="eastAsia" w:ascii="宋体" w:hAnsi="宋体" w:cs="宋体"/>
                      <w:color w:val="auto"/>
                    </w:rPr>
                    <w:t>（五）新建、扩建向水体排放污染物的建设项目；</w:t>
                  </w:r>
                </w:p>
                <w:p w14:paraId="542B6677">
                  <w:pPr>
                    <w:rPr>
                      <w:rFonts w:ascii="宋体" w:hAnsi="宋体" w:cs="宋体"/>
                      <w:color w:val="auto"/>
                    </w:rPr>
                  </w:pPr>
                  <w:r>
                    <w:rPr>
                      <w:rFonts w:hint="eastAsia" w:ascii="宋体" w:hAnsi="宋体" w:cs="宋体"/>
                      <w:color w:val="auto"/>
                    </w:rPr>
                    <w:t>（六）本条例第二十九条规定的行为。</w:t>
                  </w:r>
                </w:p>
                <w:p w14:paraId="29692C3D">
                  <w:pPr>
                    <w:rPr>
                      <w:rFonts w:ascii="宋体" w:hAnsi="宋体" w:cs="宋体"/>
                      <w:color w:val="auto"/>
                    </w:rPr>
                  </w:pPr>
                  <w:r>
                    <w:rPr>
                      <w:rFonts w:hint="eastAsia" w:ascii="宋体" w:hAnsi="宋体" w:cs="宋体"/>
                      <w:color w:val="auto"/>
                    </w:rPr>
                    <w:t>已经设置前款第一项、第二项规定设施的，当地县级人民政府应当责令拆除或者关闭。</w:t>
                  </w:r>
                </w:p>
              </w:tc>
              <w:tc>
                <w:tcPr>
                  <w:tcW w:w="2593" w:type="dxa"/>
                  <w:vAlign w:val="center"/>
                </w:tcPr>
                <w:p w14:paraId="21695E0E">
                  <w:pPr>
                    <w:autoSpaceDE w:val="0"/>
                    <w:autoSpaceDN w:val="0"/>
                    <w:adjustRightInd w:val="0"/>
                    <w:spacing w:line="0" w:lineRule="atLeast"/>
                    <w:jc w:val="left"/>
                    <w:rPr>
                      <w:color w:val="auto"/>
                    </w:rPr>
                  </w:pPr>
                  <w:r>
                    <w:rPr>
                      <w:color w:val="auto"/>
                      <w:kern w:val="0"/>
                    </w:rPr>
                    <w:t>本项目不在此范围内，</w:t>
                  </w:r>
                  <w:r>
                    <w:rPr>
                      <w:rFonts w:hint="eastAsia"/>
                      <w:color w:val="auto"/>
                      <w:kern w:val="0"/>
                    </w:rPr>
                    <w:t>且</w:t>
                  </w:r>
                  <w:r>
                    <w:rPr>
                      <w:color w:val="auto"/>
                      <w:kern w:val="0"/>
                    </w:rPr>
                    <w:t>不涉及所列禁止行为。</w:t>
                  </w:r>
                </w:p>
              </w:tc>
              <w:tc>
                <w:tcPr>
                  <w:tcW w:w="1036" w:type="dxa"/>
                  <w:vAlign w:val="center"/>
                </w:tcPr>
                <w:p w14:paraId="62B5278E">
                  <w:pPr>
                    <w:jc w:val="center"/>
                    <w:rPr>
                      <w:rFonts w:ascii="宋体" w:hAnsi="宋体" w:cs="宋体"/>
                      <w:color w:val="auto"/>
                    </w:rPr>
                  </w:pPr>
                  <w:r>
                    <w:rPr>
                      <w:rFonts w:hint="eastAsia" w:ascii="宋体" w:hAnsi="宋体" w:cs="宋体"/>
                      <w:color w:val="auto"/>
                    </w:rPr>
                    <w:t>相符</w:t>
                  </w:r>
                </w:p>
              </w:tc>
            </w:tr>
            <w:tr w14:paraId="0AEC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3" w:type="dxa"/>
                  <w:gridSpan w:val="3"/>
                  <w:vAlign w:val="center"/>
                </w:tcPr>
                <w:p w14:paraId="3801C741">
                  <w:pPr>
                    <w:autoSpaceDE w:val="0"/>
                    <w:autoSpaceDN w:val="0"/>
                    <w:adjustRightInd w:val="0"/>
                    <w:jc w:val="center"/>
                    <w:rPr>
                      <w:rFonts w:ascii="宋体" w:hAnsi="宋体" w:cs="宋体"/>
                      <w:b/>
                      <w:color w:val="auto"/>
                    </w:rPr>
                  </w:pPr>
                  <w:r>
                    <w:rPr>
                      <w:rFonts w:hint="eastAsia" w:ascii="宋体" w:hAnsi="宋体" w:cs="宋体"/>
                      <w:b/>
                      <w:bCs/>
                      <w:color w:val="auto"/>
                    </w:rPr>
                    <w:t>《江苏省太湖水污染防治条例》相关要求</w:t>
                  </w:r>
                </w:p>
              </w:tc>
              <w:tc>
                <w:tcPr>
                  <w:tcW w:w="2593" w:type="dxa"/>
                  <w:vAlign w:val="center"/>
                </w:tcPr>
                <w:p w14:paraId="00AC2736">
                  <w:pPr>
                    <w:jc w:val="center"/>
                    <w:rPr>
                      <w:rFonts w:ascii="宋体" w:hAnsi="宋体" w:cs="宋体"/>
                      <w:color w:val="auto"/>
                    </w:rPr>
                  </w:pPr>
                  <w:r>
                    <w:rPr>
                      <w:rFonts w:hint="eastAsia" w:ascii="宋体" w:hAnsi="宋体" w:cs="宋体"/>
                      <w:b/>
                      <w:color w:val="auto"/>
                    </w:rPr>
                    <w:t>本项目</w:t>
                  </w:r>
                </w:p>
              </w:tc>
              <w:tc>
                <w:tcPr>
                  <w:tcW w:w="1036" w:type="dxa"/>
                  <w:vAlign w:val="center"/>
                </w:tcPr>
                <w:p w14:paraId="2FB3BE85">
                  <w:pPr>
                    <w:jc w:val="center"/>
                    <w:rPr>
                      <w:rFonts w:ascii="宋体" w:hAnsi="宋体" w:cs="宋体"/>
                      <w:b/>
                      <w:color w:val="auto"/>
                    </w:rPr>
                  </w:pPr>
                  <w:r>
                    <w:rPr>
                      <w:rFonts w:hint="eastAsia" w:ascii="宋体" w:hAnsi="宋体" w:cs="宋体"/>
                      <w:b/>
                      <w:color w:val="auto"/>
                    </w:rPr>
                    <w:t>相符性</w:t>
                  </w:r>
                </w:p>
              </w:tc>
            </w:tr>
            <w:tr w14:paraId="1D40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43" w:type="dxa"/>
                  <w:gridSpan w:val="3"/>
                  <w:vAlign w:val="center"/>
                </w:tcPr>
                <w:p w14:paraId="62749602">
                  <w:pPr>
                    <w:widowControl/>
                    <w:jc w:val="left"/>
                    <w:rPr>
                      <w:color w:val="auto"/>
                    </w:rPr>
                  </w:pPr>
                  <w:r>
                    <w:rPr>
                      <w:rFonts w:ascii="瀹嬩綋" w:hAnsi="瀹嬩綋" w:eastAsia="瀹嬩綋" w:cs="瀹嬩綋"/>
                      <w:color w:val="auto"/>
                      <w:kern w:val="0"/>
                      <w:lang w:bidi="ar"/>
                    </w:rPr>
                    <w:t>第十六条：新建、改建、扩建直接或者间接向水体排放污染物的建设项目和其他水上设施，应当依法进行环境影响评价。</w:t>
                  </w:r>
                </w:p>
                <w:p w14:paraId="0B8893C7">
                  <w:pPr>
                    <w:widowControl/>
                    <w:jc w:val="left"/>
                    <w:rPr>
                      <w:color w:val="auto"/>
                    </w:rPr>
                  </w:pPr>
                  <w:r>
                    <w:rPr>
                      <w:rFonts w:ascii="瀹嬩綋" w:hAnsi="瀹嬩綋" w:eastAsia="瀹嬩綋" w:cs="瀹嬩綋"/>
                      <w:color w:val="auto"/>
                      <w:kern w:val="0"/>
                      <w:lang w:bidi="ar"/>
                    </w:rPr>
                    <w:t>第二十四条：直接或者间接向水体排放污染物的企业事业单位和其他生产经营者，应当按照国家和省有关规定设置排污口。禁止私设排污口。</w:t>
                  </w:r>
                </w:p>
                <w:p w14:paraId="31764E14">
                  <w:pPr>
                    <w:widowControl/>
                    <w:jc w:val="left"/>
                    <w:rPr>
                      <w:color w:val="auto"/>
                    </w:rPr>
                  </w:pPr>
                  <w:r>
                    <w:rPr>
                      <w:rFonts w:ascii="瀹嬩綋" w:hAnsi="瀹嬩綋" w:eastAsia="瀹嬩綋" w:cs="瀹嬩綋"/>
                      <w:color w:val="auto"/>
                      <w:kern w:val="0"/>
                      <w:lang w:bidi="ar"/>
                    </w:rPr>
                    <w:t>第二十六条：向城镇污水集中处理设施排放工业污水的，应当进行预处理，达到国家、省有关标准和污水集中处理设施的接纳要求。</w:t>
                  </w:r>
                </w:p>
                <w:p w14:paraId="0431AFFA">
                  <w:pPr>
                    <w:widowControl/>
                    <w:jc w:val="left"/>
                    <w:rPr>
                      <w:color w:val="auto"/>
                    </w:rPr>
                  </w:pPr>
                  <w:r>
                    <w:rPr>
                      <w:rFonts w:ascii="瀹嬩綋" w:hAnsi="瀹嬩綋" w:eastAsia="瀹嬩綋" w:cs="瀹嬩綋"/>
                      <w:color w:val="auto"/>
                      <w:kern w:val="0"/>
                      <w:lang w:bidi="ar"/>
                    </w:rPr>
                    <w:t>第二十八条：太湖流域重点排污单位及城镇污水集中处理设施运营单位，应当依照法律、法规等有关规定安装水污染物排放自动监测设备，并与生态环境主管部门的监控设备联网，保证监测设备正常运行。生态环境主管部门应</w:t>
                  </w:r>
                </w:p>
                <w:p w14:paraId="2F5072EE">
                  <w:pPr>
                    <w:widowControl/>
                    <w:jc w:val="left"/>
                    <w:rPr>
                      <w:color w:val="auto"/>
                    </w:rPr>
                  </w:pPr>
                  <w:r>
                    <w:rPr>
                      <w:rFonts w:ascii="瀹嬩綋" w:hAnsi="瀹嬩綋" w:eastAsia="瀹嬩綋" w:cs="瀹嬩綋"/>
                      <w:color w:val="auto"/>
                      <w:kern w:val="0"/>
                      <w:lang w:bidi="ar"/>
                    </w:rPr>
                    <w:t>当建立污染源自动监控数据公布制度。</w:t>
                  </w:r>
                </w:p>
                <w:p w14:paraId="3DF42D4B">
                  <w:pPr>
                    <w:widowControl/>
                    <w:jc w:val="left"/>
                    <w:rPr>
                      <w:color w:val="auto"/>
                    </w:rPr>
                  </w:pPr>
                  <w:r>
                    <w:rPr>
                      <w:rFonts w:ascii="瀹嬩綋" w:hAnsi="瀹嬩綋" w:eastAsia="瀹嬩綋" w:cs="瀹嬩綋"/>
                      <w:color w:val="auto"/>
                      <w:kern w:val="0"/>
                      <w:lang w:bidi="ar"/>
                    </w:rPr>
                    <w:t>第三十五条：对工艺落后、污染严重、不能稳定达标的直接或者间接向水体排放污染物的化工、医药、冶金、印染、造纸、电镀等重污染企业，太湖流域市、县（市、区）人民政府应当予以关闭、淘汰。</w:t>
                  </w:r>
                </w:p>
                <w:p w14:paraId="59CD7E88">
                  <w:pPr>
                    <w:widowControl/>
                    <w:jc w:val="left"/>
                    <w:rPr>
                      <w:color w:val="auto"/>
                    </w:rPr>
                  </w:pPr>
                  <w:r>
                    <w:rPr>
                      <w:rFonts w:ascii="瀹嬩綋" w:hAnsi="瀹嬩綋" w:eastAsia="瀹嬩綋" w:cs="瀹嬩綋"/>
                      <w:color w:val="auto"/>
                      <w:kern w:val="0"/>
                      <w:lang w:bidi="ar"/>
                    </w:rPr>
                    <w:t>第四十三条：太湖流域一、二、三级保护区禁止下列行为：（一）新建、改建、扩建化学制浆造纸、制革、酿造、染料、印染、电镀以及其他排放含磷、氮等污染物的企业和项目，城镇污水集中处理等环境基础设施项目和第四十</w:t>
                  </w:r>
                </w:p>
                <w:p w14:paraId="2F5D59E2">
                  <w:pPr>
                    <w:widowControl/>
                    <w:jc w:val="left"/>
                    <w:rPr>
                      <w:color w:val="auto"/>
                    </w:rPr>
                  </w:pPr>
                  <w:r>
                    <w:rPr>
                      <w:rFonts w:ascii="瀹嬩綋" w:hAnsi="瀹嬩綋" w:eastAsia="瀹嬩綋" w:cs="瀹嬩綋"/>
                      <w:color w:val="auto"/>
                      <w:kern w:val="0"/>
                      <w:lang w:bidi="ar"/>
                    </w:rPr>
                    <w:t>六条规定的情形除外；（二）销售、使用含磷洗涤用品；（三）向水体排放或者倾倒油类、酸液、碱液、剧毒废渣废液、含放射性废渣废液、含病原体污水、工业废渣以及其他废弃物；（四）在水体清洗装贮过油类或者有毒有</w:t>
                  </w:r>
                </w:p>
                <w:p w14:paraId="35116251">
                  <w:pPr>
                    <w:widowControl/>
                    <w:jc w:val="left"/>
                    <w:rPr>
                      <w:rFonts w:ascii="宋体" w:hAnsi="宋体" w:cs="宋体"/>
                      <w:color w:val="auto"/>
                    </w:rPr>
                  </w:pPr>
                  <w:r>
                    <w:rPr>
                      <w:rFonts w:ascii="瀹嬩綋" w:hAnsi="瀹嬩綋" w:eastAsia="瀹嬩綋" w:cs="瀹嬩綋"/>
                      <w:color w:val="auto"/>
                      <w:kern w:val="0"/>
                      <w:lang w:bidi="ar"/>
                    </w:rPr>
                    <w:t>害污染物的车辆、船舶和容器等；（五）使用农药等有毒物毒杀水生生物；（六）向水体直接排放人畜粪便、倾倒垃圾；（七）围湖造地；（八）违法开山采石，或者进行破坏林木、植被、水生生物的活动；（九）法律、法规禁止的其他行为。</w:t>
                  </w:r>
                </w:p>
              </w:tc>
              <w:tc>
                <w:tcPr>
                  <w:tcW w:w="2593" w:type="dxa"/>
                  <w:vAlign w:val="center"/>
                </w:tcPr>
                <w:p w14:paraId="2ABFC316">
                  <w:pPr>
                    <w:widowControl/>
                    <w:jc w:val="left"/>
                    <w:rPr>
                      <w:color w:val="auto"/>
                    </w:rPr>
                  </w:pPr>
                  <w:r>
                    <w:rPr>
                      <w:rFonts w:ascii="瀹嬩綋" w:hAnsi="瀹嬩綋" w:eastAsia="瀹嬩綋" w:cs="瀹嬩綋"/>
                      <w:color w:val="auto"/>
                      <w:kern w:val="0"/>
                      <w:lang w:bidi="ar"/>
                    </w:rPr>
                    <w:t>本项目为</w:t>
                  </w:r>
                  <w:r>
                    <w:rPr>
                      <w:rFonts w:hint="eastAsia" w:ascii="瀹嬩綋" w:hAnsi="瀹嬩綋" w:eastAsia="瀹嬩綋" w:cs="瀹嬩綋"/>
                      <w:color w:val="auto"/>
                      <w:kern w:val="0"/>
                      <w:lang w:bidi="ar"/>
                    </w:rPr>
                    <w:t>气弹簧生产</w:t>
                  </w:r>
                  <w:r>
                    <w:rPr>
                      <w:rFonts w:ascii="瀹嬩綋" w:hAnsi="瀹嬩綋" w:eastAsia="瀹嬩綋" w:cs="瀹嬩綋"/>
                      <w:color w:val="auto"/>
                      <w:kern w:val="0"/>
                      <w:lang w:bidi="ar"/>
                    </w:rPr>
                    <w:t>项目，不属于重污染企业，本项目位于</w:t>
                  </w:r>
                  <w:r>
                    <w:rPr>
                      <w:rFonts w:hint="eastAsia" w:ascii="瀹嬩綋" w:hAnsi="瀹嬩綋" w:eastAsia="瀹嬩綋" w:cs="瀹嬩綋"/>
                      <w:color w:val="auto"/>
                      <w:kern w:val="0"/>
                      <w:lang w:bidi="ar"/>
                    </w:rPr>
                    <w:t>直溪镇工业集中区直溪大道</w:t>
                  </w:r>
                  <w:r>
                    <w:rPr>
                      <w:rFonts w:eastAsia="瀹嬩綋"/>
                      <w:color w:val="auto"/>
                      <w:kern w:val="0"/>
                      <w:lang w:bidi="ar"/>
                    </w:rPr>
                    <w:t>16</w:t>
                  </w:r>
                  <w:r>
                    <w:rPr>
                      <w:rFonts w:hint="eastAsia" w:ascii="瀹嬩綋" w:hAnsi="瀹嬩綋" w:eastAsia="瀹嬩綋" w:cs="瀹嬩綋"/>
                      <w:color w:val="auto"/>
                      <w:kern w:val="0"/>
                      <w:lang w:bidi="ar"/>
                    </w:rPr>
                    <w:t>号</w:t>
                  </w:r>
                  <w:r>
                    <w:rPr>
                      <w:rFonts w:ascii="瀹嬩綋" w:hAnsi="瀹嬩綋" w:eastAsia="瀹嬩綋" w:cs="瀹嬩綋"/>
                      <w:color w:val="auto"/>
                      <w:kern w:val="0"/>
                      <w:lang w:bidi="ar"/>
                    </w:rPr>
                    <w:t>，本项目符合国家和省有关生态保护红线、环境准入清单、生态环境质量和资源利用的要求；本项目将在取得环评批复后申领排污许可证，未取得排污许可证之前不进行生产；本项目生活污水符合</w:t>
                  </w:r>
                  <w:r>
                    <w:rPr>
                      <w:rFonts w:hint="eastAsia" w:eastAsia="宋体"/>
                      <w:color w:val="auto"/>
                      <w:lang w:eastAsia="zh-CN"/>
                    </w:rPr>
                    <w:t>常州市金坛区溪城污水处理有限公司直溪污水处理厂</w:t>
                  </w:r>
                  <w:r>
                    <w:rPr>
                      <w:rFonts w:ascii="瀹嬩綋" w:hAnsi="瀹嬩綋" w:eastAsia="瀹嬩綋" w:cs="瀹嬩綋"/>
                      <w:color w:val="auto"/>
                      <w:kern w:val="0"/>
                      <w:lang w:bidi="ar"/>
                    </w:rPr>
                    <w:t>接管要求；本项目</w:t>
                  </w:r>
                  <w:r>
                    <w:rPr>
                      <w:rFonts w:hint="eastAsia" w:ascii="瀹嬩綋" w:hAnsi="瀹嬩綋" w:eastAsia="瀹嬩綋" w:cs="瀹嬩綋"/>
                      <w:color w:val="auto"/>
                      <w:kern w:val="0"/>
                      <w:lang w:bidi="ar"/>
                    </w:rPr>
                    <w:t>厂区</w:t>
                  </w:r>
                  <w:r>
                    <w:rPr>
                      <w:rFonts w:ascii="瀹嬩綋" w:hAnsi="瀹嬩綋" w:eastAsia="瀹嬩綋" w:cs="瀹嬩綋"/>
                      <w:color w:val="auto"/>
                      <w:kern w:val="0"/>
                      <w:lang w:bidi="ar"/>
                    </w:rPr>
                    <w:t>实行雨污分流；本项目不属于新建、扩建化工项目；</w:t>
                  </w:r>
                </w:p>
                <w:p w14:paraId="2849282D">
                  <w:pPr>
                    <w:widowControl/>
                    <w:jc w:val="left"/>
                    <w:rPr>
                      <w:color w:val="auto"/>
                    </w:rPr>
                  </w:pPr>
                  <w:r>
                    <w:rPr>
                      <w:rFonts w:ascii="瀹嬩綋" w:hAnsi="瀹嬩綋" w:eastAsia="瀹嬩綋" w:cs="瀹嬩綋"/>
                      <w:color w:val="auto"/>
                      <w:kern w:val="0"/>
                      <w:lang w:bidi="ar"/>
                    </w:rPr>
                    <w:t>本项目各类固废合理处置，不外排</w:t>
                  </w:r>
                  <w:r>
                    <w:rPr>
                      <w:rFonts w:hint="eastAsia" w:ascii="瀹嬩綋" w:hAnsi="瀹嬩綋" w:eastAsia="瀹嬩綋" w:cs="瀹嬩綋"/>
                      <w:color w:val="auto"/>
                      <w:kern w:val="0"/>
                      <w:lang w:bidi="ar"/>
                    </w:rPr>
                    <w:t>。</w:t>
                  </w:r>
                </w:p>
                <w:p w14:paraId="020A1834">
                  <w:pPr>
                    <w:rPr>
                      <w:rFonts w:ascii="宋体" w:hAnsi="宋体" w:cs="宋体"/>
                      <w:color w:val="auto"/>
                    </w:rPr>
                  </w:pPr>
                </w:p>
              </w:tc>
              <w:tc>
                <w:tcPr>
                  <w:tcW w:w="1036" w:type="dxa"/>
                  <w:vAlign w:val="center"/>
                </w:tcPr>
                <w:p w14:paraId="59E0D2A6">
                  <w:pPr>
                    <w:jc w:val="center"/>
                    <w:rPr>
                      <w:rFonts w:ascii="宋体" w:hAnsi="宋体" w:cs="宋体"/>
                      <w:color w:val="auto"/>
                    </w:rPr>
                  </w:pPr>
                  <w:r>
                    <w:rPr>
                      <w:rFonts w:hint="eastAsia" w:ascii="宋体" w:hAnsi="宋体" w:cs="宋体"/>
                      <w:color w:val="auto"/>
                    </w:rPr>
                    <w:t>相符</w:t>
                  </w:r>
                </w:p>
              </w:tc>
            </w:tr>
          </w:tbl>
          <w:p w14:paraId="0074E00A">
            <w:pPr>
              <w:spacing w:line="360" w:lineRule="auto"/>
              <w:ind w:firstLine="480" w:firstLineChars="200"/>
              <w:jc w:val="left"/>
              <w:rPr>
                <w:color w:val="auto"/>
                <w:sz w:val="24"/>
              </w:rPr>
            </w:pPr>
            <w:r>
              <w:rPr>
                <w:color w:val="auto"/>
                <w:sz w:val="24"/>
              </w:rPr>
              <w:t>综上，本项目建设与《太湖</w:t>
            </w:r>
            <w:r>
              <w:rPr>
                <w:rFonts w:hint="eastAsia"/>
                <w:color w:val="auto"/>
                <w:sz w:val="24"/>
              </w:rPr>
              <w:t>流域管理条例》和《江苏省太湖水污染防治条例》</w:t>
            </w:r>
            <w:r>
              <w:rPr>
                <w:color w:val="auto"/>
                <w:sz w:val="24"/>
              </w:rPr>
              <w:t>相符。</w:t>
            </w:r>
          </w:p>
          <w:p w14:paraId="3FBE56E4">
            <w:pPr>
              <w:spacing w:line="360" w:lineRule="auto"/>
              <w:ind w:firstLine="480" w:firstLineChars="200"/>
              <w:jc w:val="left"/>
              <w:rPr>
                <w:color w:val="auto"/>
                <w:sz w:val="24"/>
              </w:rPr>
            </w:pPr>
            <w:r>
              <w:rPr>
                <w:rFonts w:hint="eastAsia"/>
                <w:color w:val="auto"/>
                <w:sz w:val="24"/>
              </w:rPr>
              <w:t>5</w:t>
            </w:r>
            <w:r>
              <w:rPr>
                <w:color w:val="auto"/>
                <w:sz w:val="24"/>
              </w:rPr>
              <w:t>、</w:t>
            </w:r>
            <w:r>
              <w:rPr>
                <w:rFonts w:hint="eastAsia"/>
                <w:color w:val="auto"/>
                <w:sz w:val="24"/>
              </w:rPr>
              <w:t>审批原则相符性分析</w:t>
            </w:r>
          </w:p>
          <w:p w14:paraId="5044B638">
            <w:pPr>
              <w:spacing w:line="360" w:lineRule="auto"/>
              <w:ind w:firstLine="480" w:firstLineChars="200"/>
              <w:rPr>
                <w:color w:val="auto"/>
                <w:sz w:val="24"/>
              </w:rPr>
            </w:pPr>
            <w:r>
              <w:rPr>
                <w:color w:val="auto"/>
                <w:sz w:val="24"/>
              </w:rPr>
              <w:t>①</w:t>
            </w:r>
            <w:r>
              <w:rPr>
                <w:rFonts w:hint="eastAsia" w:ascii="宋体" w:hAnsi="宋体" w:cs="宋体"/>
                <w:color w:val="auto"/>
                <w:sz w:val="24"/>
              </w:rPr>
              <w:t>项目与</w:t>
            </w:r>
            <w:r>
              <w:rPr>
                <w:color w:val="auto"/>
                <w:sz w:val="24"/>
              </w:rPr>
              <w:t>《关于以改善环境质量为核心加强环境影响评价管理的通知》</w:t>
            </w:r>
            <w:r>
              <w:rPr>
                <w:rFonts w:hint="eastAsia"/>
                <w:color w:val="auto"/>
                <w:sz w:val="24"/>
              </w:rPr>
              <w:t>（</w:t>
            </w:r>
            <w:r>
              <w:rPr>
                <w:rFonts w:hint="eastAsia" w:hAnsi="宋体"/>
                <w:bCs/>
                <w:color w:val="auto"/>
                <w:sz w:val="24"/>
              </w:rPr>
              <w:t>环环评〔2016〕150号）</w:t>
            </w:r>
            <w:r>
              <w:rPr>
                <w:rFonts w:hint="eastAsia"/>
                <w:color w:val="auto"/>
                <w:sz w:val="24"/>
              </w:rPr>
              <w:t>文相符性分析。</w:t>
            </w:r>
          </w:p>
          <w:p w14:paraId="0E107A54">
            <w:pPr>
              <w:ind w:firstLine="482" w:firstLineChars="200"/>
              <w:jc w:val="center"/>
              <w:rPr>
                <w:color w:val="auto"/>
                <w:sz w:val="24"/>
              </w:rPr>
            </w:pPr>
            <w:r>
              <w:rPr>
                <w:rFonts w:hint="eastAsia"/>
                <w:b/>
                <w:bCs/>
                <w:color w:val="auto"/>
                <w:sz w:val="24"/>
              </w:rPr>
              <w:t xml:space="preserve">表1-6  </w:t>
            </w:r>
            <w:r>
              <w:rPr>
                <w:rFonts w:hAnsi="宋体"/>
                <w:b/>
                <w:bCs/>
                <w:color w:val="auto"/>
                <w:sz w:val="24"/>
              </w:rPr>
              <w:t>与</w:t>
            </w:r>
            <w:r>
              <w:rPr>
                <w:b/>
                <w:bCs/>
                <w:color w:val="auto"/>
                <w:sz w:val="24"/>
              </w:rPr>
              <w:t>《关于以改善环境质量为核心加强环境影响评价管理的通知》</w:t>
            </w:r>
            <w:r>
              <w:rPr>
                <w:rFonts w:hint="eastAsia"/>
                <w:b/>
                <w:bCs/>
                <w:color w:val="auto"/>
                <w:sz w:val="24"/>
              </w:rPr>
              <w:t>（</w:t>
            </w:r>
            <w:r>
              <w:rPr>
                <w:rFonts w:hint="eastAsia" w:hAnsi="宋体"/>
                <w:b/>
                <w:bCs/>
                <w:color w:val="auto"/>
                <w:sz w:val="24"/>
              </w:rPr>
              <w:t>环环评〔2016〕150号）</w:t>
            </w:r>
            <w:r>
              <w:rPr>
                <w:rFonts w:hint="eastAsia" w:hAnsi="宋体"/>
                <w:b/>
                <w:color w:val="auto"/>
                <w:sz w:val="24"/>
              </w:rPr>
              <w:t>文相符</w:t>
            </w:r>
            <w:r>
              <w:rPr>
                <w:rFonts w:hAnsi="宋体"/>
                <w:b/>
                <w:color w:val="auto"/>
                <w:sz w:val="24"/>
              </w:rPr>
              <w:t>性</w:t>
            </w:r>
            <w:r>
              <w:rPr>
                <w:rFonts w:hint="eastAsia" w:hAnsi="宋体"/>
                <w:b/>
                <w:color w:val="auto"/>
                <w:sz w:val="24"/>
              </w:rPr>
              <w:t>对照</w:t>
            </w:r>
            <w:r>
              <w:rPr>
                <w:rFonts w:hAnsi="宋体"/>
                <w:b/>
                <w:color w:val="auto"/>
                <w:sz w:val="24"/>
              </w:rPr>
              <w:t>分析</w:t>
            </w:r>
          </w:p>
          <w:tbl>
            <w:tblPr>
              <w:tblStyle w:val="22"/>
              <w:tblW w:w="76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21"/>
              <w:gridCol w:w="4333"/>
              <w:gridCol w:w="1998"/>
              <w:gridCol w:w="801"/>
            </w:tblGrid>
            <w:tr w14:paraId="219EAA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1" w:type="dxa"/>
                  <w:vAlign w:val="center"/>
                </w:tcPr>
                <w:p w14:paraId="0F6477B4">
                  <w:pPr>
                    <w:spacing w:line="0" w:lineRule="atLeast"/>
                    <w:jc w:val="center"/>
                    <w:rPr>
                      <w:b/>
                      <w:color w:val="auto"/>
                      <w:kern w:val="0"/>
                    </w:rPr>
                  </w:pPr>
                  <w:r>
                    <w:rPr>
                      <w:rFonts w:hint="eastAsia"/>
                      <w:b/>
                      <w:color w:val="auto"/>
                      <w:kern w:val="0"/>
                    </w:rPr>
                    <w:t>序号</w:t>
                  </w:r>
                </w:p>
              </w:tc>
              <w:tc>
                <w:tcPr>
                  <w:tcW w:w="4333" w:type="dxa"/>
                  <w:vAlign w:val="center"/>
                </w:tcPr>
                <w:p w14:paraId="1A3D6E1A">
                  <w:pPr>
                    <w:spacing w:line="0" w:lineRule="atLeast"/>
                    <w:jc w:val="center"/>
                    <w:rPr>
                      <w:b/>
                      <w:color w:val="auto"/>
                      <w:kern w:val="0"/>
                    </w:rPr>
                  </w:pPr>
                  <w:r>
                    <w:rPr>
                      <w:rFonts w:hint="eastAsia"/>
                      <w:b/>
                      <w:color w:val="auto"/>
                      <w:kern w:val="0"/>
                    </w:rPr>
                    <w:t>具体要求</w:t>
                  </w:r>
                </w:p>
              </w:tc>
              <w:tc>
                <w:tcPr>
                  <w:tcW w:w="1998" w:type="dxa"/>
                  <w:vAlign w:val="center"/>
                </w:tcPr>
                <w:p w14:paraId="2872210A">
                  <w:pPr>
                    <w:spacing w:line="0" w:lineRule="atLeast"/>
                    <w:jc w:val="center"/>
                    <w:rPr>
                      <w:b/>
                      <w:color w:val="auto"/>
                    </w:rPr>
                  </w:pPr>
                  <w:r>
                    <w:rPr>
                      <w:rFonts w:hint="eastAsia" w:hAnsi="宋体"/>
                      <w:b/>
                      <w:color w:val="auto"/>
                      <w:kern w:val="0"/>
                    </w:rPr>
                    <w:t>本项目</w:t>
                  </w:r>
                </w:p>
              </w:tc>
              <w:tc>
                <w:tcPr>
                  <w:tcW w:w="801" w:type="dxa"/>
                  <w:vAlign w:val="center"/>
                </w:tcPr>
                <w:p w14:paraId="5BAD5FC3">
                  <w:pPr>
                    <w:spacing w:line="0" w:lineRule="atLeast"/>
                    <w:jc w:val="center"/>
                    <w:rPr>
                      <w:b/>
                      <w:color w:val="auto"/>
                      <w:kern w:val="0"/>
                    </w:rPr>
                  </w:pPr>
                  <w:r>
                    <w:rPr>
                      <w:rFonts w:hint="eastAsia" w:hAnsi="宋体"/>
                      <w:b/>
                      <w:color w:val="auto"/>
                      <w:kern w:val="0"/>
                    </w:rPr>
                    <w:t>相符性</w:t>
                  </w:r>
                </w:p>
              </w:tc>
            </w:tr>
            <w:tr w14:paraId="630E08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1" w:type="dxa"/>
                  <w:vAlign w:val="center"/>
                </w:tcPr>
                <w:p w14:paraId="54386D42">
                  <w:pPr>
                    <w:autoSpaceDE w:val="0"/>
                    <w:autoSpaceDN w:val="0"/>
                    <w:adjustRightInd w:val="0"/>
                    <w:spacing w:line="0" w:lineRule="atLeast"/>
                    <w:jc w:val="center"/>
                    <w:rPr>
                      <w:rFonts w:hAnsi="宋体"/>
                      <w:bCs/>
                      <w:color w:val="auto"/>
                    </w:rPr>
                  </w:pPr>
                  <w:r>
                    <w:rPr>
                      <w:rFonts w:hint="eastAsia" w:hAnsi="宋体"/>
                      <w:bCs/>
                      <w:color w:val="auto"/>
                    </w:rPr>
                    <w:t>1</w:t>
                  </w:r>
                </w:p>
              </w:tc>
              <w:tc>
                <w:tcPr>
                  <w:tcW w:w="4333" w:type="dxa"/>
                  <w:vAlign w:val="center"/>
                </w:tcPr>
                <w:p w14:paraId="76F1DB2F">
                  <w:pPr>
                    <w:spacing w:line="0" w:lineRule="atLeast"/>
                    <w:jc w:val="center"/>
                    <w:rPr>
                      <w:color w:val="auto"/>
                      <w:kern w:val="0"/>
                    </w:rPr>
                  </w:pPr>
                  <w:r>
                    <w:rPr>
                      <w:color w:val="auto"/>
                      <w:kern w:val="0"/>
                      <w:lang w:val="zh-CN"/>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998" w:type="dxa"/>
                  <w:vAlign w:val="center"/>
                </w:tcPr>
                <w:p w14:paraId="6521A41E">
                  <w:pPr>
                    <w:spacing w:line="0" w:lineRule="atLeast"/>
                    <w:jc w:val="center"/>
                    <w:rPr>
                      <w:rFonts w:hAnsi="宋体"/>
                      <w:color w:val="auto"/>
                      <w:kern w:val="0"/>
                      <w:lang w:val="zh-CN"/>
                    </w:rPr>
                  </w:pPr>
                  <w:r>
                    <w:rPr>
                      <w:rFonts w:hAnsi="宋体"/>
                      <w:color w:val="auto"/>
                      <w:kern w:val="0"/>
                      <w:lang w:val="zh-CN"/>
                    </w:rPr>
                    <w:t>本项目</w:t>
                  </w:r>
                  <w:r>
                    <w:rPr>
                      <w:rFonts w:hint="eastAsia" w:hAnsi="宋体"/>
                      <w:color w:val="auto"/>
                      <w:kern w:val="0"/>
                    </w:rPr>
                    <w:t>位于</w:t>
                  </w:r>
                  <w:r>
                    <w:rPr>
                      <w:rFonts w:hint="eastAsia"/>
                      <w:color w:val="auto"/>
                      <w:kern w:val="0"/>
                    </w:rPr>
                    <w:t>江苏省常州市金坛区直溪镇工业集中区直溪大道16号，</w:t>
                  </w:r>
                  <w:r>
                    <w:rPr>
                      <w:rFonts w:hint="eastAsia" w:hAnsi="宋体"/>
                      <w:color w:val="auto"/>
                      <w:kern w:val="0"/>
                      <w:lang w:val="zh-CN"/>
                    </w:rPr>
                    <w:t>本项目不在生态保护红线范围内</w:t>
                  </w:r>
                </w:p>
              </w:tc>
              <w:tc>
                <w:tcPr>
                  <w:tcW w:w="801" w:type="dxa"/>
                  <w:vAlign w:val="center"/>
                </w:tcPr>
                <w:p w14:paraId="4596B096">
                  <w:pPr>
                    <w:spacing w:line="0" w:lineRule="atLeast"/>
                    <w:jc w:val="center"/>
                    <w:rPr>
                      <w:color w:val="auto"/>
                      <w:kern w:val="0"/>
                    </w:rPr>
                  </w:pPr>
                  <w:r>
                    <w:rPr>
                      <w:rFonts w:hint="eastAsia"/>
                      <w:color w:val="auto"/>
                      <w:kern w:val="0"/>
                    </w:rPr>
                    <w:t>相符</w:t>
                  </w:r>
                </w:p>
              </w:tc>
            </w:tr>
            <w:tr w14:paraId="05E4F8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1" w:type="dxa"/>
                  <w:vAlign w:val="center"/>
                </w:tcPr>
                <w:p w14:paraId="0893AE62">
                  <w:pPr>
                    <w:autoSpaceDE w:val="0"/>
                    <w:autoSpaceDN w:val="0"/>
                    <w:adjustRightInd w:val="0"/>
                    <w:spacing w:line="0" w:lineRule="atLeast"/>
                    <w:jc w:val="center"/>
                    <w:rPr>
                      <w:rFonts w:hAnsi="宋体"/>
                      <w:bCs/>
                      <w:color w:val="auto"/>
                    </w:rPr>
                  </w:pPr>
                  <w:r>
                    <w:rPr>
                      <w:rFonts w:hint="eastAsia" w:hAnsi="宋体"/>
                      <w:color w:val="auto"/>
                      <w:kern w:val="0"/>
                    </w:rPr>
                    <w:t>2</w:t>
                  </w:r>
                </w:p>
              </w:tc>
              <w:tc>
                <w:tcPr>
                  <w:tcW w:w="4333" w:type="dxa"/>
                  <w:vAlign w:val="center"/>
                </w:tcPr>
                <w:p w14:paraId="517738F5">
                  <w:pPr>
                    <w:spacing w:line="0" w:lineRule="atLeast"/>
                    <w:jc w:val="center"/>
                    <w:rPr>
                      <w:color w:val="auto"/>
                      <w:kern w:val="0"/>
                    </w:rPr>
                  </w:pPr>
                  <w:r>
                    <w:rPr>
                      <w:color w:val="auto"/>
                      <w:kern w:val="0"/>
                      <w:lang w:val="zh-CN"/>
                    </w:rPr>
                    <w:t>环境质量底线是国家和地方设置的大气、水和上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998" w:type="dxa"/>
                  <w:vAlign w:val="center"/>
                </w:tcPr>
                <w:p w14:paraId="7220DF80">
                  <w:pPr>
                    <w:spacing w:line="0" w:lineRule="atLeast"/>
                    <w:jc w:val="center"/>
                    <w:rPr>
                      <w:rFonts w:hAnsi="宋体"/>
                      <w:color w:val="auto"/>
                      <w:kern w:val="0"/>
                      <w:lang w:val="zh-CN"/>
                    </w:rPr>
                  </w:pPr>
                  <w:r>
                    <w:rPr>
                      <w:rFonts w:hAnsi="宋体"/>
                      <w:color w:val="auto"/>
                      <w:kern w:val="0"/>
                      <w:lang w:val="zh-CN"/>
                    </w:rPr>
                    <w:t>本项目已对照区域环境质量目标，深入分析预测项目建设对环境质量的影响，强化污染防治措施和污染物排放控制要求</w:t>
                  </w:r>
                </w:p>
              </w:tc>
              <w:tc>
                <w:tcPr>
                  <w:tcW w:w="801" w:type="dxa"/>
                  <w:vAlign w:val="center"/>
                </w:tcPr>
                <w:p w14:paraId="29005248">
                  <w:pPr>
                    <w:spacing w:line="0" w:lineRule="atLeast"/>
                    <w:jc w:val="center"/>
                    <w:rPr>
                      <w:rFonts w:hAnsi="宋体"/>
                      <w:color w:val="auto"/>
                      <w:kern w:val="0"/>
                    </w:rPr>
                  </w:pPr>
                  <w:r>
                    <w:rPr>
                      <w:rFonts w:hint="eastAsia" w:hAnsi="宋体"/>
                      <w:color w:val="auto"/>
                      <w:kern w:val="0"/>
                    </w:rPr>
                    <w:t>相符</w:t>
                  </w:r>
                </w:p>
              </w:tc>
            </w:tr>
            <w:tr w14:paraId="1B918E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1" w:type="dxa"/>
                  <w:vAlign w:val="center"/>
                </w:tcPr>
                <w:p w14:paraId="7B63BA8B">
                  <w:pPr>
                    <w:autoSpaceDE w:val="0"/>
                    <w:autoSpaceDN w:val="0"/>
                    <w:adjustRightInd w:val="0"/>
                    <w:spacing w:line="0" w:lineRule="atLeast"/>
                    <w:jc w:val="center"/>
                    <w:rPr>
                      <w:rFonts w:hAnsi="宋体"/>
                      <w:color w:val="auto"/>
                      <w:kern w:val="0"/>
                    </w:rPr>
                  </w:pPr>
                  <w:r>
                    <w:rPr>
                      <w:rFonts w:hint="eastAsia" w:hAnsi="宋体"/>
                      <w:color w:val="auto"/>
                      <w:kern w:val="0"/>
                    </w:rPr>
                    <w:t>3</w:t>
                  </w:r>
                </w:p>
              </w:tc>
              <w:tc>
                <w:tcPr>
                  <w:tcW w:w="4333" w:type="dxa"/>
                  <w:vAlign w:val="center"/>
                </w:tcPr>
                <w:p w14:paraId="0EC4374E">
                  <w:pPr>
                    <w:spacing w:line="0" w:lineRule="atLeast"/>
                    <w:jc w:val="center"/>
                    <w:rPr>
                      <w:color w:val="auto"/>
                      <w:kern w:val="0"/>
                    </w:rPr>
                  </w:pPr>
                  <w:r>
                    <w:rPr>
                      <w:rFonts w:hAnsi="宋体"/>
                      <w:color w:val="auto"/>
                      <w:kern w:val="0"/>
                      <w:lang w:val="zh-CN"/>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998" w:type="dxa"/>
                  <w:vAlign w:val="center"/>
                </w:tcPr>
                <w:p w14:paraId="000AA7FF">
                  <w:pPr>
                    <w:spacing w:line="0" w:lineRule="atLeast"/>
                    <w:jc w:val="center"/>
                    <w:rPr>
                      <w:rFonts w:hAnsi="宋体"/>
                      <w:color w:val="auto"/>
                      <w:kern w:val="0"/>
                      <w:lang w:val="zh-CN"/>
                    </w:rPr>
                  </w:pPr>
                  <w:r>
                    <w:rPr>
                      <w:rFonts w:hAnsi="宋体"/>
                      <w:color w:val="auto"/>
                      <w:kern w:val="0"/>
                      <w:lang w:val="zh-CN"/>
                    </w:rPr>
                    <w:t>本项目</w:t>
                  </w:r>
                  <w:r>
                    <w:rPr>
                      <w:rFonts w:hint="eastAsia" w:hAnsi="宋体"/>
                      <w:color w:val="auto"/>
                      <w:kern w:val="0"/>
                    </w:rPr>
                    <w:t>位于</w:t>
                  </w:r>
                  <w:r>
                    <w:rPr>
                      <w:rFonts w:hint="eastAsia"/>
                      <w:color w:val="auto"/>
                      <w:kern w:val="0"/>
                    </w:rPr>
                    <w:t>江苏省常州市金坛区直溪镇工业集中区直溪大道16号，</w:t>
                  </w:r>
                  <w:r>
                    <w:rPr>
                      <w:rFonts w:hint="eastAsia"/>
                      <w:color w:val="auto"/>
                    </w:rPr>
                    <w:t>项目所在区域的能源、水、土地资源均满足项目需求</w:t>
                  </w:r>
                </w:p>
              </w:tc>
              <w:tc>
                <w:tcPr>
                  <w:tcW w:w="801" w:type="dxa"/>
                  <w:vAlign w:val="center"/>
                </w:tcPr>
                <w:p w14:paraId="0F115203">
                  <w:pPr>
                    <w:spacing w:line="0" w:lineRule="atLeast"/>
                    <w:jc w:val="center"/>
                    <w:rPr>
                      <w:rFonts w:hAnsi="宋体"/>
                      <w:color w:val="auto"/>
                      <w:kern w:val="0"/>
                    </w:rPr>
                  </w:pPr>
                  <w:r>
                    <w:rPr>
                      <w:rFonts w:hint="eastAsia" w:hAnsi="宋体"/>
                      <w:color w:val="auto"/>
                      <w:kern w:val="0"/>
                    </w:rPr>
                    <w:t>相符</w:t>
                  </w:r>
                </w:p>
              </w:tc>
            </w:tr>
            <w:tr w14:paraId="3DE074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1" w:type="dxa"/>
                  <w:vAlign w:val="center"/>
                </w:tcPr>
                <w:p w14:paraId="44025666">
                  <w:pPr>
                    <w:autoSpaceDE w:val="0"/>
                    <w:autoSpaceDN w:val="0"/>
                    <w:adjustRightInd w:val="0"/>
                    <w:spacing w:line="0" w:lineRule="atLeast"/>
                    <w:jc w:val="center"/>
                    <w:rPr>
                      <w:rFonts w:hAnsi="宋体"/>
                      <w:color w:val="auto"/>
                      <w:kern w:val="0"/>
                    </w:rPr>
                  </w:pPr>
                  <w:r>
                    <w:rPr>
                      <w:rFonts w:hint="eastAsia" w:hAnsi="宋体"/>
                      <w:color w:val="auto"/>
                      <w:kern w:val="0"/>
                    </w:rPr>
                    <w:t>4</w:t>
                  </w:r>
                </w:p>
              </w:tc>
              <w:tc>
                <w:tcPr>
                  <w:tcW w:w="4333" w:type="dxa"/>
                  <w:vAlign w:val="center"/>
                </w:tcPr>
                <w:p w14:paraId="2B55BF80">
                  <w:pPr>
                    <w:spacing w:line="0" w:lineRule="atLeast"/>
                    <w:jc w:val="center"/>
                    <w:rPr>
                      <w:rFonts w:hAnsi="宋体"/>
                      <w:color w:val="auto"/>
                      <w:kern w:val="0"/>
                      <w:lang w:val="zh-CN"/>
                    </w:rPr>
                  </w:pPr>
                  <w:r>
                    <w:rPr>
                      <w:rFonts w:hAnsi="宋体"/>
                      <w:color w:val="auto"/>
                      <w:kern w:val="0"/>
                      <w:lang w:val="zh-CN"/>
                    </w:rPr>
                    <w:t>环境准入负面清单是基于生态保护红线、环境质量底线和资源利用上线，以清单方式列出的禁止、限制等差别化环境准入条件和要求。要在规划环评清单式管理试点的</w:t>
                  </w:r>
                  <w:r>
                    <w:rPr>
                      <w:rFonts w:hint="eastAsia" w:hAnsi="宋体"/>
                      <w:color w:val="auto"/>
                      <w:kern w:val="0"/>
                      <w:lang w:val="zh-CN"/>
                    </w:rPr>
                    <w:t>基础</w:t>
                  </w:r>
                  <w:r>
                    <w:rPr>
                      <w:rFonts w:hAnsi="宋体"/>
                      <w:color w:val="auto"/>
                      <w:kern w:val="0"/>
                      <w:lang w:val="zh-CN"/>
                    </w:rPr>
                    <w:t>上，从布局选址、资源利用效率、资源配置方式等方面入手，制定环境准入负面清单，充分发挥负面清单对产业发展和项目准入的指导和约束作用。</w:t>
                  </w:r>
                </w:p>
              </w:tc>
              <w:tc>
                <w:tcPr>
                  <w:tcW w:w="1998" w:type="dxa"/>
                  <w:vAlign w:val="center"/>
                </w:tcPr>
                <w:p w14:paraId="588E802E">
                  <w:pPr>
                    <w:pStyle w:val="7"/>
                    <w:rPr>
                      <w:color w:val="auto"/>
                    </w:rPr>
                  </w:pPr>
                  <w:r>
                    <w:rPr>
                      <w:rFonts w:hint="eastAsia"/>
                      <w:color w:val="auto"/>
                    </w:rPr>
                    <w:t>本项目符合规划中产业政策的要求</w:t>
                  </w:r>
                </w:p>
                <w:p w14:paraId="6B88B06B">
                  <w:pPr>
                    <w:spacing w:line="0" w:lineRule="atLeast"/>
                    <w:jc w:val="center"/>
                    <w:rPr>
                      <w:rFonts w:hAnsi="宋体"/>
                      <w:color w:val="auto"/>
                      <w:kern w:val="0"/>
                      <w:lang w:val="zh-CN"/>
                    </w:rPr>
                  </w:pPr>
                </w:p>
              </w:tc>
              <w:tc>
                <w:tcPr>
                  <w:tcW w:w="801" w:type="dxa"/>
                  <w:vAlign w:val="center"/>
                </w:tcPr>
                <w:p w14:paraId="708C60DC">
                  <w:pPr>
                    <w:spacing w:line="0" w:lineRule="atLeast"/>
                    <w:jc w:val="center"/>
                    <w:rPr>
                      <w:rFonts w:hAnsi="宋体"/>
                      <w:color w:val="auto"/>
                      <w:kern w:val="0"/>
                    </w:rPr>
                  </w:pPr>
                  <w:r>
                    <w:rPr>
                      <w:rFonts w:hint="eastAsia" w:hAnsi="宋体"/>
                      <w:color w:val="auto"/>
                      <w:kern w:val="0"/>
                    </w:rPr>
                    <w:t>相符</w:t>
                  </w:r>
                </w:p>
              </w:tc>
            </w:tr>
          </w:tbl>
          <w:p w14:paraId="6F506869">
            <w:pPr>
              <w:spacing w:line="360" w:lineRule="auto"/>
              <w:ind w:firstLine="480" w:firstLineChars="200"/>
              <w:jc w:val="left"/>
              <w:rPr>
                <w:rFonts w:ascii="Calibri" w:hAnsi="Calibri" w:cs="Calibri"/>
                <w:color w:val="auto"/>
                <w:sz w:val="24"/>
              </w:rPr>
            </w:pPr>
            <w:r>
              <w:rPr>
                <w:color w:val="auto"/>
                <w:sz w:val="24"/>
              </w:rPr>
              <w:t>综上，本项目建设与</w:t>
            </w:r>
            <w:bookmarkStart w:id="2" w:name="OLE_LINK1"/>
            <w:r>
              <w:rPr>
                <w:color w:val="auto"/>
                <w:sz w:val="24"/>
              </w:rPr>
              <w:t>《关于以改善环境质量为核心加强环境影响评价管理的通知》</w:t>
            </w:r>
            <w:r>
              <w:rPr>
                <w:rFonts w:hint="eastAsia"/>
                <w:color w:val="auto"/>
                <w:sz w:val="24"/>
              </w:rPr>
              <w:t>（</w:t>
            </w:r>
            <w:r>
              <w:rPr>
                <w:rFonts w:hint="eastAsia" w:hAnsi="宋体"/>
                <w:bCs/>
                <w:color w:val="auto"/>
                <w:sz w:val="24"/>
              </w:rPr>
              <w:t>环环评〔2016〕150号）</w:t>
            </w:r>
            <w:bookmarkEnd w:id="2"/>
            <w:r>
              <w:rPr>
                <w:color w:val="auto"/>
                <w:sz w:val="24"/>
              </w:rPr>
              <w:t>相符。</w:t>
            </w:r>
          </w:p>
          <w:p w14:paraId="74849387">
            <w:pPr>
              <w:spacing w:line="360" w:lineRule="auto"/>
              <w:ind w:firstLine="480" w:firstLineChars="200"/>
              <w:jc w:val="left"/>
              <w:rPr>
                <w:rFonts w:hAnsi="宋体"/>
                <w:b/>
                <w:color w:val="auto"/>
                <w:sz w:val="24"/>
              </w:rPr>
            </w:pPr>
            <w:r>
              <w:rPr>
                <w:rFonts w:ascii="宋体" w:hAnsi="宋体"/>
                <w:color w:val="auto"/>
                <w:sz w:val="24"/>
              </w:rPr>
              <w:t>②与</w:t>
            </w:r>
            <w:r>
              <w:rPr>
                <w:rFonts w:hint="eastAsia" w:ascii="宋体" w:hAnsi="宋体"/>
                <w:color w:val="auto"/>
                <w:sz w:val="24"/>
              </w:rPr>
              <w:t>《省生态环境厅关于进一步做好建设项目环评审批工作的通知》（苏环办</w:t>
            </w:r>
            <w:r>
              <w:rPr>
                <w:rFonts w:hint="eastAsia"/>
                <w:color w:val="auto"/>
                <w:sz w:val="24"/>
              </w:rPr>
              <w:t>〔</w:t>
            </w:r>
            <w:r>
              <w:rPr>
                <w:color w:val="auto"/>
                <w:sz w:val="24"/>
              </w:rPr>
              <w:t>2019</w:t>
            </w:r>
            <w:r>
              <w:rPr>
                <w:rFonts w:hint="eastAsia"/>
                <w:color w:val="auto"/>
                <w:sz w:val="24"/>
              </w:rPr>
              <w:t>〕</w:t>
            </w:r>
            <w:r>
              <w:rPr>
                <w:color w:val="auto"/>
                <w:sz w:val="24"/>
              </w:rPr>
              <w:t>36</w:t>
            </w:r>
            <w:r>
              <w:rPr>
                <w:rFonts w:hint="eastAsia" w:ascii="宋体" w:hAnsi="宋体"/>
                <w:color w:val="auto"/>
                <w:sz w:val="24"/>
              </w:rPr>
              <w:t>号）相符性分析。</w:t>
            </w:r>
          </w:p>
          <w:p w14:paraId="2360788A">
            <w:pPr>
              <w:jc w:val="center"/>
              <w:rPr>
                <w:b/>
                <w:color w:val="auto"/>
                <w:sz w:val="24"/>
              </w:rPr>
            </w:pPr>
            <w:r>
              <w:rPr>
                <w:rFonts w:hAnsi="宋体"/>
                <w:b/>
                <w:color w:val="auto"/>
                <w:sz w:val="24"/>
              </w:rPr>
              <w:t>表</w:t>
            </w:r>
            <w:r>
              <w:rPr>
                <w:b/>
                <w:color w:val="auto"/>
                <w:sz w:val="24"/>
              </w:rPr>
              <w:t>1-</w:t>
            </w:r>
            <w:r>
              <w:rPr>
                <w:rFonts w:hint="eastAsia"/>
                <w:b/>
                <w:color w:val="auto"/>
                <w:sz w:val="24"/>
              </w:rPr>
              <w:t xml:space="preserve">7  </w:t>
            </w:r>
            <w:r>
              <w:rPr>
                <w:rFonts w:hAnsi="宋体"/>
                <w:b/>
                <w:bCs/>
                <w:color w:val="auto"/>
                <w:sz w:val="24"/>
              </w:rPr>
              <w:t>与</w:t>
            </w:r>
            <w:r>
              <w:rPr>
                <w:rFonts w:hint="eastAsia"/>
                <w:b/>
                <w:bCs/>
                <w:color w:val="auto"/>
                <w:sz w:val="24"/>
              </w:rPr>
              <w:t>苏环办〔2019〕36号文</w:t>
            </w:r>
            <w:r>
              <w:rPr>
                <w:rFonts w:hAnsi="宋体"/>
                <w:b/>
                <w:color w:val="auto"/>
                <w:sz w:val="24"/>
              </w:rPr>
              <w:t>相符性</w:t>
            </w:r>
            <w:r>
              <w:rPr>
                <w:rFonts w:hint="eastAsia" w:hAnsi="宋体"/>
                <w:b/>
                <w:color w:val="auto"/>
                <w:sz w:val="24"/>
              </w:rPr>
              <w:t>对照</w:t>
            </w:r>
            <w:r>
              <w:rPr>
                <w:rFonts w:hAnsi="宋体"/>
                <w:b/>
                <w:color w:val="auto"/>
                <w:sz w:val="24"/>
              </w:rPr>
              <w:t>分析</w:t>
            </w:r>
          </w:p>
          <w:tbl>
            <w:tblPr>
              <w:tblStyle w:val="22"/>
              <w:tblW w:w="76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12"/>
              <w:gridCol w:w="3647"/>
              <w:gridCol w:w="2250"/>
              <w:gridCol w:w="644"/>
            </w:tblGrid>
            <w:tr w14:paraId="497881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12" w:type="dxa"/>
                  <w:vAlign w:val="center"/>
                </w:tcPr>
                <w:p w14:paraId="537644BC">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b/>
                      <w:color w:val="auto"/>
                      <w:kern w:val="0"/>
                    </w:rPr>
                  </w:pPr>
                  <w:r>
                    <w:rPr>
                      <w:rFonts w:hint="eastAsia"/>
                      <w:b/>
                      <w:color w:val="auto"/>
                      <w:kern w:val="0"/>
                    </w:rPr>
                    <w:t>类别</w:t>
                  </w:r>
                </w:p>
              </w:tc>
              <w:tc>
                <w:tcPr>
                  <w:tcW w:w="3647" w:type="dxa"/>
                  <w:vAlign w:val="center"/>
                </w:tcPr>
                <w:p w14:paraId="5F02E7B4">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b/>
                      <w:color w:val="auto"/>
                      <w:kern w:val="0"/>
                    </w:rPr>
                  </w:pPr>
                  <w:r>
                    <w:rPr>
                      <w:rFonts w:hint="eastAsia"/>
                      <w:b/>
                      <w:bCs/>
                      <w:color w:val="auto"/>
                    </w:rPr>
                    <w:t>文件要求</w:t>
                  </w:r>
                </w:p>
              </w:tc>
              <w:tc>
                <w:tcPr>
                  <w:tcW w:w="2250" w:type="dxa"/>
                  <w:vAlign w:val="center"/>
                </w:tcPr>
                <w:p w14:paraId="28D5BAE3">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b/>
                      <w:color w:val="auto"/>
                    </w:rPr>
                  </w:pPr>
                  <w:r>
                    <w:rPr>
                      <w:rFonts w:hint="eastAsia" w:hAnsi="宋体"/>
                      <w:b/>
                      <w:color w:val="auto"/>
                      <w:kern w:val="0"/>
                    </w:rPr>
                    <w:t>本项目</w:t>
                  </w:r>
                </w:p>
              </w:tc>
              <w:tc>
                <w:tcPr>
                  <w:tcW w:w="644" w:type="dxa"/>
                  <w:vAlign w:val="center"/>
                </w:tcPr>
                <w:p w14:paraId="6CCDCE79">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b/>
                      <w:color w:val="auto"/>
                      <w:kern w:val="0"/>
                    </w:rPr>
                  </w:pPr>
                  <w:r>
                    <w:rPr>
                      <w:rFonts w:hint="eastAsia" w:hAnsi="宋体"/>
                      <w:b/>
                      <w:color w:val="auto"/>
                      <w:kern w:val="0"/>
                    </w:rPr>
                    <w:t>相符性</w:t>
                  </w:r>
                </w:p>
              </w:tc>
            </w:tr>
            <w:tr w14:paraId="2D40A7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12" w:type="dxa"/>
                  <w:vAlign w:val="center"/>
                </w:tcPr>
                <w:p w14:paraId="04619375">
                  <w:pPr>
                    <w:keepNext w:val="0"/>
                    <w:keepLines w:val="0"/>
                    <w:pageBreakBefore w:val="0"/>
                    <w:widowControl w:val="0"/>
                    <w:kinsoku/>
                    <w:wordWrap/>
                    <w:overflowPunct/>
                    <w:topLinePunct w:val="0"/>
                    <w:autoSpaceDE w:val="0"/>
                    <w:autoSpaceDN w:val="0"/>
                    <w:bidi w:val="0"/>
                    <w:adjustRightInd w:val="0"/>
                    <w:snapToGrid w:val="0"/>
                    <w:spacing w:line="0" w:lineRule="atLeast"/>
                    <w:ind w:firstLine="0" w:firstLineChars="0"/>
                    <w:jc w:val="center"/>
                    <w:textAlignment w:val="auto"/>
                    <w:rPr>
                      <w:rFonts w:hAnsi="宋体"/>
                      <w:bCs/>
                      <w:color w:val="auto"/>
                    </w:rPr>
                  </w:pPr>
                  <w:r>
                    <w:rPr>
                      <w:rFonts w:hint="eastAsia" w:hAnsi="宋体"/>
                      <w:bCs/>
                      <w:color w:val="auto"/>
                    </w:rPr>
                    <w:t>《建设项目环境保护管理条例》</w:t>
                  </w:r>
                </w:p>
              </w:tc>
              <w:tc>
                <w:tcPr>
                  <w:tcW w:w="3647" w:type="dxa"/>
                  <w:vAlign w:val="center"/>
                </w:tcPr>
                <w:p w14:paraId="47CA1E62">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一、有下列情形之一的，不予批准：</w:t>
                  </w:r>
                </w:p>
                <w:p w14:paraId="482DE5E6">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（1）建设项目类型及其选址、布局、规模等不符合环境保护法律法规和相关法定规划；</w:t>
                  </w:r>
                </w:p>
                <w:p w14:paraId="2E81B574">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（2）所在区域环境质量未达到国家或者地方环境质量标准，且建设项目拟采取的措施不能满足区域环境质量改善目标管理要求；</w:t>
                  </w:r>
                </w:p>
                <w:p w14:paraId="22B06CEE">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（3）建设项目采取的污染防治措施无法确保污染物排放达到国家和地方排放标准，或者未采取必要措施预防和控制生态破</w:t>
                  </w:r>
                  <w:r>
                    <w:rPr>
                      <w:rFonts w:hint="eastAsia" w:hAnsi="宋体"/>
                      <w:color w:val="auto"/>
                      <w:kern w:val="0"/>
                    </w:rPr>
                    <w:t>坏；</w:t>
                  </w:r>
                </w:p>
                <w:p w14:paraId="0230FEE3">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（4）改建、扩建和技术改造项目，未针对项目原有环境污染和生态破坏提出有效防止措施；</w:t>
                  </w:r>
                </w:p>
                <w:p w14:paraId="763B6650">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（5）建设项目的环境影响报告书、环境影响报告表的基础资料数据明显不实，内容存在重大缺陷、遗漏，或者环境影响评价结论不明确、不合理。</w:t>
                  </w:r>
                </w:p>
              </w:tc>
              <w:tc>
                <w:tcPr>
                  <w:tcW w:w="2250" w:type="dxa"/>
                  <w:vAlign w:val="center"/>
                </w:tcPr>
                <w:p w14:paraId="38728E35">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color w:val="auto"/>
                      <w:kern w:val="0"/>
                    </w:rPr>
                  </w:pPr>
                  <w:r>
                    <w:rPr>
                      <w:rFonts w:hint="eastAsia"/>
                      <w:color w:val="auto"/>
                      <w:kern w:val="0"/>
                    </w:rPr>
                    <w:t>①项目位于</w:t>
                  </w:r>
                  <w:r>
                    <w:rPr>
                      <w:rFonts w:hint="eastAsia"/>
                      <w:color w:val="auto"/>
                    </w:rPr>
                    <w:t>江苏省金坛经济开发区直溪现代产业园</w:t>
                  </w:r>
                  <w:r>
                    <w:rPr>
                      <w:rFonts w:hint="eastAsia"/>
                      <w:color w:val="auto"/>
                      <w:kern w:val="0"/>
                    </w:rPr>
                    <w:t>内，选址、布局、规模符合环境保护法律法规和</w:t>
                  </w:r>
                  <w:r>
                    <w:rPr>
                      <w:rFonts w:hAnsi="宋体"/>
                      <w:color w:val="auto"/>
                      <w:kern w:val="0"/>
                    </w:rPr>
                    <w:t>相关法定规划；</w:t>
                  </w:r>
                  <w:r>
                    <w:rPr>
                      <w:rFonts w:hint="eastAsia" w:hAnsi="宋体"/>
                      <w:color w:val="auto"/>
                      <w:kern w:val="0"/>
                    </w:rPr>
                    <w:t>②项目所在企业环境控制质量不达标，本项目采取的措施有效可行，确保污染物达标，区域已经制定大气攻坚行动方案，区域环境空气质量将得到改善；③项目污染物经处理后可稳定达到国家和地方排放标准；④本项目基础数据真实有效，评价结论合理可信，不存在不予批准的情形。</w:t>
                  </w:r>
                </w:p>
              </w:tc>
              <w:tc>
                <w:tcPr>
                  <w:tcW w:w="644" w:type="dxa"/>
                  <w:vAlign w:val="center"/>
                </w:tcPr>
                <w:p w14:paraId="228FA14E">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color w:val="auto"/>
                      <w:kern w:val="0"/>
                    </w:rPr>
                  </w:pPr>
                  <w:r>
                    <w:rPr>
                      <w:rFonts w:hint="eastAsia"/>
                      <w:color w:val="auto"/>
                      <w:kern w:val="0"/>
                    </w:rPr>
                    <w:t>相符</w:t>
                  </w:r>
                </w:p>
              </w:tc>
            </w:tr>
            <w:tr w14:paraId="6587FD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12" w:type="dxa"/>
                  <w:vAlign w:val="center"/>
                </w:tcPr>
                <w:p w14:paraId="0DF4A949">
                  <w:pPr>
                    <w:keepNext w:val="0"/>
                    <w:keepLines w:val="0"/>
                    <w:pageBreakBefore w:val="0"/>
                    <w:widowControl w:val="0"/>
                    <w:kinsoku/>
                    <w:wordWrap/>
                    <w:overflowPunct/>
                    <w:topLinePunct w:val="0"/>
                    <w:autoSpaceDE w:val="0"/>
                    <w:autoSpaceDN w:val="0"/>
                    <w:bidi w:val="0"/>
                    <w:adjustRightInd w:val="0"/>
                    <w:snapToGrid w:val="0"/>
                    <w:spacing w:line="0" w:lineRule="atLeast"/>
                    <w:ind w:firstLine="0" w:firstLineChars="0"/>
                    <w:jc w:val="center"/>
                    <w:textAlignment w:val="auto"/>
                    <w:rPr>
                      <w:rFonts w:hAnsi="宋体"/>
                      <w:color w:val="auto"/>
                      <w:kern w:val="0"/>
                    </w:rPr>
                  </w:pPr>
                  <w:r>
                    <w:rPr>
                      <w:rFonts w:hint="eastAsia" w:hAnsi="宋体"/>
                      <w:color w:val="auto"/>
                      <w:kern w:val="0"/>
                    </w:rPr>
                    <w:t>《农用地土壤环境管理办法（试行）》</w:t>
                  </w:r>
                  <w:r>
                    <w:rPr>
                      <w:rFonts w:eastAsia="Times New Roman"/>
                      <w:color w:val="auto"/>
                      <w:lang w:val="zh-CN"/>
                    </w:rPr>
                    <w:t>（环境保护部农业部令第46号）</w:t>
                  </w:r>
                </w:p>
              </w:tc>
              <w:tc>
                <w:tcPr>
                  <w:tcW w:w="3647" w:type="dxa"/>
                  <w:vAlign w:val="center"/>
                </w:tcPr>
                <w:p w14:paraId="6B44067D">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int="eastAsia" w:hAnsi="宋体"/>
                      <w:color w:val="auto"/>
                      <w:kern w:val="0"/>
                    </w:rPr>
                    <w:t>严格控制在优先保护类耕地集中区域新建有色金属冶炼、石油加工、化工、焦化、电镀、制革等行业企业，有关环境保护主管部门依法不予审批可能造成耕地土壤污染的建设项目环境影响报告书或报告表。</w:t>
                  </w:r>
                </w:p>
              </w:tc>
              <w:tc>
                <w:tcPr>
                  <w:tcW w:w="2250" w:type="dxa"/>
                  <w:vAlign w:val="center"/>
                </w:tcPr>
                <w:p w14:paraId="1CDC07DE">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int="eastAsia" w:hAnsi="宋体"/>
                      <w:color w:val="auto"/>
                      <w:kern w:val="0"/>
                    </w:rPr>
                    <w:t>本项目位于</w:t>
                  </w:r>
                  <w:r>
                    <w:rPr>
                      <w:rFonts w:hint="eastAsia"/>
                      <w:color w:val="auto"/>
                    </w:rPr>
                    <w:t>江苏省金坛经济开发区直溪现代产业园内</w:t>
                  </w:r>
                  <w:r>
                    <w:rPr>
                      <w:rFonts w:hint="eastAsia" w:hAnsi="宋体"/>
                      <w:color w:val="auto"/>
                      <w:kern w:val="0"/>
                    </w:rPr>
                    <w:t>，用地性质为工业用地</w:t>
                  </w:r>
                </w:p>
              </w:tc>
              <w:tc>
                <w:tcPr>
                  <w:tcW w:w="644" w:type="dxa"/>
                  <w:vAlign w:val="center"/>
                </w:tcPr>
                <w:p w14:paraId="7FC71F48">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int="eastAsia" w:hAnsi="宋体"/>
                      <w:color w:val="auto"/>
                      <w:kern w:val="0"/>
                    </w:rPr>
                    <w:t>相符</w:t>
                  </w:r>
                </w:p>
              </w:tc>
            </w:tr>
            <w:tr w14:paraId="33B1B1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12" w:type="dxa"/>
                  <w:vAlign w:val="center"/>
                </w:tcPr>
                <w:p w14:paraId="5730BF8D">
                  <w:pPr>
                    <w:keepNext w:val="0"/>
                    <w:keepLines w:val="0"/>
                    <w:pageBreakBefore w:val="0"/>
                    <w:widowControl w:val="0"/>
                    <w:kinsoku/>
                    <w:wordWrap/>
                    <w:overflowPunct/>
                    <w:topLinePunct w:val="0"/>
                    <w:autoSpaceDE w:val="0"/>
                    <w:autoSpaceDN w:val="0"/>
                    <w:bidi w:val="0"/>
                    <w:adjustRightInd w:val="0"/>
                    <w:snapToGrid w:val="0"/>
                    <w:spacing w:line="0" w:lineRule="atLeast"/>
                    <w:ind w:firstLine="0" w:firstLineChars="0"/>
                    <w:jc w:val="center"/>
                    <w:textAlignment w:val="auto"/>
                    <w:rPr>
                      <w:rFonts w:hAnsi="宋体"/>
                      <w:color w:val="auto"/>
                      <w:kern w:val="0"/>
                    </w:rPr>
                  </w:pPr>
                  <w:r>
                    <w:rPr>
                      <w:rFonts w:hint="eastAsia" w:hAnsi="宋体"/>
                      <w:color w:val="auto"/>
                      <w:kern w:val="0"/>
                    </w:rPr>
                    <w:t>《关于印发&lt;建设项目主要污染物排放总量指标审核及管理暂行办法&gt;的通知》</w:t>
                  </w:r>
                  <w:r>
                    <w:rPr>
                      <w:rFonts w:eastAsia="Times New Roman"/>
                      <w:color w:val="auto"/>
                      <w:lang w:val="zh-CN"/>
                    </w:rPr>
                    <w:t>（环发</w:t>
                  </w:r>
                  <w:r>
                    <w:rPr>
                      <w:rFonts w:hint="eastAsia" w:eastAsia="Times New Roman"/>
                      <w:color w:val="auto"/>
                      <w:lang w:val="zh-CN"/>
                    </w:rPr>
                    <w:t>〔</w:t>
                  </w:r>
                  <w:r>
                    <w:rPr>
                      <w:rFonts w:eastAsia="Times New Roman"/>
                      <w:color w:val="auto"/>
                      <w:lang w:val="zh-CN"/>
                    </w:rPr>
                    <w:t>2014</w:t>
                  </w:r>
                  <w:r>
                    <w:rPr>
                      <w:rFonts w:hint="eastAsia" w:eastAsia="Times New Roman"/>
                      <w:color w:val="auto"/>
                      <w:lang w:val="zh-CN"/>
                    </w:rPr>
                    <w:t>〕</w:t>
                  </w:r>
                  <w:r>
                    <w:rPr>
                      <w:rFonts w:eastAsia="Times New Roman"/>
                      <w:color w:val="auto"/>
                      <w:lang w:val="zh-CN"/>
                    </w:rPr>
                    <w:t>197号）</w:t>
                  </w:r>
                </w:p>
              </w:tc>
              <w:tc>
                <w:tcPr>
                  <w:tcW w:w="3647" w:type="dxa"/>
                  <w:vAlign w:val="center"/>
                </w:tcPr>
                <w:p w14:paraId="704CE017">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int="eastAsia" w:hAnsi="宋体"/>
                      <w:color w:val="auto"/>
                      <w:kern w:val="0"/>
                    </w:rPr>
                    <w:t>严格落实污染物排放总量控制制度，把主要污染物排放总量指标作为建设项目环评影响评价审批的前置条件。排放主要污染物的建设项目，在环境影响评价文件审批前，须取得主要污染物排放总量指标。</w:t>
                  </w:r>
                </w:p>
              </w:tc>
              <w:tc>
                <w:tcPr>
                  <w:tcW w:w="2250" w:type="dxa"/>
                  <w:vAlign w:val="center"/>
                </w:tcPr>
                <w:p w14:paraId="30BDDA9E">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int="eastAsia" w:hAnsi="宋体"/>
                      <w:color w:val="auto"/>
                      <w:kern w:val="0"/>
                    </w:rPr>
                    <w:t>本项目拟在环境影响评价文件审批前，取得主要污染物排放总量指标</w:t>
                  </w:r>
                </w:p>
              </w:tc>
              <w:tc>
                <w:tcPr>
                  <w:tcW w:w="644" w:type="dxa"/>
                  <w:vAlign w:val="center"/>
                </w:tcPr>
                <w:p w14:paraId="2D196B4F">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lang w:val="zh-CN"/>
                    </w:rPr>
                    <w:t>相符</w:t>
                  </w:r>
                </w:p>
              </w:tc>
            </w:tr>
            <w:tr w14:paraId="417B68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12" w:type="dxa"/>
                  <w:vAlign w:val="center"/>
                </w:tcPr>
                <w:p w14:paraId="72FBEC16">
                  <w:pPr>
                    <w:keepNext w:val="0"/>
                    <w:keepLines w:val="0"/>
                    <w:pageBreakBefore w:val="0"/>
                    <w:widowControl w:val="0"/>
                    <w:kinsoku/>
                    <w:wordWrap/>
                    <w:overflowPunct/>
                    <w:topLinePunct w:val="0"/>
                    <w:autoSpaceDE w:val="0"/>
                    <w:autoSpaceDN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《关于以改善环境质量为核心加强环境影响评价管理的通知》</w:t>
                  </w:r>
                  <w:r>
                    <w:rPr>
                      <w:rFonts w:hint="eastAsia" w:hAnsi="宋体"/>
                      <w:color w:val="auto"/>
                      <w:kern w:val="0"/>
                    </w:rPr>
                    <w:t>（</w:t>
                  </w:r>
                  <w:r>
                    <w:rPr>
                      <w:rFonts w:eastAsia="Times New Roman"/>
                      <w:color w:val="auto"/>
                      <w:lang w:val="zh-CN"/>
                    </w:rPr>
                    <w:t>环环评</w:t>
                  </w:r>
                  <w:r>
                    <w:rPr>
                      <w:rFonts w:hint="eastAsia" w:eastAsia="Times New Roman"/>
                      <w:color w:val="auto"/>
                      <w:lang w:val="zh-CN"/>
                    </w:rPr>
                    <w:t>〔</w:t>
                  </w:r>
                  <w:r>
                    <w:rPr>
                      <w:rFonts w:eastAsia="Times New Roman"/>
                      <w:color w:val="auto"/>
                      <w:lang w:val="zh-CN"/>
                    </w:rPr>
                    <w:t>2016</w:t>
                  </w:r>
                  <w:r>
                    <w:rPr>
                      <w:rFonts w:hint="eastAsia" w:eastAsia="Times New Roman"/>
                      <w:color w:val="auto"/>
                      <w:lang w:val="zh-CN"/>
                    </w:rPr>
                    <w:t>〕</w:t>
                  </w:r>
                  <w:r>
                    <w:rPr>
                      <w:rFonts w:eastAsia="Times New Roman"/>
                      <w:color w:val="auto"/>
                      <w:lang w:val="zh-CN"/>
                    </w:rPr>
                    <w:t>150</w:t>
                  </w:r>
                  <w:r>
                    <w:rPr>
                      <w:rFonts w:hint="eastAsia" w:eastAsia="Times New Roman"/>
                      <w:color w:val="auto"/>
                      <w:lang w:val="zh-CN"/>
                    </w:rPr>
                    <w:t>号</w:t>
                  </w:r>
                  <w:r>
                    <w:rPr>
                      <w:rFonts w:hint="eastAsia" w:hAnsi="宋体"/>
                      <w:color w:val="auto"/>
                      <w:kern w:val="0"/>
                    </w:rPr>
                    <w:t>）</w:t>
                  </w:r>
                </w:p>
              </w:tc>
              <w:tc>
                <w:tcPr>
                  <w:tcW w:w="3647" w:type="dxa"/>
                  <w:vAlign w:val="center"/>
                </w:tcPr>
                <w:p w14:paraId="07EA79EE">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2250" w:type="dxa"/>
                  <w:vAlign w:val="center"/>
                </w:tcPr>
                <w:p w14:paraId="1184EA2B">
                  <w:pPr>
                    <w:keepNext w:val="0"/>
                    <w:keepLines w:val="0"/>
                    <w:pageBreakBefore w:val="0"/>
                    <w:widowControl w:val="0"/>
                    <w:kinsoku/>
                    <w:wordWrap/>
                    <w:overflowPunct/>
                    <w:topLinePunct w:val="0"/>
                    <w:bidi w:val="0"/>
                    <w:adjustRightInd w:val="0"/>
                    <w:snapToGrid w:val="0"/>
                    <w:spacing w:line="0" w:lineRule="atLeast"/>
                    <w:ind w:firstLine="0" w:firstLineChars="0"/>
                    <w:jc w:val="left"/>
                    <w:textAlignment w:val="auto"/>
                    <w:rPr>
                      <w:rFonts w:hAnsi="宋体"/>
                      <w:color w:val="auto"/>
                      <w:kern w:val="0"/>
                    </w:rPr>
                  </w:pPr>
                  <w:r>
                    <w:rPr>
                      <w:rFonts w:hint="eastAsia" w:hAnsi="宋体"/>
                      <w:color w:val="auto"/>
                      <w:kern w:val="0"/>
                    </w:rPr>
                    <w:t>（1）本项目位于</w:t>
                  </w:r>
                  <w:r>
                    <w:rPr>
                      <w:rFonts w:hint="eastAsia"/>
                      <w:color w:val="auto"/>
                    </w:rPr>
                    <w:t>江苏省金坛经济开发区直溪现代产业园内</w:t>
                  </w:r>
                  <w:r>
                    <w:rPr>
                      <w:rFonts w:hint="eastAsia" w:hAnsi="宋体"/>
                      <w:color w:val="auto"/>
                      <w:kern w:val="0"/>
                    </w:rPr>
                    <w:t>，规划为工业用地，符合</w:t>
                  </w:r>
                  <w:r>
                    <w:rPr>
                      <w:rFonts w:hint="eastAsia"/>
                      <w:color w:val="auto"/>
                    </w:rPr>
                    <w:t>直溪现代产业园</w:t>
                  </w:r>
                  <w:r>
                    <w:rPr>
                      <w:rFonts w:hint="eastAsia" w:hAnsi="宋体"/>
                      <w:color w:val="auto"/>
                      <w:kern w:val="0"/>
                    </w:rPr>
                    <w:t>产业定位</w:t>
                  </w:r>
                </w:p>
                <w:p w14:paraId="124B8A98">
                  <w:pPr>
                    <w:keepNext w:val="0"/>
                    <w:keepLines w:val="0"/>
                    <w:pageBreakBefore w:val="0"/>
                    <w:widowControl w:val="0"/>
                    <w:kinsoku/>
                    <w:wordWrap/>
                    <w:overflowPunct/>
                    <w:topLinePunct w:val="0"/>
                    <w:bidi w:val="0"/>
                    <w:adjustRightInd w:val="0"/>
                    <w:snapToGrid w:val="0"/>
                    <w:spacing w:line="0" w:lineRule="atLeast"/>
                    <w:ind w:firstLine="0" w:firstLineChars="0"/>
                    <w:jc w:val="left"/>
                    <w:textAlignment w:val="auto"/>
                    <w:rPr>
                      <w:rFonts w:hAnsi="宋体"/>
                      <w:color w:val="auto"/>
                      <w:kern w:val="0"/>
                    </w:rPr>
                  </w:pPr>
                  <w:r>
                    <w:rPr>
                      <w:rFonts w:hint="eastAsia" w:hAnsi="宋体"/>
                      <w:color w:val="auto"/>
                      <w:kern w:val="0"/>
                    </w:rPr>
                    <w:t>（2）不存在现有环境问题</w:t>
                  </w:r>
                </w:p>
                <w:p w14:paraId="6770F646">
                  <w:pPr>
                    <w:keepNext w:val="0"/>
                    <w:keepLines w:val="0"/>
                    <w:pageBreakBefore w:val="0"/>
                    <w:widowControl w:val="0"/>
                    <w:kinsoku/>
                    <w:wordWrap/>
                    <w:overflowPunct/>
                    <w:topLinePunct w:val="0"/>
                    <w:bidi w:val="0"/>
                    <w:adjustRightInd w:val="0"/>
                    <w:snapToGrid w:val="0"/>
                    <w:spacing w:line="0" w:lineRule="atLeast"/>
                    <w:ind w:firstLine="0" w:firstLineChars="0"/>
                    <w:jc w:val="left"/>
                    <w:textAlignment w:val="auto"/>
                    <w:rPr>
                      <w:rFonts w:hAnsi="宋体"/>
                      <w:color w:val="auto"/>
                      <w:kern w:val="0"/>
                    </w:rPr>
                  </w:pPr>
                  <w:r>
                    <w:rPr>
                      <w:rFonts w:hint="eastAsia" w:hAnsi="宋体"/>
                      <w:color w:val="auto"/>
                      <w:kern w:val="0"/>
                    </w:rPr>
                    <w:t>（3）本项目所在区域为不达标区，在实施区域削减方案后，本项目建成后大气环境质量不下降</w:t>
                  </w:r>
                </w:p>
              </w:tc>
              <w:tc>
                <w:tcPr>
                  <w:tcW w:w="644" w:type="dxa"/>
                  <w:vAlign w:val="center"/>
                </w:tcPr>
                <w:p w14:paraId="30BFEB48">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lang w:val="zh-CN"/>
                    </w:rPr>
                    <w:t>相符</w:t>
                  </w:r>
                </w:p>
              </w:tc>
            </w:tr>
            <w:tr w14:paraId="2364CD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12" w:type="dxa"/>
                  <w:vAlign w:val="center"/>
                </w:tcPr>
                <w:p w14:paraId="06D6DBC2">
                  <w:pPr>
                    <w:keepNext w:val="0"/>
                    <w:keepLines w:val="0"/>
                    <w:pageBreakBefore w:val="0"/>
                    <w:widowControl w:val="0"/>
                    <w:kinsoku/>
                    <w:wordWrap/>
                    <w:overflowPunct/>
                    <w:topLinePunct w:val="0"/>
                    <w:autoSpaceDE w:val="0"/>
                    <w:autoSpaceDN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《省政府关于印发江苏省国家级生态保护红线规划的通知》（苏政发〔2018〕74号）</w:t>
                  </w:r>
                </w:p>
              </w:tc>
              <w:tc>
                <w:tcPr>
                  <w:tcW w:w="3647" w:type="dxa"/>
                  <w:vAlign w:val="center"/>
                </w:tcPr>
                <w:p w14:paraId="74CAC584">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rPr>
                    <w:t>生态保护红线原则上按禁止开发区域的要求进行管理，严禁不符合主体功能定位的各类开发活动，严禁任意改变用途。</w:t>
                  </w:r>
                </w:p>
              </w:tc>
              <w:tc>
                <w:tcPr>
                  <w:tcW w:w="2250" w:type="dxa"/>
                  <w:vAlign w:val="center"/>
                </w:tcPr>
                <w:p w14:paraId="5EED3170">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lang w:val="zh-CN"/>
                    </w:rPr>
                    <w:t>本项目</w:t>
                  </w:r>
                  <w:r>
                    <w:rPr>
                      <w:rFonts w:hint="eastAsia" w:hAnsi="宋体"/>
                      <w:color w:val="auto"/>
                      <w:kern w:val="0"/>
                    </w:rPr>
                    <w:t>位于</w:t>
                  </w:r>
                  <w:r>
                    <w:rPr>
                      <w:rFonts w:hint="eastAsia"/>
                      <w:color w:val="auto"/>
                      <w:kern w:val="0"/>
                    </w:rPr>
                    <w:t>江苏省常州市金坛区直溪镇工业集中区直溪大道16号，</w:t>
                  </w:r>
                  <w:r>
                    <w:rPr>
                      <w:rFonts w:hint="eastAsia" w:hAnsi="宋体"/>
                      <w:color w:val="auto"/>
                      <w:kern w:val="0"/>
                    </w:rPr>
                    <w:t>不在生态红线内</w:t>
                  </w:r>
                </w:p>
              </w:tc>
              <w:tc>
                <w:tcPr>
                  <w:tcW w:w="644" w:type="dxa"/>
                  <w:vAlign w:val="center"/>
                </w:tcPr>
                <w:p w14:paraId="0A3BA2E8">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lang w:val="zh-CN"/>
                    </w:rPr>
                    <w:t>相符</w:t>
                  </w:r>
                </w:p>
              </w:tc>
            </w:tr>
            <w:tr w14:paraId="695A7C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112" w:type="dxa"/>
                  <w:vAlign w:val="center"/>
                </w:tcPr>
                <w:p w14:paraId="4C7EACF6">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lang w:val="zh-CN"/>
                    </w:rPr>
                    <w:t>《长江经济带发展负面清单指南》（试行，2022年版）的通知》（长江办（2022）7号）</w:t>
                  </w:r>
                </w:p>
              </w:tc>
              <w:tc>
                <w:tcPr>
                  <w:tcW w:w="3647" w:type="dxa"/>
                  <w:vAlign w:val="center"/>
                </w:tcPr>
                <w:p w14:paraId="3209A2FB">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lang w:val="zh-CN"/>
                    </w:rPr>
                  </w:pPr>
                  <w:r>
                    <w:rPr>
                      <w:rFonts w:hAnsi="宋体"/>
                      <w:color w:val="auto"/>
                      <w:kern w:val="0"/>
                      <w:lang w:val="zh-CN"/>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投资建设不利于水资源及自然生态保护的项目。6.禁止未经许可在长江干支流及湖泊新设、改设或扩大排污口。7.禁止在“一江一口两湖七河”和332个水生生物保护区开展生产性捕捞。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p w14:paraId="0905C685">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p>
              </w:tc>
              <w:tc>
                <w:tcPr>
                  <w:tcW w:w="2250" w:type="dxa"/>
                  <w:vAlign w:val="center"/>
                </w:tcPr>
                <w:p w14:paraId="719CFB02">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int="eastAsia" w:hAnsi="宋体"/>
                      <w:color w:val="auto"/>
                      <w:kern w:val="0"/>
                      <w:lang w:val="zh-CN"/>
                    </w:rPr>
                    <w:t>本项目不</w:t>
                  </w:r>
                  <w:r>
                    <w:rPr>
                      <w:rFonts w:hint="eastAsia" w:hAnsi="宋体"/>
                      <w:color w:val="auto"/>
                      <w:kern w:val="0"/>
                    </w:rPr>
                    <w:t>属于</w:t>
                  </w:r>
                  <w:r>
                    <w:rPr>
                      <w:rFonts w:hAnsi="宋体"/>
                      <w:color w:val="auto"/>
                      <w:kern w:val="0"/>
                      <w:lang w:val="zh-CN"/>
                    </w:rPr>
                    <w:t>《长江经济带发展负面清单指南》（试行，2022年版）的通知》（长江办（2022）7号）</w:t>
                  </w:r>
                  <w:r>
                    <w:rPr>
                      <w:rFonts w:hint="eastAsia" w:hAnsi="宋体"/>
                      <w:color w:val="auto"/>
                      <w:kern w:val="0"/>
                      <w:lang w:val="zh-CN"/>
                    </w:rPr>
                    <w:t>中禁止项目</w:t>
                  </w:r>
                </w:p>
              </w:tc>
              <w:tc>
                <w:tcPr>
                  <w:tcW w:w="644" w:type="dxa"/>
                  <w:vAlign w:val="center"/>
                </w:tcPr>
                <w:p w14:paraId="5BCDA498">
                  <w:pPr>
                    <w:keepNext w:val="0"/>
                    <w:keepLines w:val="0"/>
                    <w:pageBreakBefore w:val="0"/>
                    <w:widowControl w:val="0"/>
                    <w:kinsoku/>
                    <w:wordWrap/>
                    <w:overflowPunct/>
                    <w:topLinePunct w:val="0"/>
                    <w:bidi w:val="0"/>
                    <w:adjustRightInd w:val="0"/>
                    <w:snapToGrid w:val="0"/>
                    <w:spacing w:line="0" w:lineRule="atLeast"/>
                    <w:ind w:firstLine="0" w:firstLineChars="0"/>
                    <w:jc w:val="center"/>
                    <w:textAlignment w:val="auto"/>
                    <w:rPr>
                      <w:rFonts w:hAnsi="宋体"/>
                      <w:color w:val="auto"/>
                      <w:kern w:val="0"/>
                    </w:rPr>
                  </w:pPr>
                  <w:r>
                    <w:rPr>
                      <w:rFonts w:hAnsi="宋体"/>
                      <w:color w:val="auto"/>
                      <w:kern w:val="0"/>
                      <w:lang w:val="zh-CN"/>
                    </w:rPr>
                    <w:t>相符</w:t>
                  </w:r>
                </w:p>
              </w:tc>
            </w:tr>
          </w:tbl>
          <w:p w14:paraId="00423243">
            <w:pPr>
              <w:spacing w:line="360" w:lineRule="auto"/>
              <w:ind w:firstLine="480" w:firstLineChars="200"/>
              <w:rPr>
                <w:rFonts w:eastAsia="Times New Roman"/>
                <w:color w:val="auto"/>
                <w:sz w:val="24"/>
                <w:szCs w:val="24"/>
                <w:lang w:val="zh-CN"/>
              </w:rPr>
            </w:pPr>
            <w:r>
              <w:rPr>
                <w:rFonts w:hint="eastAsia"/>
                <w:color w:val="auto"/>
                <w:sz w:val="24"/>
                <w:szCs w:val="24"/>
              </w:rPr>
              <w:t>综上</w:t>
            </w:r>
            <w:r>
              <w:rPr>
                <w:rFonts w:eastAsia="Times New Roman"/>
                <w:color w:val="auto"/>
                <w:sz w:val="24"/>
                <w:szCs w:val="24"/>
                <w:lang w:val="zh-CN"/>
              </w:rPr>
              <w:t>，本项目符合《省生态环境厅关于进一步做好建设项目环评审批工作的通知》（苏环办</w:t>
            </w:r>
            <w:r>
              <w:rPr>
                <w:rFonts w:hint="eastAsia"/>
                <w:color w:val="auto"/>
                <w:sz w:val="24"/>
                <w:szCs w:val="24"/>
              </w:rPr>
              <w:t>〔</w:t>
            </w:r>
            <w:r>
              <w:rPr>
                <w:rFonts w:eastAsia="Times New Roman"/>
                <w:color w:val="auto"/>
                <w:sz w:val="24"/>
                <w:szCs w:val="24"/>
                <w:lang w:val="zh-CN"/>
              </w:rPr>
              <w:t>2019</w:t>
            </w:r>
            <w:r>
              <w:rPr>
                <w:rFonts w:hint="eastAsia" w:eastAsia="Times New Roman"/>
                <w:color w:val="auto"/>
                <w:sz w:val="24"/>
                <w:szCs w:val="24"/>
                <w:lang w:val="zh-CN"/>
              </w:rPr>
              <w:t>〕</w:t>
            </w:r>
            <w:r>
              <w:rPr>
                <w:rFonts w:eastAsia="Times New Roman"/>
                <w:color w:val="auto"/>
                <w:sz w:val="24"/>
                <w:szCs w:val="24"/>
                <w:lang w:val="zh-CN"/>
              </w:rPr>
              <w:t>36号）文的规定。</w:t>
            </w:r>
          </w:p>
          <w:p w14:paraId="239B7DF7">
            <w:pPr>
              <w:spacing w:line="360" w:lineRule="auto"/>
              <w:ind w:firstLine="480" w:firstLineChars="200"/>
              <w:rPr>
                <w:rFonts w:hint="eastAsia" w:eastAsia="Times New Roman"/>
                <w:b/>
                <w:bCs/>
                <w:color w:val="auto"/>
                <w:sz w:val="24"/>
                <w:szCs w:val="24"/>
              </w:rPr>
            </w:pPr>
            <w:r>
              <w:rPr>
                <w:rFonts w:eastAsia="Times New Roman"/>
                <w:color w:val="auto"/>
                <w:sz w:val="24"/>
                <w:szCs w:val="24"/>
              </w:rPr>
              <w:t>③</w:t>
            </w:r>
            <w:r>
              <w:rPr>
                <w:rFonts w:hint="eastAsia" w:eastAsia="Times New Roman"/>
                <w:color w:val="auto"/>
                <w:sz w:val="24"/>
                <w:szCs w:val="24"/>
              </w:rPr>
              <w:t>与《省生态环境厅关于进一步加强建设项目环评审批和服务工作的指导意见》（苏环办〔</w:t>
            </w:r>
            <w:r>
              <w:rPr>
                <w:rFonts w:eastAsia="Times New Roman"/>
                <w:color w:val="auto"/>
                <w:sz w:val="24"/>
                <w:szCs w:val="24"/>
              </w:rPr>
              <w:t>2020</w:t>
            </w:r>
            <w:r>
              <w:rPr>
                <w:rFonts w:hint="eastAsia" w:eastAsia="Times New Roman"/>
                <w:color w:val="auto"/>
                <w:sz w:val="24"/>
                <w:szCs w:val="24"/>
              </w:rPr>
              <w:t>〕</w:t>
            </w:r>
            <w:r>
              <w:rPr>
                <w:rFonts w:eastAsia="Times New Roman"/>
                <w:color w:val="auto"/>
                <w:sz w:val="24"/>
                <w:szCs w:val="24"/>
              </w:rPr>
              <w:t>225</w:t>
            </w:r>
            <w:r>
              <w:rPr>
                <w:rFonts w:hint="eastAsia" w:eastAsia="Times New Roman"/>
                <w:color w:val="auto"/>
                <w:sz w:val="24"/>
                <w:szCs w:val="24"/>
              </w:rPr>
              <w:t>号）相符性分析</w:t>
            </w:r>
          </w:p>
          <w:p w14:paraId="0748B6FB">
            <w:pPr>
              <w:jc w:val="center"/>
              <w:rPr>
                <w:rFonts w:eastAsia="Times New Roman"/>
                <w:b/>
                <w:bCs/>
                <w:color w:val="auto"/>
                <w:sz w:val="24"/>
                <w:szCs w:val="24"/>
              </w:rPr>
            </w:pPr>
            <w:r>
              <w:rPr>
                <w:rFonts w:hint="eastAsia" w:eastAsia="Times New Roman"/>
                <w:b/>
                <w:bCs/>
                <w:color w:val="auto"/>
                <w:sz w:val="24"/>
                <w:szCs w:val="24"/>
              </w:rPr>
              <w:t>表1-8  与苏环办〔</w:t>
            </w:r>
            <w:r>
              <w:rPr>
                <w:rFonts w:eastAsia="Times New Roman"/>
                <w:b/>
                <w:bCs/>
                <w:color w:val="auto"/>
                <w:sz w:val="24"/>
                <w:szCs w:val="24"/>
              </w:rPr>
              <w:t>2020</w:t>
            </w:r>
            <w:r>
              <w:rPr>
                <w:rFonts w:hint="eastAsia" w:eastAsia="Times New Roman"/>
                <w:b/>
                <w:bCs/>
                <w:color w:val="auto"/>
                <w:sz w:val="24"/>
                <w:szCs w:val="24"/>
              </w:rPr>
              <w:t>〕</w:t>
            </w:r>
            <w:r>
              <w:rPr>
                <w:rFonts w:eastAsia="Times New Roman"/>
                <w:b/>
                <w:bCs/>
                <w:color w:val="auto"/>
                <w:sz w:val="24"/>
                <w:szCs w:val="24"/>
              </w:rPr>
              <w:t>225</w:t>
            </w:r>
            <w:r>
              <w:rPr>
                <w:rFonts w:hint="eastAsia" w:eastAsia="Times New Roman"/>
                <w:b/>
                <w:bCs/>
                <w:color w:val="auto"/>
                <w:sz w:val="24"/>
                <w:szCs w:val="24"/>
              </w:rPr>
              <w:t>号相符性分析</w:t>
            </w:r>
          </w:p>
          <w:tbl>
            <w:tblPr>
              <w:tblStyle w:val="23"/>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4071"/>
              <w:gridCol w:w="2332"/>
              <w:gridCol w:w="691"/>
            </w:tblGrid>
            <w:tr w14:paraId="2FDC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9" w:type="dxa"/>
                  <w:vAlign w:val="center"/>
                </w:tcPr>
                <w:p w14:paraId="68C82C0C">
                  <w:pPr>
                    <w:spacing w:line="0" w:lineRule="atLeast"/>
                    <w:jc w:val="center"/>
                    <w:rPr>
                      <w:rFonts w:hAnsi="宋体"/>
                      <w:b/>
                      <w:bCs/>
                      <w:color w:val="auto"/>
                      <w:kern w:val="0"/>
                    </w:rPr>
                  </w:pPr>
                  <w:r>
                    <w:rPr>
                      <w:rFonts w:hint="eastAsia" w:hAnsi="宋体"/>
                      <w:b/>
                      <w:bCs/>
                      <w:color w:val="auto"/>
                      <w:kern w:val="0"/>
                    </w:rPr>
                    <w:t>序号</w:t>
                  </w:r>
                </w:p>
              </w:tc>
              <w:tc>
                <w:tcPr>
                  <w:tcW w:w="4071" w:type="dxa"/>
                  <w:vAlign w:val="center"/>
                </w:tcPr>
                <w:p w14:paraId="76B5CD52">
                  <w:pPr>
                    <w:spacing w:line="0" w:lineRule="atLeast"/>
                    <w:jc w:val="center"/>
                    <w:rPr>
                      <w:rFonts w:hAnsi="宋体"/>
                      <w:b/>
                      <w:bCs/>
                      <w:color w:val="auto"/>
                      <w:kern w:val="0"/>
                    </w:rPr>
                  </w:pPr>
                  <w:r>
                    <w:rPr>
                      <w:rFonts w:hint="eastAsia" w:hAnsi="宋体"/>
                      <w:b/>
                      <w:bCs/>
                      <w:color w:val="auto"/>
                      <w:kern w:val="0"/>
                    </w:rPr>
                    <w:t>文件要求</w:t>
                  </w:r>
                </w:p>
              </w:tc>
              <w:tc>
                <w:tcPr>
                  <w:tcW w:w="2332" w:type="dxa"/>
                  <w:vAlign w:val="center"/>
                </w:tcPr>
                <w:p w14:paraId="5BC3EE30">
                  <w:pPr>
                    <w:spacing w:line="0" w:lineRule="atLeast"/>
                    <w:jc w:val="center"/>
                    <w:rPr>
                      <w:rFonts w:hAnsi="宋体"/>
                      <w:b/>
                      <w:bCs/>
                      <w:color w:val="auto"/>
                      <w:kern w:val="0"/>
                    </w:rPr>
                  </w:pPr>
                  <w:r>
                    <w:rPr>
                      <w:rFonts w:hint="eastAsia" w:hAnsi="宋体"/>
                      <w:b/>
                      <w:bCs/>
                      <w:color w:val="auto"/>
                      <w:kern w:val="0"/>
                    </w:rPr>
                    <w:t>本项目情况</w:t>
                  </w:r>
                </w:p>
              </w:tc>
              <w:tc>
                <w:tcPr>
                  <w:tcW w:w="691" w:type="dxa"/>
                </w:tcPr>
                <w:p w14:paraId="3A6D980B">
                  <w:pPr>
                    <w:spacing w:line="0" w:lineRule="atLeast"/>
                    <w:jc w:val="center"/>
                    <w:rPr>
                      <w:rFonts w:hAnsi="宋体"/>
                      <w:b/>
                      <w:bCs/>
                      <w:color w:val="auto"/>
                      <w:kern w:val="0"/>
                    </w:rPr>
                  </w:pPr>
                  <w:r>
                    <w:rPr>
                      <w:rFonts w:hint="eastAsia" w:hAnsi="宋体"/>
                      <w:b/>
                      <w:bCs/>
                      <w:color w:val="auto"/>
                      <w:kern w:val="0"/>
                    </w:rPr>
                    <w:t>相符性分析</w:t>
                  </w:r>
                </w:p>
              </w:tc>
            </w:tr>
            <w:tr w14:paraId="0082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7C526B87">
                  <w:pPr>
                    <w:spacing w:line="0" w:lineRule="atLeast"/>
                    <w:jc w:val="center"/>
                    <w:rPr>
                      <w:rFonts w:hAnsi="宋体"/>
                      <w:color w:val="auto"/>
                      <w:kern w:val="0"/>
                    </w:rPr>
                  </w:pPr>
                  <w:r>
                    <w:rPr>
                      <w:rFonts w:hAnsi="宋体"/>
                      <w:color w:val="auto"/>
                      <w:kern w:val="0"/>
                    </w:rPr>
                    <w:t>1</w:t>
                  </w:r>
                </w:p>
              </w:tc>
              <w:tc>
                <w:tcPr>
                  <w:tcW w:w="4071" w:type="dxa"/>
                  <w:vAlign w:val="center"/>
                </w:tcPr>
                <w:p w14:paraId="03C47529">
                  <w:pPr>
                    <w:spacing w:line="0" w:lineRule="atLeast"/>
                    <w:jc w:val="center"/>
                    <w:rPr>
                      <w:rFonts w:hAnsi="宋体"/>
                      <w:color w:val="auto"/>
                      <w:kern w:val="0"/>
                    </w:rPr>
                  </w:pPr>
                  <w:r>
                    <w:rPr>
                      <w:rFonts w:hAnsi="宋体"/>
                      <w:color w:val="auto"/>
                      <w:kern w:val="0"/>
                    </w:rPr>
                    <w:t>建设项目所在区域环境质量未达到国家或地方环境质量标准，且项目拟采取的污染防治措施不能满足区域环境质量改善目标管理要求的，一律不得审批。</w:t>
                  </w:r>
                </w:p>
              </w:tc>
              <w:tc>
                <w:tcPr>
                  <w:tcW w:w="2332" w:type="dxa"/>
                  <w:vMerge w:val="restart"/>
                  <w:vAlign w:val="center"/>
                </w:tcPr>
                <w:p w14:paraId="594A17A4">
                  <w:pPr>
                    <w:spacing w:line="0" w:lineRule="atLeast"/>
                    <w:jc w:val="center"/>
                    <w:rPr>
                      <w:rFonts w:hAnsi="宋体"/>
                      <w:color w:val="auto"/>
                      <w:kern w:val="0"/>
                    </w:rPr>
                  </w:pPr>
                  <w:r>
                    <w:rPr>
                      <w:rFonts w:hAnsi="宋体"/>
                      <w:color w:val="auto"/>
                      <w:kern w:val="0"/>
                    </w:rPr>
                    <w:t>本项目所在区域为水环境、声环境达标区，环境空气质量不达标区，项目所产生的废气污染物经处理后均能实现达标排放，满足区域环境质量改善目标；项目位于已审批的园区中，项目符合规划环评要求；项目建设符合江苏省“三线一单”生态环境分区管控方案。符合文件要求。</w:t>
                  </w:r>
                </w:p>
              </w:tc>
              <w:tc>
                <w:tcPr>
                  <w:tcW w:w="691" w:type="dxa"/>
                  <w:vMerge w:val="restart"/>
                  <w:vAlign w:val="center"/>
                </w:tcPr>
                <w:p w14:paraId="2BF42FFA">
                  <w:pPr>
                    <w:spacing w:line="0" w:lineRule="atLeast"/>
                    <w:jc w:val="center"/>
                    <w:rPr>
                      <w:rFonts w:hAnsi="宋体"/>
                      <w:color w:val="auto"/>
                      <w:kern w:val="0"/>
                    </w:rPr>
                  </w:pPr>
                  <w:r>
                    <w:rPr>
                      <w:rFonts w:hAnsi="宋体"/>
                      <w:color w:val="auto"/>
                      <w:kern w:val="0"/>
                      <w:lang w:val="zh-CN"/>
                    </w:rPr>
                    <w:t>相符</w:t>
                  </w:r>
                </w:p>
              </w:tc>
            </w:tr>
            <w:tr w14:paraId="6C0D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6AE9DB58">
                  <w:pPr>
                    <w:spacing w:line="0" w:lineRule="atLeast"/>
                    <w:jc w:val="center"/>
                    <w:rPr>
                      <w:rFonts w:hAnsi="宋体"/>
                      <w:color w:val="auto"/>
                      <w:kern w:val="0"/>
                    </w:rPr>
                  </w:pPr>
                  <w:r>
                    <w:rPr>
                      <w:rFonts w:hAnsi="宋体"/>
                      <w:color w:val="auto"/>
                      <w:kern w:val="0"/>
                    </w:rPr>
                    <w:t>2</w:t>
                  </w:r>
                </w:p>
              </w:tc>
              <w:tc>
                <w:tcPr>
                  <w:tcW w:w="4071" w:type="dxa"/>
                  <w:vAlign w:val="center"/>
                </w:tcPr>
                <w:p w14:paraId="27FB0FE5">
                  <w:pPr>
                    <w:spacing w:line="0" w:lineRule="atLeast"/>
                    <w:jc w:val="center"/>
                    <w:rPr>
                      <w:rFonts w:hAnsi="宋体"/>
                      <w:color w:val="auto"/>
                      <w:kern w:val="0"/>
                    </w:rPr>
                  </w:pPr>
                  <w:r>
                    <w:rPr>
                      <w:rFonts w:hAnsi="宋体"/>
                      <w:color w:val="auto"/>
                      <w:kern w:val="0"/>
                    </w:rPr>
                    <w:t>加强规划环评与建设项目环评联动，对不符合规划环评结论及审查意见的项目环评，依法不予审批。规划所包含项目的环评内容，可根据规划环评结论和审查意见予以简化。</w:t>
                  </w:r>
                </w:p>
              </w:tc>
              <w:tc>
                <w:tcPr>
                  <w:tcW w:w="2332" w:type="dxa"/>
                  <w:vMerge w:val="continue"/>
                  <w:vAlign w:val="center"/>
                </w:tcPr>
                <w:p w14:paraId="26674DE0">
                  <w:pPr>
                    <w:spacing w:line="0" w:lineRule="atLeast"/>
                    <w:jc w:val="center"/>
                    <w:rPr>
                      <w:rFonts w:hAnsi="宋体"/>
                      <w:color w:val="auto"/>
                      <w:kern w:val="0"/>
                    </w:rPr>
                  </w:pPr>
                </w:p>
              </w:tc>
              <w:tc>
                <w:tcPr>
                  <w:tcW w:w="691" w:type="dxa"/>
                  <w:vMerge w:val="continue"/>
                  <w:vAlign w:val="center"/>
                </w:tcPr>
                <w:p w14:paraId="24AC1495">
                  <w:pPr>
                    <w:spacing w:line="0" w:lineRule="atLeast"/>
                    <w:jc w:val="center"/>
                    <w:rPr>
                      <w:rFonts w:hAnsi="宋体"/>
                      <w:color w:val="auto"/>
                      <w:kern w:val="0"/>
                    </w:rPr>
                  </w:pPr>
                </w:p>
              </w:tc>
            </w:tr>
            <w:tr w14:paraId="32E5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7C6F1FB8">
                  <w:pPr>
                    <w:spacing w:line="0" w:lineRule="atLeast"/>
                    <w:jc w:val="center"/>
                    <w:rPr>
                      <w:rFonts w:hAnsi="宋体"/>
                      <w:color w:val="auto"/>
                      <w:kern w:val="0"/>
                    </w:rPr>
                  </w:pPr>
                  <w:r>
                    <w:rPr>
                      <w:rFonts w:hAnsi="宋体"/>
                      <w:color w:val="auto"/>
                      <w:kern w:val="0"/>
                    </w:rPr>
                    <w:t>3</w:t>
                  </w:r>
                </w:p>
              </w:tc>
              <w:tc>
                <w:tcPr>
                  <w:tcW w:w="4071" w:type="dxa"/>
                  <w:vAlign w:val="center"/>
                </w:tcPr>
                <w:p w14:paraId="32242A06">
                  <w:pPr>
                    <w:spacing w:line="0" w:lineRule="atLeast"/>
                    <w:jc w:val="center"/>
                    <w:rPr>
                      <w:rFonts w:hAnsi="宋体"/>
                      <w:color w:val="auto"/>
                      <w:kern w:val="0"/>
                    </w:rPr>
                  </w:pPr>
                  <w:r>
                    <w:rPr>
                      <w:rFonts w:hAnsi="宋体"/>
                      <w:color w:val="auto"/>
                      <w:kern w:val="0"/>
                    </w:rPr>
                    <w:t>切实加强区域环境容量、环境承载力研究，不得审批突破环境容量和环境承载力的建设项目。</w:t>
                  </w:r>
                </w:p>
              </w:tc>
              <w:tc>
                <w:tcPr>
                  <w:tcW w:w="2332" w:type="dxa"/>
                  <w:vMerge w:val="continue"/>
                  <w:vAlign w:val="center"/>
                </w:tcPr>
                <w:p w14:paraId="745BC0FD">
                  <w:pPr>
                    <w:spacing w:line="0" w:lineRule="atLeast"/>
                    <w:jc w:val="center"/>
                    <w:rPr>
                      <w:rFonts w:hAnsi="宋体"/>
                      <w:color w:val="auto"/>
                      <w:kern w:val="0"/>
                    </w:rPr>
                  </w:pPr>
                </w:p>
              </w:tc>
              <w:tc>
                <w:tcPr>
                  <w:tcW w:w="691" w:type="dxa"/>
                  <w:vMerge w:val="continue"/>
                  <w:vAlign w:val="center"/>
                </w:tcPr>
                <w:p w14:paraId="5F0BE732">
                  <w:pPr>
                    <w:spacing w:line="0" w:lineRule="atLeast"/>
                    <w:jc w:val="center"/>
                    <w:rPr>
                      <w:rFonts w:hAnsi="宋体"/>
                      <w:color w:val="auto"/>
                      <w:kern w:val="0"/>
                    </w:rPr>
                  </w:pPr>
                </w:p>
              </w:tc>
            </w:tr>
            <w:tr w14:paraId="3912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0CFE5D63">
                  <w:pPr>
                    <w:spacing w:line="0" w:lineRule="atLeast"/>
                    <w:jc w:val="center"/>
                    <w:rPr>
                      <w:rFonts w:hAnsi="宋体"/>
                      <w:color w:val="auto"/>
                      <w:kern w:val="0"/>
                    </w:rPr>
                  </w:pPr>
                  <w:r>
                    <w:rPr>
                      <w:rFonts w:hAnsi="宋体"/>
                      <w:color w:val="auto"/>
                      <w:kern w:val="0"/>
                    </w:rPr>
                    <w:t>4</w:t>
                  </w:r>
                </w:p>
              </w:tc>
              <w:tc>
                <w:tcPr>
                  <w:tcW w:w="4071" w:type="dxa"/>
                  <w:vAlign w:val="center"/>
                </w:tcPr>
                <w:p w14:paraId="21B5BF61">
                  <w:pPr>
                    <w:spacing w:line="0" w:lineRule="atLeast"/>
                    <w:jc w:val="center"/>
                    <w:rPr>
                      <w:rFonts w:hAnsi="宋体"/>
                      <w:color w:val="auto"/>
                      <w:kern w:val="0"/>
                    </w:rPr>
                  </w:pPr>
                  <w:r>
                    <w:rPr>
                      <w:rFonts w:hAnsi="宋体"/>
                      <w:color w:val="auto"/>
                      <w:kern w:val="0"/>
                    </w:rPr>
                    <w:t>应将“三线一单”作为建设项目环评审批的重要依据，严格落实生态环境分区管控要求，从严把好环境准入关。</w:t>
                  </w:r>
                </w:p>
              </w:tc>
              <w:tc>
                <w:tcPr>
                  <w:tcW w:w="2332" w:type="dxa"/>
                  <w:vMerge w:val="continue"/>
                  <w:vAlign w:val="center"/>
                </w:tcPr>
                <w:p w14:paraId="16A969E3">
                  <w:pPr>
                    <w:spacing w:line="0" w:lineRule="atLeast"/>
                    <w:jc w:val="center"/>
                    <w:rPr>
                      <w:rFonts w:hAnsi="宋体"/>
                      <w:color w:val="auto"/>
                      <w:kern w:val="0"/>
                    </w:rPr>
                  </w:pPr>
                </w:p>
              </w:tc>
              <w:tc>
                <w:tcPr>
                  <w:tcW w:w="691" w:type="dxa"/>
                  <w:vMerge w:val="continue"/>
                  <w:vAlign w:val="center"/>
                </w:tcPr>
                <w:p w14:paraId="1B81B15D">
                  <w:pPr>
                    <w:spacing w:line="0" w:lineRule="atLeast"/>
                    <w:jc w:val="center"/>
                    <w:rPr>
                      <w:rFonts w:hAnsi="宋体"/>
                      <w:color w:val="auto"/>
                      <w:kern w:val="0"/>
                    </w:rPr>
                  </w:pPr>
                </w:p>
              </w:tc>
            </w:tr>
            <w:tr w14:paraId="03C6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57F28E53">
                  <w:pPr>
                    <w:spacing w:line="0" w:lineRule="atLeast"/>
                    <w:jc w:val="center"/>
                    <w:rPr>
                      <w:rFonts w:hAnsi="宋体"/>
                      <w:color w:val="auto"/>
                      <w:kern w:val="0"/>
                    </w:rPr>
                  </w:pPr>
                  <w:r>
                    <w:rPr>
                      <w:rFonts w:hAnsi="宋体"/>
                      <w:color w:val="auto"/>
                      <w:kern w:val="0"/>
                    </w:rPr>
                    <w:t>5</w:t>
                  </w:r>
                </w:p>
              </w:tc>
              <w:tc>
                <w:tcPr>
                  <w:tcW w:w="4071" w:type="dxa"/>
                  <w:vAlign w:val="center"/>
                </w:tcPr>
                <w:p w14:paraId="14EB5C05">
                  <w:pPr>
                    <w:spacing w:line="0" w:lineRule="atLeast"/>
                    <w:jc w:val="center"/>
                    <w:rPr>
                      <w:rFonts w:hAnsi="宋体"/>
                      <w:color w:val="auto"/>
                      <w:kern w:val="0"/>
                    </w:rPr>
                  </w:pPr>
                  <w:r>
                    <w:rPr>
                      <w:rFonts w:hAnsi="宋体"/>
                      <w:color w:val="auto"/>
                      <w:kern w:val="0"/>
                    </w:rPr>
                    <w:t>对纳入重点行业清单的建设项目，不适用告知承诺制和简化环评内容等改革试点措施。</w:t>
                  </w:r>
                </w:p>
              </w:tc>
              <w:tc>
                <w:tcPr>
                  <w:tcW w:w="2332" w:type="dxa"/>
                  <w:vMerge w:val="restart"/>
                  <w:vAlign w:val="center"/>
                </w:tcPr>
                <w:p w14:paraId="75A073EA">
                  <w:pPr>
                    <w:spacing w:line="0" w:lineRule="atLeast"/>
                    <w:jc w:val="center"/>
                    <w:rPr>
                      <w:rFonts w:hAnsi="宋体"/>
                      <w:color w:val="auto"/>
                      <w:kern w:val="0"/>
                    </w:rPr>
                  </w:pPr>
                  <w:r>
                    <w:rPr>
                      <w:rFonts w:hAnsi="宋体"/>
                      <w:color w:val="auto"/>
                      <w:kern w:val="0"/>
                    </w:rPr>
                    <w:t>本项目属于</w:t>
                  </w:r>
                  <w:r>
                    <w:rPr>
                      <w:rFonts w:hint="eastAsia"/>
                      <w:color w:val="auto"/>
                      <w:kern w:val="0"/>
                    </w:rPr>
                    <w:t>C3483弹簧制造</w:t>
                  </w:r>
                  <w:r>
                    <w:rPr>
                      <w:rFonts w:hAnsi="宋体"/>
                      <w:color w:val="auto"/>
                      <w:kern w:val="0"/>
                    </w:rPr>
                    <w:t>，不属于重点行业，</w:t>
                  </w:r>
                  <w:r>
                    <w:rPr>
                      <w:rFonts w:hint="eastAsia" w:hAnsi="宋体"/>
                      <w:color w:val="auto"/>
                      <w:kern w:val="0"/>
                    </w:rPr>
                    <w:t>不可</w:t>
                  </w:r>
                  <w:r>
                    <w:rPr>
                      <w:rFonts w:hAnsi="宋体"/>
                      <w:color w:val="auto"/>
                      <w:kern w:val="0"/>
                    </w:rPr>
                    <w:t>采用告知承诺制，不属于钢铁、石化、化工、焦化、建材等高污染行业。</w:t>
                  </w:r>
                </w:p>
              </w:tc>
              <w:tc>
                <w:tcPr>
                  <w:tcW w:w="691" w:type="dxa"/>
                  <w:vMerge w:val="restart"/>
                  <w:vAlign w:val="center"/>
                </w:tcPr>
                <w:p w14:paraId="00C5ABA4">
                  <w:pPr>
                    <w:spacing w:line="0" w:lineRule="atLeast"/>
                    <w:jc w:val="center"/>
                    <w:rPr>
                      <w:rFonts w:hAnsi="宋体"/>
                      <w:color w:val="auto"/>
                      <w:kern w:val="0"/>
                    </w:rPr>
                  </w:pPr>
                  <w:r>
                    <w:rPr>
                      <w:rFonts w:hAnsi="宋体"/>
                      <w:color w:val="auto"/>
                      <w:kern w:val="0"/>
                      <w:lang w:val="zh-CN"/>
                    </w:rPr>
                    <w:t>相符</w:t>
                  </w:r>
                </w:p>
              </w:tc>
            </w:tr>
            <w:tr w14:paraId="3971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0D159C4D">
                  <w:pPr>
                    <w:spacing w:line="0" w:lineRule="atLeast"/>
                    <w:jc w:val="center"/>
                    <w:rPr>
                      <w:rFonts w:hAnsi="宋体"/>
                      <w:color w:val="auto"/>
                      <w:kern w:val="0"/>
                    </w:rPr>
                  </w:pPr>
                  <w:r>
                    <w:rPr>
                      <w:rFonts w:hAnsi="宋体"/>
                      <w:color w:val="auto"/>
                      <w:kern w:val="0"/>
                    </w:rPr>
                    <w:t>6</w:t>
                  </w:r>
                </w:p>
              </w:tc>
              <w:tc>
                <w:tcPr>
                  <w:tcW w:w="4071" w:type="dxa"/>
                  <w:vAlign w:val="center"/>
                </w:tcPr>
                <w:p w14:paraId="10590D6D">
                  <w:pPr>
                    <w:spacing w:line="0" w:lineRule="atLeast"/>
                    <w:jc w:val="center"/>
                    <w:rPr>
                      <w:rFonts w:hAnsi="宋体"/>
                      <w:color w:val="auto"/>
                      <w:kern w:val="0"/>
                    </w:rPr>
                  </w:pPr>
                  <w:r>
                    <w:rPr>
                      <w:rFonts w:hAnsi="宋体"/>
                      <w:color w:val="auto"/>
                      <w:kern w:val="0"/>
                    </w:rPr>
                    <w:t>严格执行《江苏省长江经济带发展负面清单实施细则(试行)</w:t>
                  </w:r>
                  <w:r>
                    <w:rPr>
                      <w:color w:val="auto"/>
                      <w:kern w:val="0"/>
                    </w:rPr>
                    <w:t>》</w:t>
                  </w:r>
                  <w:r>
                    <w:rPr>
                      <w:rFonts w:hAnsi="宋体"/>
                      <w:color w:val="auto"/>
                      <w:kern w:val="0"/>
                    </w:rPr>
                    <w:t>，禁止在合规园区外新建、扩建钢铁、石化、化工、焦化、建材、有色等行业中的高污染项目。禁止建燃煤自备电厂。</w:t>
                  </w:r>
                </w:p>
              </w:tc>
              <w:tc>
                <w:tcPr>
                  <w:tcW w:w="2332" w:type="dxa"/>
                  <w:vMerge w:val="continue"/>
                  <w:vAlign w:val="center"/>
                </w:tcPr>
                <w:p w14:paraId="1FAA8A81">
                  <w:pPr>
                    <w:spacing w:line="0" w:lineRule="atLeast"/>
                    <w:jc w:val="center"/>
                    <w:rPr>
                      <w:rFonts w:hAnsi="宋体"/>
                      <w:color w:val="auto"/>
                      <w:kern w:val="0"/>
                    </w:rPr>
                  </w:pPr>
                </w:p>
              </w:tc>
              <w:tc>
                <w:tcPr>
                  <w:tcW w:w="691" w:type="dxa"/>
                  <w:vMerge w:val="continue"/>
                  <w:vAlign w:val="center"/>
                </w:tcPr>
                <w:p w14:paraId="6565AAB9">
                  <w:pPr>
                    <w:spacing w:line="0" w:lineRule="atLeast"/>
                    <w:jc w:val="center"/>
                    <w:rPr>
                      <w:rFonts w:hAnsi="宋体"/>
                      <w:color w:val="auto"/>
                      <w:kern w:val="0"/>
                    </w:rPr>
                  </w:pPr>
                </w:p>
              </w:tc>
            </w:tr>
            <w:tr w14:paraId="36B5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7CE19C4C">
                  <w:pPr>
                    <w:spacing w:line="0" w:lineRule="atLeast"/>
                    <w:jc w:val="center"/>
                    <w:rPr>
                      <w:rFonts w:hAnsi="宋体"/>
                      <w:color w:val="auto"/>
                      <w:kern w:val="0"/>
                    </w:rPr>
                  </w:pPr>
                  <w:r>
                    <w:rPr>
                      <w:rFonts w:hAnsi="宋体"/>
                      <w:color w:val="auto"/>
                      <w:kern w:val="0"/>
                    </w:rPr>
                    <w:t>7</w:t>
                  </w:r>
                </w:p>
              </w:tc>
              <w:tc>
                <w:tcPr>
                  <w:tcW w:w="4071" w:type="dxa"/>
                  <w:vAlign w:val="center"/>
                </w:tcPr>
                <w:p w14:paraId="0AC87B7C">
                  <w:pPr>
                    <w:spacing w:line="0" w:lineRule="atLeast"/>
                    <w:jc w:val="center"/>
                    <w:rPr>
                      <w:rFonts w:hAnsi="宋体"/>
                      <w:color w:val="auto"/>
                      <w:kern w:val="0"/>
                    </w:rPr>
                  </w:pPr>
                  <w:r>
                    <w:rPr>
                      <w:rFonts w:hAnsi="宋体"/>
                      <w:color w:val="auto"/>
                      <w:kern w:val="0"/>
                    </w:rPr>
                    <w:t>统筹推动沿江产业战略性转型和在沿海地区战略性布局，坚持“规划引领、指标从严、政策衔接、产业先进”，推进钢铁、化工、煤电等行业有序转移，优化产业布局、调整产业结构，推动绿色发展。</w:t>
                  </w:r>
                </w:p>
              </w:tc>
              <w:tc>
                <w:tcPr>
                  <w:tcW w:w="2332" w:type="dxa"/>
                  <w:vMerge w:val="continue"/>
                  <w:vAlign w:val="center"/>
                </w:tcPr>
                <w:p w14:paraId="666F0E7D">
                  <w:pPr>
                    <w:spacing w:line="0" w:lineRule="atLeast"/>
                    <w:jc w:val="center"/>
                    <w:rPr>
                      <w:rFonts w:hAnsi="宋体"/>
                      <w:color w:val="auto"/>
                      <w:kern w:val="0"/>
                    </w:rPr>
                  </w:pPr>
                </w:p>
              </w:tc>
              <w:tc>
                <w:tcPr>
                  <w:tcW w:w="691" w:type="dxa"/>
                  <w:vMerge w:val="continue"/>
                  <w:vAlign w:val="center"/>
                </w:tcPr>
                <w:p w14:paraId="26CC8D90">
                  <w:pPr>
                    <w:spacing w:line="0" w:lineRule="atLeast"/>
                    <w:jc w:val="center"/>
                    <w:rPr>
                      <w:rFonts w:hAnsi="宋体"/>
                      <w:color w:val="auto"/>
                      <w:kern w:val="0"/>
                    </w:rPr>
                  </w:pPr>
                </w:p>
              </w:tc>
            </w:tr>
            <w:tr w14:paraId="142E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3CEECDAB">
                  <w:pPr>
                    <w:spacing w:line="0" w:lineRule="atLeast"/>
                    <w:jc w:val="center"/>
                    <w:rPr>
                      <w:rFonts w:hAnsi="宋体"/>
                      <w:color w:val="auto"/>
                      <w:kern w:val="0"/>
                    </w:rPr>
                  </w:pPr>
                  <w:r>
                    <w:rPr>
                      <w:rFonts w:hAnsi="宋体"/>
                      <w:color w:val="auto"/>
                      <w:kern w:val="0"/>
                    </w:rPr>
                    <w:t>8</w:t>
                  </w:r>
                </w:p>
              </w:tc>
              <w:tc>
                <w:tcPr>
                  <w:tcW w:w="4071" w:type="dxa"/>
                  <w:vAlign w:val="center"/>
                </w:tcPr>
                <w:p w14:paraId="2C1144D4">
                  <w:pPr>
                    <w:spacing w:line="0" w:lineRule="atLeast"/>
                    <w:jc w:val="center"/>
                    <w:rPr>
                      <w:rFonts w:hAnsi="宋体"/>
                      <w:color w:val="auto"/>
                      <w:kern w:val="0"/>
                    </w:rPr>
                  </w:pPr>
                  <w:r>
                    <w:rPr>
                      <w:rFonts w:hAnsi="宋体"/>
                      <w:color w:val="auto"/>
                      <w:kern w:val="0"/>
                    </w:rPr>
                    <w:t>对国家、省、市级和外商投资重大项目，实行清单化管理。对纳入清单的项目，主动服务、提前介入，全程做好政策咨询和环评技术指导。</w:t>
                  </w:r>
                </w:p>
              </w:tc>
              <w:tc>
                <w:tcPr>
                  <w:tcW w:w="2332" w:type="dxa"/>
                  <w:vMerge w:val="continue"/>
                  <w:vAlign w:val="center"/>
                </w:tcPr>
                <w:p w14:paraId="56EE8F00">
                  <w:pPr>
                    <w:spacing w:line="0" w:lineRule="atLeast"/>
                    <w:jc w:val="center"/>
                    <w:rPr>
                      <w:rFonts w:hAnsi="宋体"/>
                      <w:color w:val="auto"/>
                      <w:kern w:val="0"/>
                    </w:rPr>
                  </w:pPr>
                </w:p>
              </w:tc>
              <w:tc>
                <w:tcPr>
                  <w:tcW w:w="691" w:type="dxa"/>
                  <w:vMerge w:val="continue"/>
                  <w:vAlign w:val="center"/>
                </w:tcPr>
                <w:p w14:paraId="700CC31B">
                  <w:pPr>
                    <w:spacing w:line="0" w:lineRule="atLeast"/>
                    <w:jc w:val="center"/>
                    <w:rPr>
                      <w:rFonts w:hAnsi="宋体"/>
                      <w:color w:val="auto"/>
                      <w:kern w:val="0"/>
                    </w:rPr>
                  </w:pPr>
                </w:p>
              </w:tc>
            </w:tr>
            <w:tr w14:paraId="35D7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042D4D2F">
                  <w:pPr>
                    <w:spacing w:line="0" w:lineRule="atLeast"/>
                    <w:jc w:val="center"/>
                    <w:rPr>
                      <w:rFonts w:hAnsi="宋体"/>
                      <w:color w:val="auto"/>
                      <w:kern w:val="0"/>
                    </w:rPr>
                  </w:pPr>
                  <w:r>
                    <w:rPr>
                      <w:rFonts w:hAnsi="宋体"/>
                      <w:color w:val="auto"/>
                      <w:kern w:val="0"/>
                    </w:rPr>
                    <w:t>9</w:t>
                  </w:r>
                </w:p>
              </w:tc>
              <w:tc>
                <w:tcPr>
                  <w:tcW w:w="4071" w:type="dxa"/>
                  <w:vAlign w:val="center"/>
                </w:tcPr>
                <w:p w14:paraId="12128C48">
                  <w:pPr>
                    <w:spacing w:line="0" w:lineRule="atLeast"/>
                    <w:jc w:val="center"/>
                    <w:rPr>
                      <w:rFonts w:hAnsi="宋体"/>
                      <w:color w:val="auto"/>
                      <w:kern w:val="0"/>
                    </w:rPr>
                  </w:pPr>
                  <w:r>
                    <w:rPr>
                      <w:rFonts w:hAnsi="宋体"/>
                      <w:color w:val="auto"/>
                      <w:kern w:val="0"/>
                    </w:rPr>
                    <w:t>对重大基础设施、民生工程、战略新兴产业和重大产业布局等项目，开通环评审批“绿色通道”，实行受理、公示、评估、审查“四同步”，加速项目落地建设。</w:t>
                  </w:r>
                </w:p>
              </w:tc>
              <w:tc>
                <w:tcPr>
                  <w:tcW w:w="2332" w:type="dxa"/>
                  <w:vMerge w:val="restart"/>
                  <w:vAlign w:val="center"/>
                </w:tcPr>
                <w:p w14:paraId="47695092">
                  <w:pPr>
                    <w:spacing w:line="0" w:lineRule="atLeast"/>
                    <w:jc w:val="center"/>
                    <w:rPr>
                      <w:rFonts w:hAnsi="宋体"/>
                      <w:color w:val="auto"/>
                      <w:kern w:val="0"/>
                    </w:rPr>
                  </w:pPr>
                  <w:r>
                    <w:rPr>
                      <w:rFonts w:hAnsi="宋体"/>
                      <w:color w:val="auto"/>
                      <w:kern w:val="0"/>
                    </w:rPr>
                    <w:t>本项目</w:t>
                  </w:r>
                  <w:r>
                    <w:rPr>
                      <w:rFonts w:hint="eastAsia"/>
                      <w:color w:val="auto"/>
                    </w:rPr>
                    <w:t>不属于</w:t>
                  </w:r>
                  <w:r>
                    <w:rPr>
                      <w:rFonts w:hAnsi="宋体"/>
                      <w:color w:val="auto"/>
                      <w:kern w:val="0"/>
                    </w:rPr>
                    <w:t>重大基础设施、民生工程、战略新兴产业和重大产业布局等项目</w:t>
                  </w:r>
                  <w:r>
                    <w:rPr>
                      <w:rFonts w:hint="eastAsia" w:hAnsi="宋体"/>
                      <w:color w:val="auto"/>
                      <w:kern w:val="0"/>
                    </w:rPr>
                    <w:t>，距离</w:t>
                  </w:r>
                  <w:r>
                    <w:rPr>
                      <w:rFonts w:hint="eastAsia"/>
                      <w:color w:val="auto"/>
                    </w:rPr>
                    <w:t>最近的生态空间管控区天荒湖重要渔业水域2.6km，</w:t>
                  </w:r>
                </w:p>
              </w:tc>
              <w:tc>
                <w:tcPr>
                  <w:tcW w:w="691" w:type="dxa"/>
                  <w:vMerge w:val="restart"/>
                  <w:vAlign w:val="center"/>
                </w:tcPr>
                <w:p w14:paraId="47349747">
                  <w:pPr>
                    <w:spacing w:line="0" w:lineRule="atLeast"/>
                    <w:jc w:val="center"/>
                    <w:rPr>
                      <w:rFonts w:hAnsi="宋体"/>
                      <w:color w:val="auto"/>
                      <w:kern w:val="0"/>
                    </w:rPr>
                  </w:pPr>
                  <w:r>
                    <w:rPr>
                      <w:rFonts w:hAnsi="宋体"/>
                      <w:color w:val="auto"/>
                      <w:kern w:val="0"/>
                      <w:lang w:val="zh-CN"/>
                    </w:rPr>
                    <w:t>相符</w:t>
                  </w:r>
                </w:p>
              </w:tc>
            </w:tr>
            <w:tr w14:paraId="3993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16103788">
                  <w:pPr>
                    <w:spacing w:line="0" w:lineRule="atLeast"/>
                    <w:jc w:val="center"/>
                    <w:rPr>
                      <w:rFonts w:hAnsi="宋体"/>
                      <w:color w:val="auto"/>
                      <w:kern w:val="0"/>
                    </w:rPr>
                  </w:pPr>
                  <w:r>
                    <w:rPr>
                      <w:rFonts w:hAnsi="宋体"/>
                      <w:color w:val="auto"/>
                      <w:kern w:val="0"/>
                    </w:rPr>
                    <w:t>10</w:t>
                  </w:r>
                </w:p>
              </w:tc>
              <w:tc>
                <w:tcPr>
                  <w:tcW w:w="4071" w:type="dxa"/>
                  <w:vAlign w:val="center"/>
                </w:tcPr>
                <w:p w14:paraId="7F82D7EF">
                  <w:pPr>
                    <w:spacing w:line="0" w:lineRule="atLeast"/>
                    <w:jc w:val="center"/>
                    <w:rPr>
                      <w:rFonts w:hAnsi="宋体"/>
                      <w:color w:val="auto"/>
                      <w:kern w:val="0"/>
                    </w:rPr>
                  </w:pPr>
                  <w:r>
                    <w:rPr>
                      <w:rFonts w:hAnsi="宋体"/>
                      <w:color w:val="auto"/>
                      <w:kern w:val="0"/>
                    </w:rPr>
                    <w:t>推动区域污染物排放深度减排和内部挖潜，腾出的排放指标优先用于优质重大项目建设。指导排污权交易，拓宽重大项目排放指标来源。</w:t>
                  </w:r>
                </w:p>
              </w:tc>
              <w:tc>
                <w:tcPr>
                  <w:tcW w:w="2332" w:type="dxa"/>
                  <w:vMerge w:val="continue"/>
                  <w:vAlign w:val="center"/>
                </w:tcPr>
                <w:p w14:paraId="2B03D792">
                  <w:pPr>
                    <w:spacing w:line="0" w:lineRule="atLeast"/>
                    <w:jc w:val="center"/>
                    <w:rPr>
                      <w:rFonts w:hAnsi="宋体"/>
                      <w:color w:val="auto"/>
                      <w:kern w:val="0"/>
                    </w:rPr>
                  </w:pPr>
                </w:p>
              </w:tc>
              <w:tc>
                <w:tcPr>
                  <w:tcW w:w="691" w:type="dxa"/>
                  <w:vMerge w:val="continue"/>
                  <w:vAlign w:val="center"/>
                </w:tcPr>
                <w:p w14:paraId="26434B35">
                  <w:pPr>
                    <w:spacing w:line="0" w:lineRule="atLeast"/>
                    <w:jc w:val="center"/>
                    <w:rPr>
                      <w:rFonts w:hAnsi="宋体"/>
                      <w:color w:val="auto"/>
                      <w:kern w:val="0"/>
                    </w:rPr>
                  </w:pPr>
                </w:p>
              </w:tc>
            </w:tr>
            <w:tr w14:paraId="06DB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224C420A">
                  <w:pPr>
                    <w:spacing w:line="0" w:lineRule="atLeast"/>
                    <w:jc w:val="center"/>
                    <w:rPr>
                      <w:rFonts w:hAnsi="宋体"/>
                      <w:color w:val="auto"/>
                      <w:kern w:val="0"/>
                    </w:rPr>
                  </w:pPr>
                  <w:r>
                    <w:rPr>
                      <w:rFonts w:hAnsi="宋体"/>
                      <w:color w:val="auto"/>
                      <w:kern w:val="0"/>
                    </w:rPr>
                    <w:t>11</w:t>
                  </w:r>
                </w:p>
              </w:tc>
              <w:tc>
                <w:tcPr>
                  <w:tcW w:w="4071" w:type="dxa"/>
                  <w:vAlign w:val="center"/>
                </w:tcPr>
                <w:p w14:paraId="7FC8D726">
                  <w:pPr>
                    <w:spacing w:line="0" w:lineRule="atLeast"/>
                    <w:jc w:val="center"/>
                    <w:rPr>
                      <w:rFonts w:hAnsi="宋体"/>
                      <w:color w:val="auto"/>
                      <w:kern w:val="0"/>
                    </w:rPr>
                  </w:pPr>
                  <w:r>
                    <w:rPr>
                      <w:rFonts w:hAnsi="宋体"/>
                      <w:color w:val="auto"/>
                      <w:kern w:val="0"/>
                    </w:rPr>
                    <w:t>经论证确实无法避让国家级生态保护红线的重大项目，应依法履行相关程序，且采取无害化的方式，强化减缓生态环境影响和补偿措施。</w:t>
                  </w:r>
                </w:p>
              </w:tc>
              <w:tc>
                <w:tcPr>
                  <w:tcW w:w="2332" w:type="dxa"/>
                  <w:vMerge w:val="continue"/>
                  <w:vAlign w:val="center"/>
                </w:tcPr>
                <w:p w14:paraId="2FC27493">
                  <w:pPr>
                    <w:spacing w:line="0" w:lineRule="atLeast"/>
                    <w:jc w:val="center"/>
                    <w:rPr>
                      <w:rFonts w:hAnsi="宋体"/>
                      <w:color w:val="auto"/>
                      <w:kern w:val="0"/>
                    </w:rPr>
                  </w:pPr>
                </w:p>
              </w:tc>
              <w:tc>
                <w:tcPr>
                  <w:tcW w:w="691" w:type="dxa"/>
                  <w:vMerge w:val="continue"/>
                  <w:vAlign w:val="center"/>
                </w:tcPr>
                <w:p w14:paraId="15AF012A">
                  <w:pPr>
                    <w:spacing w:line="0" w:lineRule="atLeast"/>
                    <w:jc w:val="center"/>
                    <w:rPr>
                      <w:rFonts w:hAnsi="宋体"/>
                      <w:color w:val="auto"/>
                      <w:kern w:val="0"/>
                    </w:rPr>
                  </w:pPr>
                </w:p>
              </w:tc>
            </w:tr>
            <w:tr w14:paraId="3842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vAlign w:val="center"/>
                </w:tcPr>
                <w:p w14:paraId="5EAD4AD3">
                  <w:pPr>
                    <w:spacing w:line="0" w:lineRule="atLeast"/>
                    <w:jc w:val="center"/>
                    <w:rPr>
                      <w:rFonts w:hAnsi="宋体"/>
                      <w:color w:val="auto"/>
                      <w:kern w:val="0"/>
                    </w:rPr>
                  </w:pPr>
                  <w:r>
                    <w:rPr>
                      <w:rFonts w:hAnsi="宋体"/>
                      <w:color w:val="auto"/>
                      <w:kern w:val="0"/>
                    </w:rPr>
                    <w:t>12</w:t>
                  </w:r>
                </w:p>
              </w:tc>
              <w:tc>
                <w:tcPr>
                  <w:tcW w:w="4071" w:type="dxa"/>
                  <w:vAlign w:val="center"/>
                </w:tcPr>
                <w:p w14:paraId="204B901D">
                  <w:pPr>
                    <w:spacing w:line="0" w:lineRule="atLeast"/>
                    <w:jc w:val="center"/>
                    <w:rPr>
                      <w:rFonts w:hAnsi="宋体"/>
                      <w:color w:val="auto"/>
                      <w:kern w:val="0"/>
                    </w:rPr>
                  </w:pPr>
                  <w:r>
                    <w:rPr>
                      <w:rFonts w:hAnsi="宋体"/>
                      <w:color w:val="auto"/>
                      <w:kern w:val="0"/>
                    </w:rPr>
                    <w:t>纳入生态环境部“正面清单”中环评豁免范围的建设项目，全部实行环评豁免，无须办理环评手续。</w:t>
                  </w:r>
                </w:p>
              </w:tc>
              <w:tc>
                <w:tcPr>
                  <w:tcW w:w="2332" w:type="dxa"/>
                  <w:vMerge w:val="continue"/>
                  <w:vAlign w:val="center"/>
                </w:tcPr>
                <w:p w14:paraId="52F265C8">
                  <w:pPr>
                    <w:spacing w:line="0" w:lineRule="atLeast"/>
                    <w:jc w:val="center"/>
                    <w:rPr>
                      <w:rFonts w:hAnsi="宋体"/>
                      <w:color w:val="auto"/>
                      <w:kern w:val="0"/>
                    </w:rPr>
                  </w:pPr>
                </w:p>
              </w:tc>
              <w:tc>
                <w:tcPr>
                  <w:tcW w:w="691" w:type="dxa"/>
                  <w:vMerge w:val="continue"/>
                  <w:vAlign w:val="center"/>
                </w:tcPr>
                <w:p w14:paraId="43A369F9">
                  <w:pPr>
                    <w:spacing w:line="0" w:lineRule="atLeast"/>
                    <w:jc w:val="center"/>
                    <w:rPr>
                      <w:rFonts w:hAnsi="宋体"/>
                      <w:color w:val="auto"/>
                      <w:kern w:val="0"/>
                    </w:rPr>
                  </w:pPr>
                </w:p>
              </w:tc>
            </w:tr>
            <w:tr w14:paraId="786A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14:paraId="67BC0F02">
                  <w:pPr>
                    <w:spacing w:line="0" w:lineRule="atLeast"/>
                    <w:jc w:val="center"/>
                    <w:rPr>
                      <w:rFonts w:hAnsi="宋体"/>
                      <w:color w:val="auto"/>
                      <w:kern w:val="0"/>
                    </w:rPr>
                  </w:pPr>
                  <w:r>
                    <w:rPr>
                      <w:rFonts w:hAnsi="宋体"/>
                      <w:color w:val="auto"/>
                      <w:kern w:val="0"/>
                    </w:rPr>
                    <w:t>13</w:t>
                  </w:r>
                </w:p>
              </w:tc>
              <w:tc>
                <w:tcPr>
                  <w:tcW w:w="4071" w:type="dxa"/>
                  <w:shd w:val="clear" w:color="auto" w:fill="auto"/>
                  <w:vAlign w:val="center"/>
                </w:tcPr>
                <w:p w14:paraId="3325A840">
                  <w:pPr>
                    <w:spacing w:line="0" w:lineRule="atLeast"/>
                    <w:jc w:val="center"/>
                    <w:rPr>
                      <w:rFonts w:hAnsi="宋体"/>
                      <w:color w:val="auto"/>
                      <w:kern w:val="0"/>
                    </w:rPr>
                  </w:pPr>
                  <w:r>
                    <w:rPr>
                      <w:rFonts w:hAnsi="宋体"/>
                      <w:color w:val="auto"/>
                      <w:kern w:val="0"/>
                    </w:rPr>
                    <w:t>纳入《江苏省建设项目环评告知承诺制审批改革试点工作实施方案》(苏环办</w:t>
                  </w:r>
                  <w:r>
                    <w:rPr>
                      <w:rFonts w:hint="eastAsia" w:hAnsi="宋体"/>
                      <w:color w:val="auto"/>
                      <w:kern w:val="0"/>
                    </w:rPr>
                    <w:t>〔</w:t>
                  </w:r>
                  <w:r>
                    <w:rPr>
                      <w:rFonts w:hAnsi="宋体"/>
                      <w:color w:val="auto"/>
                      <w:kern w:val="0"/>
                    </w:rPr>
                    <w:t>2020</w:t>
                  </w:r>
                  <w:r>
                    <w:rPr>
                      <w:rFonts w:hint="eastAsia" w:hAnsi="宋体"/>
                      <w:color w:val="auto"/>
                      <w:kern w:val="0"/>
                    </w:rPr>
                    <w:t>〕</w:t>
                  </w:r>
                  <w:r>
                    <w:rPr>
                      <w:rFonts w:hAnsi="宋体"/>
                      <w:color w:val="auto"/>
                      <w:kern w:val="0"/>
                    </w:rPr>
                    <w:t>155号)的建设项目，原则上实行环评告知承诺制审批。但对于穿(跨)越或涉及国家级生态保护红线和省生态空间管控区域的、未取得主要污染物排放总量指标的、年产生危险废物100吨以上的建设项目，不适用告知承诺制。</w:t>
                  </w:r>
                </w:p>
              </w:tc>
              <w:tc>
                <w:tcPr>
                  <w:tcW w:w="2332" w:type="dxa"/>
                  <w:vMerge w:val="restart"/>
                  <w:shd w:val="clear" w:color="auto" w:fill="auto"/>
                  <w:vAlign w:val="center"/>
                </w:tcPr>
                <w:p w14:paraId="184D7FD4">
                  <w:pPr>
                    <w:spacing w:line="0" w:lineRule="atLeast"/>
                    <w:jc w:val="center"/>
                    <w:rPr>
                      <w:rFonts w:hAnsi="宋体"/>
                      <w:color w:val="auto"/>
                      <w:kern w:val="0"/>
                    </w:rPr>
                  </w:pPr>
                  <w:r>
                    <w:rPr>
                      <w:rFonts w:hAnsi="宋体"/>
                      <w:color w:val="auto"/>
                      <w:kern w:val="0"/>
                    </w:rPr>
                    <w:t>项目</w:t>
                  </w:r>
                  <w:r>
                    <w:rPr>
                      <w:rFonts w:hint="eastAsia" w:hAnsi="宋体"/>
                      <w:color w:val="auto"/>
                      <w:kern w:val="0"/>
                    </w:rPr>
                    <w:t>不</w:t>
                  </w:r>
                  <w:r>
                    <w:rPr>
                      <w:rFonts w:hAnsi="宋体"/>
                      <w:color w:val="auto"/>
                      <w:kern w:val="0"/>
                    </w:rPr>
                    <w:t>在告知承诺制范围内，</w:t>
                  </w:r>
                  <w:r>
                    <w:rPr>
                      <w:rFonts w:hint="eastAsia" w:hAnsi="宋体"/>
                      <w:color w:val="auto"/>
                      <w:kern w:val="0"/>
                    </w:rPr>
                    <w:t>不</w:t>
                  </w:r>
                  <w:r>
                    <w:rPr>
                      <w:rFonts w:hAnsi="宋体"/>
                      <w:color w:val="auto"/>
                      <w:kern w:val="0"/>
                    </w:rPr>
                    <w:t>适用告知承诺制。</w:t>
                  </w:r>
                </w:p>
              </w:tc>
              <w:tc>
                <w:tcPr>
                  <w:tcW w:w="691" w:type="dxa"/>
                  <w:vMerge w:val="restart"/>
                  <w:shd w:val="clear" w:color="auto" w:fill="auto"/>
                  <w:vAlign w:val="center"/>
                </w:tcPr>
                <w:p w14:paraId="0F9B401C">
                  <w:pPr>
                    <w:spacing w:line="0" w:lineRule="atLeast"/>
                    <w:jc w:val="center"/>
                    <w:rPr>
                      <w:rFonts w:hAnsi="宋体"/>
                      <w:color w:val="auto"/>
                      <w:kern w:val="0"/>
                    </w:rPr>
                  </w:pPr>
                  <w:r>
                    <w:rPr>
                      <w:rFonts w:hAnsi="宋体"/>
                      <w:color w:val="auto"/>
                      <w:kern w:val="0"/>
                      <w:lang w:val="zh-CN"/>
                    </w:rPr>
                    <w:t>相符</w:t>
                  </w:r>
                </w:p>
              </w:tc>
            </w:tr>
            <w:tr w14:paraId="0DA3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14:paraId="6D84CA9E">
                  <w:pPr>
                    <w:spacing w:line="0" w:lineRule="atLeast"/>
                    <w:jc w:val="center"/>
                    <w:rPr>
                      <w:rFonts w:hAnsi="宋体"/>
                      <w:color w:val="auto"/>
                      <w:kern w:val="0"/>
                    </w:rPr>
                  </w:pPr>
                  <w:r>
                    <w:rPr>
                      <w:rFonts w:hAnsi="宋体"/>
                      <w:color w:val="auto"/>
                      <w:kern w:val="0"/>
                    </w:rPr>
                    <w:t>14</w:t>
                  </w:r>
                </w:p>
              </w:tc>
              <w:tc>
                <w:tcPr>
                  <w:tcW w:w="4071" w:type="dxa"/>
                  <w:shd w:val="clear" w:color="auto" w:fill="auto"/>
                  <w:vAlign w:val="center"/>
                </w:tcPr>
                <w:p w14:paraId="08FE07E4">
                  <w:pPr>
                    <w:spacing w:line="0" w:lineRule="atLeast"/>
                    <w:jc w:val="center"/>
                    <w:rPr>
                      <w:rFonts w:hAnsi="宋体"/>
                      <w:color w:val="auto"/>
                      <w:kern w:val="0"/>
                    </w:rPr>
                  </w:pPr>
                  <w:r>
                    <w:rPr>
                      <w:rFonts w:hAnsi="宋体"/>
                      <w:color w:val="auto"/>
                      <w:kern w:val="0"/>
                    </w:rPr>
                    <w:t>严格执行建设项目环评分级审批管理规定，严禁超越权限审批、违反法定程序或法定条件审批。</w:t>
                  </w:r>
                </w:p>
              </w:tc>
              <w:tc>
                <w:tcPr>
                  <w:tcW w:w="2332" w:type="dxa"/>
                  <w:vMerge w:val="continue"/>
                  <w:shd w:val="clear" w:color="auto" w:fill="auto"/>
                  <w:vAlign w:val="center"/>
                </w:tcPr>
                <w:p w14:paraId="7856E2FD">
                  <w:pPr>
                    <w:spacing w:line="0" w:lineRule="atLeast"/>
                    <w:jc w:val="center"/>
                    <w:rPr>
                      <w:rFonts w:hAnsi="宋体"/>
                      <w:color w:val="auto"/>
                      <w:kern w:val="0"/>
                    </w:rPr>
                  </w:pPr>
                </w:p>
              </w:tc>
              <w:tc>
                <w:tcPr>
                  <w:tcW w:w="691" w:type="dxa"/>
                  <w:vMerge w:val="continue"/>
                  <w:shd w:val="clear" w:color="auto" w:fill="auto"/>
                  <w:vAlign w:val="center"/>
                </w:tcPr>
                <w:p w14:paraId="3B9B8801">
                  <w:pPr>
                    <w:spacing w:line="0" w:lineRule="atLeast"/>
                    <w:jc w:val="center"/>
                    <w:rPr>
                      <w:rFonts w:hAnsi="宋体"/>
                      <w:color w:val="auto"/>
                      <w:kern w:val="0"/>
                    </w:rPr>
                  </w:pPr>
                </w:p>
              </w:tc>
            </w:tr>
            <w:tr w14:paraId="3FDA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14:paraId="321EE609">
                  <w:pPr>
                    <w:spacing w:line="0" w:lineRule="atLeast"/>
                    <w:jc w:val="center"/>
                    <w:rPr>
                      <w:rFonts w:hAnsi="宋体"/>
                      <w:color w:val="auto"/>
                      <w:kern w:val="0"/>
                    </w:rPr>
                  </w:pPr>
                  <w:r>
                    <w:rPr>
                      <w:rFonts w:hAnsi="宋体"/>
                      <w:color w:val="auto"/>
                      <w:kern w:val="0"/>
                    </w:rPr>
                    <w:t>15</w:t>
                  </w:r>
                </w:p>
              </w:tc>
              <w:tc>
                <w:tcPr>
                  <w:tcW w:w="4071" w:type="dxa"/>
                  <w:shd w:val="clear" w:color="auto" w:fill="auto"/>
                  <w:vAlign w:val="center"/>
                </w:tcPr>
                <w:p w14:paraId="0E04B361">
                  <w:pPr>
                    <w:spacing w:line="0" w:lineRule="atLeast"/>
                    <w:jc w:val="center"/>
                    <w:rPr>
                      <w:rFonts w:hAnsi="宋体"/>
                      <w:color w:val="auto"/>
                      <w:kern w:val="0"/>
                    </w:rPr>
                  </w:pPr>
                  <w:r>
                    <w:rPr>
                      <w:rFonts w:hAnsi="宋体"/>
                      <w:color w:val="auto"/>
                      <w:kern w:val="0"/>
                    </w:rPr>
                    <w:t>建立建设项目环保和安全审批联动机制，互通项目环保和安全信息，特别是涉及危险化学品的建设项目，必要时可会商审查和联合审批，形成监管合力。</w:t>
                  </w:r>
                </w:p>
              </w:tc>
              <w:tc>
                <w:tcPr>
                  <w:tcW w:w="2332" w:type="dxa"/>
                  <w:vMerge w:val="restart"/>
                  <w:shd w:val="clear" w:color="auto" w:fill="auto"/>
                  <w:vAlign w:val="center"/>
                </w:tcPr>
                <w:p w14:paraId="76C89977">
                  <w:pPr>
                    <w:spacing w:line="0" w:lineRule="atLeast"/>
                    <w:jc w:val="center"/>
                    <w:rPr>
                      <w:rFonts w:hAnsi="宋体"/>
                      <w:color w:val="auto"/>
                      <w:kern w:val="0"/>
                    </w:rPr>
                  </w:pPr>
                  <w:r>
                    <w:rPr>
                      <w:rFonts w:hAnsi="宋体"/>
                      <w:color w:val="auto"/>
                      <w:kern w:val="0"/>
                    </w:rPr>
                    <w:t>本项目</w:t>
                  </w:r>
                  <w:r>
                    <w:rPr>
                      <w:rFonts w:hint="eastAsia" w:hAnsi="宋体"/>
                      <w:color w:val="auto"/>
                      <w:kern w:val="0"/>
                    </w:rPr>
                    <w:t>不涉及危险化学品，项目安全三同时报告正在编制</w:t>
                  </w:r>
                  <w:r>
                    <w:rPr>
                      <w:rFonts w:hAnsi="宋体"/>
                      <w:color w:val="auto"/>
                      <w:kern w:val="0"/>
                    </w:rPr>
                    <w:t>；本项目所在区域规划环评已通过审查</w:t>
                  </w:r>
                  <w:r>
                    <w:rPr>
                      <w:rFonts w:hint="eastAsia" w:hAnsi="宋体"/>
                      <w:color w:val="auto"/>
                      <w:kern w:val="0"/>
                    </w:rPr>
                    <w:t>，项目环境风险较小，不属于重大环境风险项目</w:t>
                  </w:r>
                  <w:r>
                    <w:rPr>
                      <w:rFonts w:hAnsi="宋体"/>
                      <w:color w:val="auto"/>
                      <w:kern w:val="0"/>
                    </w:rPr>
                    <w:t>。</w:t>
                  </w:r>
                </w:p>
              </w:tc>
              <w:tc>
                <w:tcPr>
                  <w:tcW w:w="691" w:type="dxa"/>
                  <w:vMerge w:val="restart"/>
                  <w:shd w:val="clear" w:color="auto" w:fill="auto"/>
                  <w:vAlign w:val="center"/>
                </w:tcPr>
                <w:p w14:paraId="5517F8FC">
                  <w:pPr>
                    <w:spacing w:line="0" w:lineRule="atLeast"/>
                    <w:jc w:val="center"/>
                    <w:rPr>
                      <w:rFonts w:hAnsi="宋体"/>
                      <w:color w:val="auto"/>
                      <w:kern w:val="0"/>
                    </w:rPr>
                  </w:pPr>
                  <w:r>
                    <w:rPr>
                      <w:rFonts w:hAnsi="宋体"/>
                      <w:color w:val="auto"/>
                      <w:kern w:val="0"/>
                      <w:lang w:val="zh-CN"/>
                    </w:rPr>
                    <w:t>相符</w:t>
                  </w:r>
                </w:p>
              </w:tc>
            </w:tr>
            <w:tr w14:paraId="3C21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14:paraId="6BB884EB">
                  <w:pPr>
                    <w:spacing w:line="0" w:lineRule="atLeast"/>
                    <w:jc w:val="center"/>
                    <w:rPr>
                      <w:rFonts w:hAnsi="宋体"/>
                      <w:color w:val="auto"/>
                      <w:kern w:val="0"/>
                    </w:rPr>
                  </w:pPr>
                  <w:r>
                    <w:rPr>
                      <w:rFonts w:hAnsi="宋体"/>
                      <w:color w:val="auto"/>
                      <w:kern w:val="0"/>
                    </w:rPr>
                    <w:t>16</w:t>
                  </w:r>
                </w:p>
              </w:tc>
              <w:tc>
                <w:tcPr>
                  <w:tcW w:w="4071" w:type="dxa"/>
                  <w:shd w:val="clear" w:color="auto" w:fill="auto"/>
                  <w:vAlign w:val="center"/>
                </w:tcPr>
                <w:p w14:paraId="6A0CBB81">
                  <w:pPr>
                    <w:spacing w:line="0" w:lineRule="atLeast"/>
                    <w:jc w:val="center"/>
                    <w:rPr>
                      <w:rFonts w:hAnsi="宋体"/>
                      <w:color w:val="auto"/>
                      <w:kern w:val="0"/>
                    </w:rPr>
                  </w:pPr>
                  <w:r>
                    <w:rPr>
                      <w:rFonts w:hAnsi="宋体"/>
                      <w:color w:val="auto"/>
                      <w:kern w:val="0"/>
                    </w:rPr>
                    <w:t>在产业园区(市级及以上)规划环评未通过审查、项目主要污染物排放指标未落实、重大环境风险隐患未消除的情况下，原则上不可先行审批项目环评。</w:t>
                  </w:r>
                </w:p>
              </w:tc>
              <w:tc>
                <w:tcPr>
                  <w:tcW w:w="2332" w:type="dxa"/>
                  <w:vMerge w:val="continue"/>
                  <w:shd w:val="clear" w:color="auto" w:fill="auto"/>
                  <w:vAlign w:val="center"/>
                </w:tcPr>
                <w:p w14:paraId="2271A3AD">
                  <w:pPr>
                    <w:spacing w:line="0" w:lineRule="atLeast"/>
                    <w:jc w:val="center"/>
                    <w:rPr>
                      <w:rFonts w:hAnsi="宋体"/>
                      <w:color w:val="auto"/>
                      <w:kern w:val="0"/>
                    </w:rPr>
                  </w:pPr>
                </w:p>
              </w:tc>
              <w:tc>
                <w:tcPr>
                  <w:tcW w:w="691" w:type="dxa"/>
                  <w:vMerge w:val="continue"/>
                  <w:shd w:val="clear" w:color="auto" w:fill="auto"/>
                  <w:vAlign w:val="center"/>
                </w:tcPr>
                <w:p w14:paraId="31BCCA7F">
                  <w:pPr>
                    <w:spacing w:line="0" w:lineRule="atLeast"/>
                    <w:jc w:val="center"/>
                    <w:rPr>
                      <w:rFonts w:hAnsi="宋体"/>
                      <w:color w:val="auto"/>
                      <w:kern w:val="0"/>
                    </w:rPr>
                  </w:pPr>
                </w:p>
              </w:tc>
            </w:tr>
            <w:tr w14:paraId="59AC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14:paraId="77B9770E">
                  <w:pPr>
                    <w:spacing w:line="0" w:lineRule="atLeast"/>
                    <w:jc w:val="center"/>
                    <w:rPr>
                      <w:rFonts w:hAnsi="宋体"/>
                      <w:color w:val="auto"/>
                      <w:kern w:val="0"/>
                    </w:rPr>
                  </w:pPr>
                  <w:r>
                    <w:rPr>
                      <w:rFonts w:hAnsi="宋体"/>
                      <w:color w:val="auto"/>
                      <w:kern w:val="0"/>
                    </w:rPr>
                    <w:t>17</w:t>
                  </w:r>
                </w:p>
              </w:tc>
              <w:tc>
                <w:tcPr>
                  <w:tcW w:w="4071" w:type="dxa"/>
                  <w:shd w:val="clear" w:color="auto" w:fill="auto"/>
                  <w:vAlign w:val="center"/>
                </w:tcPr>
                <w:p w14:paraId="55E4DA38">
                  <w:pPr>
                    <w:spacing w:line="0" w:lineRule="atLeast"/>
                    <w:jc w:val="center"/>
                    <w:rPr>
                      <w:rFonts w:hAnsi="宋体"/>
                      <w:color w:val="auto"/>
                      <w:kern w:val="0"/>
                    </w:rPr>
                  </w:pPr>
                  <w:r>
                    <w:rPr>
                      <w:rFonts w:hAnsi="宋体"/>
                      <w:color w:val="auto"/>
                      <w:kern w:val="0"/>
                    </w:rPr>
                    <w:t>认真落实环评公众参与有关规定，依规公示项目环评受理、审查、审批等信息，保障公众参与的有效性和真实性。</w:t>
                  </w:r>
                </w:p>
              </w:tc>
              <w:tc>
                <w:tcPr>
                  <w:tcW w:w="2332" w:type="dxa"/>
                  <w:vMerge w:val="continue"/>
                  <w:shd w:val="clear" w:color="auto" w:fill="auto"/>
                  <w:vAlign w:val="center"/>
                </w:tcPr>
                <w:p w14:paraId="6F7F9CC3">
                  <w:pPr>
                    <w:spacing w:line="0" w:lineRule="atLeast"/>
                    <w:jc w:val="center"/>
                    <w:rPr>
                      <w:rFonts w:hAnsi="宋体"/>
                      <w:color w:val="auto"/>
                      <w:kern w:val="0"/>
                    </w:rPr>
                  </w:pPr>
                </w:p>
              </w:tc>
              <w:tc>
                <w:tcPr>
                  <w:tcW w:w="691" w:type="dxa"/>
                  <w:vMerge w:val="continue"/>
                  <w:shd w:val="clear" w:color="auto" w:fill="auto"/>
                  <w:vAlign w:val="center"/>
                </w:tcPr>
                <w:p w14:paraId="2FDD0024">
                  <w:pPr>
                    <w:spacing w:line="0" w:lineRule="atLeast"/>
                    <w:jc w:val="center"/>
                    <w:rPr>
                      <w:rFonts w:hAnsi="宋体"/>
                      <w:color w:val="auto"/>
                      <w:kern w:val="0"/>
                    </w:rPr>
                  </w:pPr>
                </w:p>
              </w:tc>
            </w:tr>
            <w:tr w14:paraId="4550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shd w:val="clear" w:color="auto" w:fill="auto"/>
                  <w:vAlign w:val="center"/>
                </w:tcPr>
                <w:p w14:paraId="4CD692EC">
                  <w:pPr>
                    <w:spacing w:line="0" w:lineRule="atLeast"/>
                    <w:jc w:val="center"/>
                    <w:rPr>
                      <w:rFonts w:hAnsi="宋体"/>
                      <w:color w:val="auto"/>
                      <w:kern w:val="0"/>
                    </w:rPr>
                  </w:pPr>
                  <w:r>
                    <w:rPr>
                      <w:rFonts w:hAnsi="宋体"/>
                      <w:color w:val="auto"/>
                      <w:kern w:val="0"/>
                    </w:rPr>
                    <w:t>18</w:t>
                  </w:r>
                </w:p>
              </w:tc>
              <w:tc>
                <w:tcPr>
                  <w:tcW w:w="4071" w:type="dxa"/>
                  <w:shd w:val="clear" w:color="auto" w:fill="auto"/>
                  <w:vAlign w:val="center"/>
                </w:tcPr>
                <w:p w14:paraId="34F8763D">
                  <w:pPr>
                    <w:spacing w:line="0" w:lineRule="atLeast"/>
                    <w:jc w:val="center"/>
                    <w:rPr>
                      <w:rFonts w:hAnsi="宋体"/>
                      <w:color w:val="auto"/>
                      <w:kern w:val="0"/>
                    </w:rPr>
                  </w:pPr>
                  <w:r>
                    <w:rPr>
                      <w:rFonts w:hAnsi="宋体"/>
                      <w:color w:val="auto"/>
                      <w:kern w:val="0"/>
                    </w:rPr>
                    <w:t>环评审批部门和环境监测监控、执法监督部门应共享建设项目环评信息，强化事中事后监管。</w:t>
                  </w:r>
                </w:p>
              </w:tc>
              <w:tc>
                <w:tcPr>
                  <w:tcW w:w="2332" w:type="dxa"/>
                  <w:vMerge w:val="continue"/>
                  <w:shd w:val="clear" w:color="auto" w:fill="auto"/>
                  <w:vAlign w:val="center"/>
                </w:tcPr>
                <w:p w14:paraId="43CBAE1F">
                  <w:pPr>
                    <w:spacing w:line="0" w:lineRule="atLeast"/>
                    <w:jc w:val="center"/>
                    <w:rPr>
                      <w:rFonts w:hAnsi="宋体"/>
                      <w:color w:val="auto"/>
                      <w:kern w:val="0"/>
                    </w:rPr>
                  </w:pPr>
                </w:p>
              </w:tc>
              <w:tc>
                <w:tcPr>
                  <w:tcW w:w="691" w:type="dxa"/>
                  <w:vMerge w:val="continue"/>
                  <w:shd w:val="clear" w:color="auto" w:fill="auto"/>
                  <w:vAlign w:val="center"/>
                </w:tcPr>
                <w:p w14:paraId="4CCC6511">
                  <w:pPr>
                    <w:spacing w:line="0" w:lineRule="atLeast"/>
                    <w:jc w:val="center"/>
                    <w:rPr>
                      <w:rFonts w:hAnsi="宋体"/>
                      <w:color w:val="auto"/>
                      <w:kern w:val="0"/>
                    </w:rPr>
                  </w:pPr>
                </w:p>
              </w:tc>
            </w:tr>
          </w:tbl>
          <w:p w14:paraId="32BF0271">
            <w:pPr>
              <w:spacing w:line="360" w:lineRule="auto"/>
              <w:ind w:firstLine="480" w:firstLineChars="200"/>
              <w:rPr>
                <w:rFonts w:eastAsia="Times New Roman"/>
                <w:color w:val="auto"/>
                <w:sz w:val="24"/>
                <w:szCs w:val="24"/>
              </w:rPr>
            </w:pPr>
            <w:r>
              <w:rPr>
                <w:rFonts w:hint="eastAsia"/>
                <w:color w:val="auto"/>
                <w:sz w:val="24"/>
                <w:szCs w:val="24"/>
              </w:rPr>
              <w:t>综上</w:t>
            </w:r>
            <w:r>
              <w:rPr>
                <w:rFonts w:eastAsia="Times New Roman"/>
                <w:color w:val="auto"/>
                <w:sz w:val="24"/>
                <w:szCs w:val="24"/>
                <w:lang w:val="zh-CN"/>
              </w:rPr>
              <w:t>，本项目符合</w:t>
            </w:r>
            <w:r>
              <w:rPr>
                <w:rFonts w:hint="eastAsia" w:eastAsia="Times New Roman"/>
                <w:color w:val="auto"/>
                <w:sz w:val="24"/>
                <w:szCs w:val="24"/>
              </w:rPr>
              <w:t>《省生态环境厅关于进一步加强建设项目环评审批和服务工作的指导意见》（苏环办〔</w:t>
            </w:r>
            <w:r>
              <w:rPr>
                <w:rFonts w:eastAsia="Times New Roman"/>
                <w:color w:val="auto"/>
                <w:sz w:val="24"/>
                <w:szCs w:val="24"/>
              </w:rPr>
              <w:t>2020</w:t>
            </w:r>
            <w:r>
              <w:rPr>
                <w:rFonts w:hint="eastAsia" w:eastAsia="Times New Roman"/>
                <w:color w:val="auto"/>
                <w:sz w:val="24"/>
                <w:szCs w:val="24"/>
              </w:rPr>
              <w:t>〕</w:t>
            </w:r>
            <w:r>
              <w:rPr>
                <w:rFonts w:eastAsia="Times New Roman"/>
                <w:color w:val="auto"/>
                <w:sz w:val="24"/>
                <w:szCs w:val="24"/>
              </w:rPr>
              <w:t>225</w:t>
            </w:r>
            <w:r>
              <w:rPr>
                <w:rFonts w:hint="eastAsia" w:eastAsia="Times New Roman"/>
                <w:color w:val="auto"/>
                <w:sz w:val="24"/>
                <w:szCs w:val="24"/>
              </w:rPr>
              <w:t>号）</w:t>
            </w:r>
            <w:r>
              <w:rPr>
                <w:rFonts w:eastAsia="Times New Roman"/>
                <w:color w:val="auto"/>
                <w:sz w:val="24"/>
                <w:szCs w:val="24"/>
                <w:lang w:val="zh-CN"/>
              </w:rPr>
              <w:t>文的规定。</w:t>
            </w:r>
          </w:p>
          <w:p w14:paraId="27A4084B">
            <w:pPr>
              <w:spacing w:line="360" w:lineRule="auto"/>
              <w:ind w:firstLine="480" w:firstLineChars="200"/>
              <w:rPr>
                <w:rFonts w:eastAsia="Times New Roman"/>
                <w:color w:val="auto"/>
                <w:sz w:val="24"/>
                <w:szCs w:val="24"/>
              </w:rPr>
            </w:pPr>
            <w:r>
              <w:rPr>
                <w:rFonts w:hint="eastAsia" w:eastAsia="Times New Roman"/>
                <w:color w:val="auto"/>
                <w:sz w:val="24"/>
                <w:szCs w:val="24"/>
              </w:rPr>
              <w:t>6、污染防治攻坚战相符性分析</w:t>
            </w:r>
          </w:p>
          <w:p w14:paraId="2531C101">
            <w:pPr>
              <w:spacing w:line="360" w:lineRule="auto"/>
              <w:ind w:firstLine="480" w:firstLineChars="200"/>
              <w:rPr>
                <w:rFonts w:eastAsia="Times New Roman"/>
                <w:color w:val="auto"/>
                <w:sz w:val="24"/>
                <w:szCs w:val="24"/>
              </w:rPr>
            </w:pPr>
            <w:r>
              <w:rPr>
                <w:rFonts w:eastAsia="Times New Roman"/>
                <w:color w:val="auto"/>
                <w:sz w:val="24"/>
                <w:szCs w:val="24"/>
              </w:rPr>
              <w:t>①</w:t>
            </w:r>
            <w:r>
              <w:rPr>
                <w:rFonts w:hint="eastAsia" w:eastAsia="Times New Roman"/>
                <w:color w:val="auto"/>
                <w:sz w:val="24"/>
                <w:szCs w:val="24"/>
              </w:rPr>
              <w:t>与《江苏省深入打好净土保卫战实施方案》（苏政办发〔</w:t>
            </w:r>
            <w:r>
              <w:rPr>
                <w:rFonts w:eastAsia="Times New Roman"/>
                <w:color w:val="auto"/>
                <w:sz w:val="24"/>
                <w:szCs w:val="24"/>
              </w:rPr>
              <w:t>2022</w:t>
            </w:r>
            <w:r>
              <w:rPr>
                <w:rFonts w:hint="eastAsia" w:eastAsia="Times New Roman"/>
                <w:color w:val="auto"/>
                <w:sz w:val="24"/>
                <w:szCs w:val="24"/>
              </w:rPr>
              <w:t>〕</w:t>
            </w:r>
            <w:r>
              <w:rPr>
                <w:rFonts w:eastAsia="Times New Roman"/>
                <w:color w:val="auto"/>
                <w:sz w:val="24"/>
                <w:szCs w:val="24"/>
              </w:rPr>
              <w:t>78</w:t>
            </w:r>
            <w:r>
              <w:rPr>
                <w:rFonts w:hint="eastAsia" w:eastAsia="Times New Roman"/>
                <w:color w:val="auto"/>
                <w:sz w:val="24"/>
                <w:szCs w:val="24"/>
              </w:rPr>
              <w:t>号）相符性分析</w:t>
            </w:r>
          </w:p>
          <w:p w14:paraId="665C90E8">
            <w:pPr>
              <w:jc w:val="center"/>
              <w:rPr>
                <w:rFonts w:eastAsia="Times New Roman"/>
                <w:b/>
                <w:bCs/>
                <w:color w:val="auto"/>
                <w:sz w:val="24"/>
                <w:szCs w:val="24"/>
              </w:rPr>
            </w:pPr>
            <w:r>
              <w:rPr>
                <w:rFonts w:hint="eastAsia" w:eastAsia="Times New Roman"/>
                <w:b/>
                <w:bCs/>
                <w:color w:val="auto"/>
                <w:sz w:val="24"/>
                <w:szCs w:val="24"/>
              </w:rPr>
              <w:t>表1-9与苏政办发〔</w:t>
            </w:r>
            <w:r>
              <w:rPr>
                <w:rFonts w:eastAsia="Times New Roman"/>
                <w:b/>
                <w:bCs/>
                <w:color w:val="auto"/>
                <w:sz w:val="24"/>
                <w:szCs w:val="24"/>
              </w:rPr>
              <w:t>2022</w:t>
            </w:r>
            <w:r>
              <w:rPr>
                <w:rFonts w:hint="eastAsia" w:eastAsia="Times New Roman"/>
                <w:b/>
                <w:bCs/>
                <w:color w:val="auto"/>
                <w:sz w:val="24"/>
                <w:szCs w:val="24"/>
              </w:rPr>
              <w:t>〕</w:t>
            </w:r>
            <w:r>
              <w:rPr>
                <w:rFonts w:eastAsia="Times New Roman"/>
                <w:b/>
                <w:bCs/>
                <w:color w:val="auto"/>
                <w:sz w:val="24"/>
                <w:szCs w:val="24"/>
              </w:rPr>
              <w:t>78</w:t>
            </w:r>
            <w:r>
              <w:rPr>
                <w:rFonts w:hint="eastAsia" w:eastAsia="Times New Roman"/>
                <w:b/>
                <w:bCs/>
                <w:color w:val="auto"/>
                <w:sz w:val="24"/>
                <w:szCs w:val="24"/>
              </w:rPr>
              <w:t>号相符性分析</w:t>
            </w:r>
          </w:p>
          <w:tbl>
            <w:tblPr>
              <w:tblStyle w:val="23"/>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2"/>
              <w:gridCol w:w="1911"/>
            </w:tblGrid>
            <w:tr w14:paraId="3807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1" w:type="dxa"/>
                  <w:vAlign w:val="center"/>
                </w:tcPr>
                <w:p w14:paraId="445A83E2">
                  <w:pPr>
                    <w:spacing w:line="0" w:lineRule="atLeast"/>
                    <w:jc w:val="center"/>
                    <w:rPr>
                      <w:b/>
                      <w:bCs/>
                      <w:color w:val="auto"/>
                    </w:rPr>
                  </w:pPr>
                  <w:r>
                    <w:rPr>
                      <w:rFonts w:hint="eastAsia"/>
                      <w:b/>
                      <w:bCs/>
                      <w:color w:val="auto"/>
                    </w:rPr>
                    <w:t>苏政办发〔</w:t>
                  </w:r>
                  <w:r>
                    <w:rPr>
                      <w:b/>
                      <w:bCs/>
                      <w:color w:val="auto"/>
                    </w:rPr>
                    <w:t>2022</w:t>
                  </w:r>
                  <w:r>
                    <w:rPr>
                      <w:rFonts w:hint="eastAsia"/>
                      <w:b/>
                      <w:bCs/>
                      <w:color w:val="auto"/>
                    </w:rPr>
                    <w:t>〕</w:t>
                  </w:r>
                  <w:r>
                    <w:rPr>
                      <w:b/>
                      <w:bCs/>
                      <w:color w:val="auto"/>
                    </w:rPr>
                    <w:t>78</w:t>
                  </w:r>
                  <w:r>
                    <w:rPr>
                      <w:rFonts w:hint="eastAsia"/>
                      <w:b/>
                      <w:bCs/>
                      <w:color w:val="auto"/>
                    </w:rPr>
                    <w:t>号相关要求</w:t>
                  </w:r>
                </w:p>
              </w:tc>
              <w:tc>
                <w:tcPr>
                  <w:tcW w:w="2291" w:type="dxa"/>
                  <w:vAlign w:val="center"/>
                </w:tcPr>
                <w:p w14:paraId="6C994FAF">
                  <w:pPr>
                    <w:spacing w:line="0" w:lineRule="atLeast"/>
                    <w:jc w:val="center"/>
                    <w:rPr>
                      <w:b/>
                      <w:bCs/>
                      <w:color w:val="auto"/>
                    </w:rPr>
                  </w:pPr>
                  <w:r>
                    <w:rPr>
                      <w:rFonts w:hint="eastAsia"/>
                      <w:b/>
                      <w:bCs/>
                      <w:color w:val="auto"/>
                    </w:rPr>
                    <w:t>相符性分析</w:t>
                  </w:r>
                </w:p>
              </w:tc>
            </w:tr>
            <w:tr w14:paraId="7202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1" w:type="dxa"/>
                </w:tcPr>
                <w:p w14:paraId="33F1D9B3">
                  <w:pPr>
                    <w:spacing w:line="0" w:lineRule="atLeast"/>
                    <w:rPr>
                      <w:color w:val="auto"/>
                    </w:rPr>
                  </w:pPr>
                  <w:r>
                    <w:rPr>
                      <w:color w:val="auto"/>
                    </w:rPr>
                    <w:t>加强建设用地土壤污染源头预防</w:t>
                  </w:r>
                </w:p>
                <w:p w14:paraId="21B02DD3">
                  <w:pPr>
                    <w:spacing w:line="0" w:lineRule="atLeast"/>
                    <w:rPr>
                      <w:color w:val="auto"/>
                    </w:rPr>
                  </w:pPr>
                  <w:r>
                    <w:rPr>
                      <w:color w:val="auto"/>
                    </w:rPr>
                    <w:t>严格建设项目</w:t>
                  </w:r>
                  <w:r>
                    <w:rPr>
                      <w:rFonts w:hint="eastAsia"/>
                      <w:color w:val="auto"/>
                    </w:rPr>
                    <w:t>土壤污染源头防控</w:t>
                  </w:r>
                  <w:r>
                    <w:rPr>
                      <w:color w:val="auto"/>
                    </w:rPr>
                    <w:t>。按照《</w:t>
                  </w:r>
                  <w:r>
                    <w:rPr>
                      <w:rFonts w:hint="eastAsia"/>
                      <w:color w:val="auto"/>
                    </w:rPr>
                    <w:t>环境影响评</w:t>
                  </w:r>
                  <w:r>
                    <w:rPr>
                      <w:color w:val="auto"/>
                    </w:rPr>
                    <w:t>价技</w:t>
                  </w:r>
                  <w:r>
                    <w:rPr>
                      <w:rFonts w:hint="eastAsia"/>
                      <w:color w:val="auto"/>
                    </w:rPr>
                    <w:t>术导则</w:t>
                  </w:r>
                  <w:r>
                    <w:rPr>
                      <w:color w:val="auto"/>
                    </w:rPr>
                    <w:t>地下水环境》和《</w:t>
                  </w:r>
                  <w:r>
                    <w:rPr>
                      <w:rFonts w:hint="eastAsia"/>
                      <w:color w:val="auto"/>
                    </w:rPr>
                    <w:t>环境影响评</w:t>
                  </w:r>
                  <w:r>
                    <w:rPr>
                      <w:color w:val="auto"/>
                    </w:rPr>
                    <w:t>价技</w:t>
                  </w:r>
                  <w:r>
                    <w:rPr>
                      <w:rFonts w:hint="eastAsia"/>
                      <w:color w:val="auto"/>
                    </w:rPr>
                    <w:t>术导则土壤</w:t>
                  </w:r>
                  <w:r>
                    <w:rPr>
                      <w:color w:val="auto"/>
                    </w:rPr>
                    <w:t>环境</w:t>
                  </w:r>
                  <w:r>
                    <w:rPr>
                      <w:rFonts w:hint="eastAsia"/>
                      <w:color w:val="auto"/>
                    </w:rPr>
                    <w:t>（试行）</w:t>
                  </w:r>
                  <w:r>
                    <w:rPr>
                      <w:color w:val="auto"/>
                    </w:rPr>
                    <w:t>》要求，依法进行环境影响评价，严格执行新建、改建、扩建项目“三同时”制度,提出并落实防腐蚀、防渗漏、防遗洒等土壤污染防治具体措施。落实法律法规要求，严格重点行业企业布局选址，禁止在居民区和学校、医院、疗养院、养老院等单位周边新建、改建、扩建可能造成土壤污染的建设项目。</w:t>
                  </w:r>
                </w:p>
                <w:p w14:paraId="154F4CE1">
                  <w:pPr>
                    <w:spacing w:line="0" w:lineRule="atLeast"/>
                    <w:rPr>
                      <w:color w:val="auto"/>
                    </w:rPr>
                  </w:pPr>
                  <w:r>
                    <w:rPr>
                      <w:rFonts w:hint="eastAsia"/>
                      <w:color w:val="auto"/>
                    </w:rPr>
                    <w:t>（七）</w:t>
                  </w:r>
                  <w:r>
                    <w:rPr>
                      <w:color w:val="auto"/>
                    </w:rPr>
                    <w:t>推动实施绿色化改请。全面开展清洁生产审该和评价认证,推动能源、钢铁、焦化、建材、有色金属、石化化工、</w:t>
                  </w:r>
                  <w:r>
                    <w:rPr>
                      <w:rFonts w:hint="eastAsia"/>
                      <w:color w:val="auto"/>
                    </w:rPr>
                    <w:t>印染、造纸、化学原料药、电镀、农副食品加工、</w:t>
                  </w:r>
                  <w:r>
                    <w:rPr>
                      <w:color w:val="auto"/>
                    </w:rPr>
                    <w:t>工业涂装、包装印刷等行业“一</w:t>
                  </w:r>
                  <w:r>
                    <w:rPr>
                      <w:rFonts w:hint="eastAsia"/>
                      <w:color w:val="auto"/>
                    </w:rPr>
                    <w:t>行</w:t>
                  </w:r>
                  <w:r>
                    <w:rPr>
                      <w:color w:val="auto"/>
                    </w:rPr>
                    <w:t>一策”绿色转型升级</w:t>
                  </w:r>
                  <w:r>
                    <w:rPr>
                      <w:rFonts w:hint="eastAsia"/>
                      <w:color w:val="auto"/>
                    </w:rPr>
                    <w:t>，</w:t>
                  </w:r>
                  <w:r>
                    <w:rPr>
                      <w:color w:val="auto"/>
                    </w:rPr>
                    <w:t>加快实施节能、节水、节材、减污、降碳等系统性清洁生产改造。</w:t>
                  </w:r>
                </w:p>
              </w:tc>
              <w:tc>
                <w:tcPr>
                  <w:tcW w:w="2291" w:type="dxa"/>
                  <w:vAlign w:val="center"/>
                </w:tcPr>
                <w:p w14:paraId="01A3F88E">
                  <w:pPr>
                    <w:spacing w:line="0" w:lineRule="atLeast"/>
                    <w:rPr>
                      <w:color w:val="auto"/>
                    </w:rPr>
                  </w:pPr>
                  <w:r>
                    <w:rPr>
                      <w:rFonts w:hint="eastAsia"/>
                      <w:color w:val="auto"/>
                    </w:rPr>
                    <w:t>项目厂区地面已硬化，土壤污染途径主要为大气沉降、地表漫流等，采用符合清洁生产的工艺、技术和设备；项目已明确落实防腐蚀、防泄漏、防遗撒等土壤污染防治具体措施，项目周边无</w:t>
                  </w:r>
                  <w:r>
                    <w:rPr>
                      <w:color w:val="auto"/>
                    </w:rPr>
                    <w:t>居民区和学校、医院、疗养院、养老院等</w:t>
                  </w:r>
                </w:p>
              </w:tc>
            </w:tr>
          </w:tbl>
          <w:p w14:paraId="5E6BE0A4">
            <w:pPr>
              <w:spacing w:line="360" w:lineRule="auto"/>
              <w:ind w:firstLine="480" w:firstLineChars="200"/>
              <w:rPr>
                <w:color w:val="auto"/>
                <w:sz w:val="24"/>
                <w:szCs w:val="24"/>
                <w:lang w:val="zh-CN"/>
              </w:rPr>
            </w:pPr>
            <w:r>
              <w:rPr>
                <w:rFonts w:hint="eastAsia"/>
                <w:color w:val="auto"/>
                <w:sz w:val="24"/>
                <w:szCs w:val="24"/>
              </w:rPr>
              <w:t>综上</w:t>
            </w:r>
            <w:r>
              <w:rPr>
                <w:rFonts w:eastAsia="Times New Roman"/>
                <w:color w:val="auto"/>
                <w:sz w:val="24"/>
                <w:szCs w:val="24"/>
                <w:lang w:val="zh-CN"/>
              </w:rPr>
              <w:t>，本项目符合</w:t>
            </w:r>
            <w:r>
              <w:rPr>
                <w:rFonts w:hint="eastAsia" w:eastAsia="Times New Roman"/>
                <w:color w:val="auto"/>
                <w:sz w:val="24"/>
                <w:szCs w:val="24"/>
              </w:rPr>
              <w:t>《江苏省深入打好净土保卫战实施方案》（苏政办发〔</w:t>
            </w:r>
            <w:r>
              <w:rPr>
                <w:rFonts w:eastAsia="Times New Roman"/>
                <w:color w:val="auto"/>
                <w:sz w:val="24"/>
                <w:szCs w:val="24"/>
              </w:rPr>
              <w:t>2022</w:t>
            </w:r>
            <w:r>
              <w:rPr>
                <w:rFonts w:hint="eastAsia" w:eastAsia="Times New Roman"/>
                <w:color w:val="auto"/>
                <w:sz w:val="24"/>
                <w:szCs w:val="24"/>
              </w:rPr>
              <w:t>〕</w:t>
            </w:r>
            <w:r>
              <w:rPr>
                <w:rFonts w:eastAsia="Times New Roman"/>
                <w:color w:val="auto"/>
                <w:sz w:val="24"/>
                <w:szCs w:val="24"/>
              </w:rPr>
              <w:t>78</w:t>
            </w:r>
            <w:r>
              <w:rPr>
                <w:rFonts w:hint="eastAsia" w:eastAsia="Times New Roman"/>
                <w:color w:val="auto"/>
                <w:sz w:val="24"/>
                <w:szCs w:val="24"/>
              </w:rPr>
              <w:t>号）</w:t>
            </w:r>
            <w:r>
              <w:rPr>
                <w:rFonts w:eastAsia="Times New Roman"/>
                <w:color w:val="auto"/>
                <w:sz w:val="24"/>
                <w:szCs w:val="24"/>
                <w:lang w:val="zh-CN"/>
              </w:rPr>
              <w:t>的规定</w:t>
            </w:r>
            <w:r>
              <w:rPr>
                <w:color w:val="auto"/>
                <w:sz w:val="24"/>
                <w:szCs w:val="24"/>
                <w:lang w:val="zh-CN"/>
              </w:rPr>
              <w:t>。</w:t>
            </w:r>
          </w:p>
          <w:p w14:paraId="5814E125">
            <w:pPr>
              <w:spacing w:line="360" w:lineRule="auto"/>
              <w:ind w:firstLine="480" w:firstLineChars="200"/>
              <w:rPr>
                <w:rFonts w:eastAsia="Times New Roman"/>
                <w:color w:val="auto"/>
                <w:sz w:val="24"/>
                <w:szCs w:val="24"/>
              </w:rPr>
            </w:pPr>
            <w:r>
              <w:rPr>
                <w:rFonts w:eastAsia="Times New Roman"/>
                <w:color w:val="auto"/>
                <w:sz w:val="24"/>
                <w:szCs w:val="24"/>
              </w:rPr>
              <w:t>②</w:t>
            </w:r>
            <w:r>
              <w:rPr>
                <w:rFonts w:hint="eastAsia" w:eastAsia="Times New Roman"/>
                <w:color w:val="auto"/>
                <w:sz w:val="24"/>
                <w:szCs w:val="24"/>
              </w:rPr>
              <w:t>与</w:t>
            </w:r>
            <w:r>
              <w:rPr>
                <w:rFonts w:eastAsia="Times New Roman"/>
                <w:color w:val="auto"/>
                <w:sz w:val="24"/>
                <w:szCs w:val="24"/>
              </w:rPr>
              <w:t>《江苏省空气质量持续改善行动计划实施方案》</w:t>
            </w:r>
            <w:r>
              <w:rPr>
                <w:rFonts w:hint="eastAsia" w:eastAsia="Times New Roman"/>
                <w:color w:val="auto"/>
                <w:sz w:val="24"/>
                <w:szCs w:val="24"/>
              </w:rPr>
              <w:t>（</w:t>
            </w:r>
            <w:r>
              <w:rPr>
                <w:rFonts w:eastAsia="Times New Roman"/>
                <w:color w:val="auto"/>
                <w:sz w:val="24"/>
                <w:szCs w:val="24"/>
              </w:rPr>
              <w:t>苏政发</w:t>
            </w:r>
            <w:r>
              <w:rPr>
                <w:rFonts w:hint="eastAsia" w:eastAsia="Times New Roman"/>
                <w:color w:val="auto"/>
                <w:sz w:val="24"/>
                <w:szCs w:val="24"/>
              </w:rPr>
              <w:t>〔</w:t>
            </w:r>
            <w:r>
              <w:rPr>
                <w:rFonts w:eastAsia="Times New Roman"/>
                <w:color w:val="auto"/>
                <w:sz w:val="24"/>
                <w:szCs w:val="24"/>
              </w:rPr>
              <w:t>2024</w:t>
            </w:r>
            <w:r>
              <w:rPr>
                <w:rFonts w:hint="eastAsia" w:eastAsia="Times New Roman"/>
                <w:color w:val="auto"/>
                <w:sz w:val="24"/>
                <w:szCs w:val="24"/>
              </w:rPr>
              <w:t>〕</w:t>
            </w:r>
            <w:r>
              <w:rPr>
                <w:rFonts w:eastAsia="Times New Roman"/>
                <w:color w:val="auto"/>
                <w:sz w:val="24"/>
                <w:szCs w:val="24"/>
              </w:rPr>
              <w:t>53号</w:t>
            </w:r>
            <w:r>
              <w:rPr>
                <w:rFonts w:hint="eastAsia" w:eastAsia="Times New Roman"/>
                <w:color w:val="auto"/>
                <w:sz w:val="24"/>
                <w:szCs w:val="24"/>
              </w:rPr>
              <w:t>）相符性分析</w:t>
            </w:r>
          </w:p>
          <w:p w14:paraId="767B8D5D">
            <w:pPr>
              <w:spacing w:line="360" w:lineRule="auto"/>
              <w:jc w:val="center"/>
              <w:rPr>
                <w:rFonts w:hint="eastAsia" w:eastAsia="Times New Roman"/>
                <w:b/>
                <w:bCs/>
                <w:color w:val="auto"/>
                <w:sz w:val="24"/>
                <w:szCs w:val="24"/>
              </w:rPr>
            </w:pPr>
          </w:p>
          <w:p w14:paraId="08D965B3">
            <w:pPr>
              <w:spacing w:line="360" w:lineRule="auto"/>
              <w:jc w:val="center"/>
              <w:rPr>
                <w:rFonts w:hint="eastAsia" w:eastAsia="Times New Roman"/>
                <w:b/>
                <w:bCs/>
                <w:color w:val="auto"/>
                <w:sz w:val="24"/>
                <w:szCs w:val="24"/>
              </w:rPr>
            </w:pPr>
          </w:p>
          <w:p w14:paraId="2A2C2060">
            <w:pPr>
              <w:spacing w:line="360" w:lineRule="auto"/>
              <w:jc w:val="center"/>
              <w:rPr>
                <w:rFonts w:eastAsia="Times New Roman"/>
                <w:b/>
                <w:bCs/>
                <w:color w:val="auto"/>
                <w:sz w:val="24"/>
                <w:szCs w:val="24"/>
              </w:rPr>
            </w:pPr>
            <w:r>
              <w:rPr>
                <w:rFonts w:hint="eastAsia" w:eastAsia="Times New Roman"/>
                <w:b/>
                <w:bCs/>
                <w:color w:val="auto"/>
                <w:sz w:val="24"/>
                <w:szCs w:val="24"/>
              </w:rPr>
              <w:t>表1-10与</w:t>
            </w:r>
            <w:r>
              <w:rPr>
                <w:rFonts w:eastAsia="Times New Roman"/>
                <w:b/>
                <w:bCs/>
                <w:color w:val="auto"/>
                <w:sz w:val="24"/>
                <w:szCs w:val="24"/>
              </w:rPr>
              <w:t>苏政发</w:t>
            </w:r>
            <w:r>
              <w:rPr>
                <w:rFonts w:hint="eastAsia" w:eastAsia="Times New Roman"/>
                <w:b/>
                <w:bCs/>
                <w:color w:val="auto"/>
                <w:sz w:val="24"/>
                <w:szCs w:val="24"/>
              </w:rPr>
              <w:t>〔</w:t>
            </w:r>
            <w:r>
              <w:rPr>
                <w:rFonts w:eastAsia="Times New Roman"/>
                <w:b/>
                <w:bCs/>
                <w:color w:val="auto"/>
                <w:sz w:val="24"/>
                <w:szCs w:val="24"/>
              </w:rPr>
              <w:t>2024</w:t>
            </w:r>
            <w:r>
              <w:rPr>
                <w:rFonts w:hint="eastAsia" w:eastAsia="Times New Roman"/>
                <w:b/>
                <w:bCs/>
                <w:color w:val="auto"/>
                <w:sz w:val="24"/>
                <w:szCs w:val="24"/>
              </w:rPr>
              <w:t>〕</w:t>
            </w:r>
            <w:r>
              <w:rPr>
                <w:rFonts w:eastAsia="Times New Roman"/>
                <w:b/>
                <w:bCs/>
                <w:color w:val="auto"/>
                <w:sz w:val="24"/>
                <w:szCs w:val="24"/>
              </w:rPr>
              <w:t>53号</w:t>
            </w:r>
            <w:r>
              <w:rPr>
                <w:rFonts w:hint="eastAsia" w:eastAsia="Times New Roman"/>
                <w:b/>
                <w:bCs/>
                <w:color w:val="auto"/>
                <w:sz w:val="24"/>
                <w:szCs w:val="24"/>
              </w:rPr>
              <w:t>相符性分析</w:t>
            </w:r>
          </w:p>
          <w:tbl>
            <w:tblPr>
              <w:tblStyle w:val="23"/>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1"/>
              <w:gridCol w:w="2922"/>
            </w:tblGrid>
            <w:tr w14:paraId="4017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751" w:type="dxa"/>
                  <w:vAlign w:val="center"/>
                </w:tcPr>
                <w:p w14:paraId="35B3AD81">
                  <w:pPr>
                    <w:spacing w:line="0" w:lineRule="atLeast"/>
                    <w:jc w:val="center"/>
                    <w:rPr>
                      <w:b/>
                      <w:bCs/>
                      <w:color w:val="auto"/>
                    </w:rPr>
                  </w:pPr>
                  <w:r>
                    <w:rPr>
                      <w:b/>
                      <w:bCs/>
                      <w:color w:val="auto"/>
                    </w:rPr>
                    <w:t>苏政发</w:t>
                  </w:r>
                  <w:r>
                    <w:rPr>
                      <w:rFonts w:hint="eastAsia"/>
                      <w:b/>
                      <w:bCs/>
                      <w:color w:val="auto"/>
                    </w:rPr>
                    <w:t>〔</w:t>
                  </w:r>
                  <w:r>
                    <w:rPr>
                      <w:b/>
                      <w:bCs/>
                      <w:color w:val="auto"/>
                    </w:rPr>
                    <w:t>2024</w:t>
                  </w:r>
                  <w:r>
                    <w:rPr>
                      <w:rFonts w:hint="eastAsia"/>
                      <w:b/>
                      <w:bCs/>
                      <w:color w:val="auto"/>
                    </w:rPr>
                    <w:t>〕</w:t>
                  </w:r>
                  <w:r>
                    <w:rPr>
                      <w:b/>
                      <w:bCs/>
                      <w:color w:val="auto"/>
                    </w:rPr>
                    <w:t>53号</w:t>
                  </w:r>
                  <w:r>
                    <w:rPr>
                      <w:rFonts w:hint="eastAsia"/>
                      <w:b/>
                      <w:bCs/>
                      <w:color w:val="auto"/>
                    </w:rPr>
                    <w:t>相关要求</w:t>
                  </w:r>
                </w:p>
              </w:tc>
              <w:tc>
                <w:tcPr>
                  <w:tcW w:w="3531" w:type="dxa"/>
                  <w:vAlign w:val="center"/>
                </w:tcPr>
                <w:p w14:paraId="0E55C4DD">
                  <w:pPr>
                    <w:spacing w:line="0" w:lineRule="atLeast"/>
                    <w:jc w:val="center"/>
                    <w:rPr>
                      <w:b/>
                      <w:bCs/>
                      <w:color w:val="auto"/>
                    </w:rPr>
                  </w:pPr>
                  <w:r>
                    <w:rPr>
                      <w:rFonts w:hint="eastAsia"/>
                      <w:b/>
                      <w:bCs/>
                      <w:color w:val="auto"/>
                    </w:rPr>
                    <w:t>相符性分析</w:t>
                  </w:r>
                </w:p>
              </w:tc>
            </w:tr>
            <w:tr w14:paraId="6A22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1" w:type="dxa"/>
                  <w:vAlign w:val="center"/>
                </w:tcPr>
                <w:p w14:paraId="44CEFAD2">
                  <w:pPr>
                    <w:pStyle w:val="4"/>
                    <w:ind w:firstLine="0" w:firstLineChars="0"/>
                    <w:jc w:val="center"/>
                    <w:rPr>
                      <w:rFonts w:ascii="Times New Roman" w:hAnsi="Times New Roman" w:eastAsia="Times New Roman"/>
                      <w:b/>
                      <w:bCs/>
                      <w:color w:val="auto"/>
                      <w:sz w:val="24"/>
                      <w:szCs w:val="24"/>
                    </w:rPr>
                  </w:pPr>
                  <w:r>
                    <w:rPr>
                      <w:rFonts w:ascii="Times New Roman" w:hAnsi="Times New Roman"/>
                      <w:color w:val="auto"/>
                      <w:sz w:val="21"/>
                    </w:rPr>
                    <w:t>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加快退出重点行业落后产能。落实《产业结构调整指导目录》，逐步退出限制类涉气行业工艺和装备。逐步淘汰步进式烧结机和球团竖炉以及半封闭式硅锰合金、镍铁、高碳铬铁、高碳锰铁电炉。</w:t>
                  </w:r>
                </w:p>
              </w:tc>
              <w:tc>
                <w:tcPr>
                  <w:tcW w:w="3531" w:type="dxa"/>
                  <w:vAlign w:val="center"/>
                </w:tcPr>
                <w:p w14:paraId="29C4135E">
                  <w:pPr>
                    <w:pStyle w:val="58"/>
                    <w:adjustRightInd w:val="0"/>
                    <w:spacing w:line="240" w:lineRule="auto"/>
                    <w:rPr>
                      <w:rFonts w:eastAsia="Times New Roman"/>
                      <w:b/>
                      <w:bCs/>
                      <w:color w:val="auto"/>
                      <w:sz w:val="24"/>
                      <w:szCs w:val="24"/>
                    </w:rPr>
                  </w:pPr>
                  <w:r>
                    <w:rPr>
                      <w:rFonts w:hint="eastAsia" w:eastAsia="宋体"/>
                      <w:color w:val="auto"/>
                    </w:rPr>
                    <w:t>本项目属于C3483弹簧制造行业，不属于</w:t>
                  </w:r>
                  <w:r>
                    <w:rPr>
                      <w:rFonts w:eastAsia="宋体"/>
                      <w:color w:val="auto"/>
                    </w:rPr>
                    <w:t>高耗能、高排放、低水平</w:t>
                  </w:r>
                  <w:r>
                    <w:rPr>
                      <w:rFonts w:hint="eastAsia" w:eastAsia="宋体"/>
                      <w:color w:val="auto"/>
                    </w:rPr>
                    <w:t>、“两高”项目，也不属于</w:t>
                  </w:r>
                  <w:r>
                    <w:rPr>
                      <w:rFonts w:eastAsia="宋体"/>
                      <w:color w:val="auto"/>
                    </w:rPr>
                    <w:t>《产业结构调整指导目录》</w:t>
                  </w:r>
                  <w:r>
                    <w:rPr>
                      <w:rFonts w:hint="eastAsia" w:eastAsia="宋体"/>
                      <w:color w:val="auto"/>
                    </w:rPr>
                    <w:t>中的限制、淘汰类。</w:t>
                  </w:r>
                </w:p>
              </w:tc>
            </w:tr>
            <w:tr w14:paraId="4899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1" w:type="dxa"/>
                  <w:vAlign w:val="center"/>
                </w:tcPr>
                <w:p w14:paraId="29EACF45">
                  <w:pPr>
                    <w:pStyle w:val="4"/>
                    <w:ind w:firstLine="0" w:firstLineChars="0"/>
                    <w:rPr>
                      <w:rFonts w:ascii="Times New Roman" w:hAnsi="Times New Roman" w:eastAsia="Times New Roman"/>
                      <w:b/>
                      <w:bCs/>
                      <w:color w:val="auto"/>
                      <w:sz w:val="24"/>
                      <w:szCs w:val="24"/>
                    </w:rPr>
                  </w:pPr>
                  <w:r>
                    <w:rPr>
                      <w:rFonts w:ascii="Times New Roman" w:hAnsi="Times New Roman"/>
                      <w:color w:val="auto"/>
                      <w:sz w:val="21"/>
                    </w:rPr>
                    <w:t>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3531" w:type="dxa"/>
                  <w:vAlign w:val="center"/>
                </w:tcPr>
                <w:p w14:paraId="7D73E1CA">
                  <w:pPr>
                    <w:jc w:val="center"/>
                    <w:rPr>
                      <w:rFonts w:eastAsia="Times New Roman"/>
                      <w:b/>
                      <w:bCs/>
                      <w:color w:val="auto"/>
                      <w:sz w:val="24"/>
                      <w:szCs w:val="24"/>
                    </w:rPr>
                  </w:pPr>
                  <w:r>
                    <w:rPr>
                      <w:rFonts w:hint="eastAsia"/>
                      <w:color w:val="auto"/>
                    </w:rPr>
                    <w:t>1、</w:t>
                  </w:r>
                  <w:r>
                    <w:rPr>
                      <w:color w:val="auto"/>
                    </w:rPr>
                    <w:t>项目使用</w:t>
                  </w:r>
                  <w:r>
                    <w:rPr>
                      <w:rFonts w:hint="eastAsia"/>
                      <w:color w:val="auto"/>
                    </w:rPr>
                    <w:t>2</w:t>
                  </w:r>
                  <w:r>
                    <w:rPr>
                      <w:color w:val="auto"/>
                    </w:rPr>
                    <w:t>吨</w:t>
                  </w:r>
                  <w:r>
                    <w:rPr>
                      <w:rFonts w:hint="eastAsia"/>
                      <w:color w:val="auto"/>
                    </w:rPr>
                    <w:t>白油</w:t>
                  </w:r>
                  <w:r>
                    <w:rPr>
                      <w:color w:val="auto"/>
                    </w:rPr>
                    <w:t>，</w:t>
                  </w:r>
                  <w:r>
                    <w:rPr>
                      <w:rFonts w:hint="eastAsia"/>
                      <w:color w:val="auto"/>
                    </w:rPr>
                    <w:t>根据其VOC检测报告，VOC含量为774g/L,符合</w:t>
                  </w:r>
                  <w:r>
                    <w:rPr>
                      <w:color w:val="auto"/>
                    </w:rPr>
                    <w:t>GB</w:t>
                  </w:r>
                  <w:r>
                    <w:rPr>
                      <w:rFonts w:hint="eastAsia"/>
                      <w:color w:val="auto"/>
                    </w:rPr>
                    <w:t>38508-2020中表1“有机溶剂清洗剂”900g/L限值要求</w:t>
                  </w:r>
                </w:p>
              </w:tc>
            </w:tr>
          </w:tbl>
          <w:p w14:paraId="691425FE">
            <w:pPr>
              <w:spacing w:line="360" w:lineRule="auto"/>
              <w:ind w:firstLine="420" w:firstLineChars="200"/>
              <w:rPr>
                <w:rFonts w:eastAsia="Times New Roman"/>
                <w:color w:val="auto"/>
                <w:sz w:val="24"/>
                <w:szCs w:val="24"/>
              </w:rPr>
            </w:pPr>
            <w:r>
              <w:rPr>
                <w:rFonts w:hint="eastAsia"/>
                <w:color w:val="auto"/>
              </w:rPr>
              <w:t xml:space="preserve">   </w:t>
            </w:r>
            <w:r>
              <w:rPr>
                <w:rFonts w:hint="eastAsia" w:eastAsia="Times New Roman"/>
                <w:color w:val="auto"/>
                <w:sz w:val="24"/>
                <w:szCs w:val="24"/>
              </w:rPr>
              <w:t>7、与挥发性有机物相关文件的相符性分析</w:t>
            </w:r>
          </w:p>
          <w:p w14:paraId="2E6366F9">
            <w:pPr>
              <w:spacing w:line="0" w:lineRule="atLeast"/>
              <w:jc w:val="center"/>
              <w:rPr>
                <w:b/>
                <w:color w:val="auto"/>
                <w:sz w:val="24"/>
              </w:rPr>
            </w:pPr>
            <w:r>
              <w:rPr>
                <w:rFonts w:hint="eastAsia"/>
                <w:b/>
                <w:color w:val="auto"/>
                <w:sz w:val="24"/>
              </w:rPr>
              <w:t>表</w:t>
            </w:r>
            <w:r>
              <w:rPr>
                <w:b/>
                <w:color w:val="auto"/>
                <w:sz w:val="24"/>
              </w:rPr>
              <w:t>1-</w:t>
            </w:r>
            <w:r>
              <w:rPr>
                <w:rFonts w:hint="eastAsia"/>
                <w:b/>
                <w:color w:val="auto"/>
                <w:sz w:val="24"/>
              </w:rPr>
              <w:t>1</w:t>
            </w:r>
            <w:r>
              <w:rPr>
                <w:rFonts w:hint="eastAsia"/>
                <w:b/>
                <w:color w:val="auto"/>
                <w:sz w:val="24"/>
                <w:lang w:val="en-US" w:eastAsia="zh-CN"/>
              </w:rPr>
              <w:t>1</w:t>
            </w:r>
            <w:r>
              <w:rPr>
                <w:b/>
                <w:bCs/>
                <w:color w:val="auto"/>
                <w:sz w:val="24"/>
              </w:rPr>
              <w:t>与</w:t>
            </w:r>
            <w:r>
              <w:rPr>
                <w:rFonts w:hint="eastAsia"/>
                <w:b/>
                <w:bCs/>
                <w:color w:val="auto"/>
                <w:sz w:val="24"/>
              </w:rPr>
              <w:t>挥发性有机物相关文件的</w:t>
            </w:r>
            <w:r>
              <w:rPr>
                <w:b/>
                <w:bCs/>
                <w:color w:val="auto"/>
                <w:sz w:val="24"/>
              </w:rPr>
              <w:t>相符性</w:t>
            </w:r>
            <w:r>
              <w:rPr>
                <w:b/>
                <w:color w:val="auto"/>
                <w:sz w:val="24"/>
              </w:rPr>
              <w:t>分析</w:t>
            </w:r>
          </w:p>
          <w:tbl>
            <w:tblPr>
              <w:tblStyle w:val="22"/>
              <w:tblW w:w="498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386"/>
              <w:gridCol w:w="4023"/>
              <w:gridCol w:w="2245"/>
            </w:tblGrid>
            <w:tr w14:paraId="14066D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410" w:type="dxa"/>
                  <w:gridSpan w:val="2"/>
                  <w:vAlign w:val="center"/>
                </w:tcPr>
                <w:p w14:paraId="54D75001">
                  <w:pPr>
                    <w:spacing w:line="0" w:lineRule="atLeast"/>
                    <w:jc w:val="center"/>
                    <w:rPr>
                      <w:b/>
                      <w:bCs/>
                      <w:color w:val="auto"/>
                    </w:rPr>
                  </w:pPr>
                  <w:r>
                    <w:rPr>
                      <w:b/>
                      <w:bCs/>
                      <w:color w:val="auto"/>
                    </w:rPr>
                    <w:t>《挥发性有机物</w:t>
                  </w:r>
                  <w:r>
                    <w:rPr>
                      <w:rFonts w:hint="eastAsia"/>
                      <w:b/>
                      <w:bCs/>
                      <w:color w:val="auto"/>
                    </w:rPr>
                    <w:t>（</w:t>
                  </w:r>
                  <w:r>
                    <w:rPr>
                      <w:b/>
                      <w:bCs/>
                      <w:color w:val="auto"/>
                    </w:rPr>
                    <w:t>VOCs</w:t>
                  </w:r>
                  <w:r>
                    <w:rPr>
                      <w:rFonts w:hint="eastAsia"/>
                      <w:b/>
                      <w:bCs/>
                      <w:color w:val="auto"/>
                    </w:rPr>
                    <w:t>）</w:t>
                  </w:r>
                  <w:r>
                    <w:rPr>
                      <w:b/>
                      <w:bCs/>
                      <w:color w:val="auto"/>
                    </w:rPr>
                    <w:t>污染防治技术政策》</w:t>
                  </w:r>
                  <w:r>
                    <w:rPr>
                      <w:rFonts w:hint="eastAsia"/>
                      <w:b/>
                      <w:bCs/>
                      <w:color w:val="auto"/>
                    </w:rPr>
                    <w:t>（环境保护部公告2013年第31号）</w:t>
                  </w:r>
                  <w:r>
                    <w:rPr>
                      <w:b/>
                      <w:bCs/>
                      <w:color w:val="auto"/>
                    </w:rPr>
                    <w:t>相关要求</w:t>
                  </w:r>
                </w:p>
              </w:tc>
              <w:tc>
                <w:tcPr>
                  <w:tcW w:w="2245" w:type="dxa"/>
                  <w:vAlign w:val="center"/>
                </w:tcPr>
                <w:p w14:paraId="4CF0157A">
                  <w:pPr>
                    <w:spacing w:line="0" w:lineRule="atLeast"/>
                    <w:jc w:val="center"/>
                    <w:rPr>
                      <w:b/>
                      <w:bCs/>
                      <w:color w:val="auto"/>
                    </w:rPr>
                  </w:pPr>
                  <w:r>
                    <w:rPr>
                      <w:b/>
                      <w:bCs/>
                      <w:color w:val="auto"/>
                    </w:rPr>
                    <w:t>相符性分析</w:t>
                  </w:r>
                </w:p>
              </w:tc>
            </w:tr>
            <w:tr w14:paraId="2051CD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386" w:type="dxa"/>
                  <w:vAlign w:val="center"/>
                </w:tcPr>
                <w:p w14:paraId="71287D54">
                  <w:pPr>
                    <w:autoSpaceDE w:val="0"/>
                    <w:autoSpaceDN w:val="0"/>
                    <w:spacing w:line="0" w:lineRule="atLeast"/>
                    <w:rPr>
                      <w:color w:val="auto"/>
                    </w:rPr>
                  </w:pPr>
                  <w:r>
                    <w:rPr>
                      <w:color w:val="auto"/>
                    </w:rPr>
                    <w:t>三、末端治理与综合利用</w:t>
                  </w:r>
                </w:p>
              </w:tc>
              <w:tc>
                <w:tcPr>
                  <w:tcW w:w="4024" w:type="dxa"/>
                  <w:vAlign w:val="center"/>
                </w:tcPr>
                <w:p w14:paraId="6C5A9D9D">
                  <w:pPr>
                    <w:spacing w:line="0" w:lineRule="atLeast"/>
                    <w:rPr>
                      <w:color w:val="auto"/>
                    </w:rPr>
                  </w:pPr>
                  <w:r>
                    <w:rPr>
                      <w:color w:val="auto"/>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245" w:type="dxa"/>
                  <w:vAlign w:val="center"/>
                </w:tcPr>
                <w:p w14:paraId="3FE40311">
                  <w:pPr>
                    <w:spacing w:line="0" w:lineRule="atLeast"/>
                    <w:rPr>
                      <w:color w:val="auto"/>
                    </w:rPr>
                  </w:pPr>
                  <w:r>
                    <w:rPr>
                      <w:color w:val="auto"/>
                    </w:rPr>
                    <w:t>本项目</w:t>
                  </w:r>
                  <w:r>
                    <w:rPr>
                      <w:rFonts w:hint="eastAsia"/>
                      <w:color w:val="auto"/>
                    </w:rPr>
                    <w:t>从事气弹簧</w:t>
                  </w:r>
                  <w:r>
                    <w:rPr>
                      <w:color w:val="auto"/>
                    </w:rPr>
                    <w:t>的生产，</w:t>
                  </w:r>
                  <w:r>
                    <w:rPr>
                      <w:rFonts w:hint="eastAsia"/>
                      <w:color w:val="auto"/>
                    </w:rPr>
                    <w:t>本项目有机废气采用二级活性炭处理达标后排放，符合要求。</w:t>
                  </w:r>
                </w:p>
              </w:tc>
            </w:tr>
            <w:tr w14:paraId="4F9471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410" w:type="dxa"/>
                  <w:gridSpan w:val="2"/>
                  <w:vAlign w:val="center"/>
                </w:tcPr>
                <w:p w14:paraId="108F2547">
                  <w:pPr>
                    <w:spacing w:line="0" w:lineRule="atLeast"/>
                    <w:jc w:val="center"/>
                    <w:rPr>
                      <w:b/>
                      <w:bCs/>
                      <w:color w:val="auto"/>
                    </w:rPr>
                  </w:pPr>
                  <w:r>
                    <w:rPr>
                      <w:b/>
                      <w:bCs/>
                      <w:color w:val="auto"/>
                    </w:rPr>
                    <w:t>《江苏省大气污染防治条例》相关要求</w:t>
                  </w:r>
                </w:p>
              </w:tc>
              <w:tc>
                <w:tcPr>
                  <w:tcW w:w="2245" w:type="dxa"/>
                  <w:vAlign w:val="center"/>
                </w:tcPr>
                <w:p w14:paraId="0C8F53AF">
                  <w:pPr>
                    <w:spacing w:line="0" w:lineRule="atLeast"/>
                    <w:jc w:val="center"/>
                    <w:rPr>
                      <w:b/>
                      <w:bCs/>
                      <w:color w:val="auto"/>
                    </w:rPr>
                  </w:pPr>
                  <w:r>
                    <w:rPr>
                      <w:b/>
                      <w:bCs/>
                      <w:color w:val="auto"/>
                    </w:rPr>
                    <w:t>相符性分析</w:t>
                  </w:r>
                </w:p>
              </w:tc>
            </w:tr>
            <w:tr w14:paraId="3B0BF2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386" w:type="dxa"/>
                  <w:vAlign w:val="center"/>
                </w:tcPr>
                <w:p w14:paraId="0A6216E7">
                  <w:pPr>
                    <w:spacing w:line="0" w:lineRule="atLeast"/>
                    <w:rPr>
                      <w:color w:val="auto"/>
                    </w:rPr>
                  </w:pPr>
                  <w:r>
                    <w:rPr>
                      <w:color w:val="auto"/>
                    </w:rPr>
                    <w:t>第二节、工业大气污染防治</w:t>
                  </w:r>
                </w:p>
              </w:tc>
              <w:tc>
                <w:tcPr>
                  <w:tcW w:w="4024" w:type="dxa"/>
                  <w:vAlign w:val="center"/>
                </w:tcPr>
                <w:p w14:paraId="46D0B158">
                  <w:pPr>
                    <w:spacing w:line="0" w:lineRule="atLeast"/>
                    <w:rPr>
                      <w:color w:val="auto"/>
                    </w:rPr>
                  </w:pPr>
                  <w:r>
                    <w:rPr>
                      <w:color w:val="auto"/>
                    </w:rPr>
                    <w:t>第三十</w:t>
                  </w:r>
                  <w:r>
                    <w:rPr>
                      <w:rFonts w:hint="eastAsia"/>
                      <w:color w:val="auto"/>
                    </w:rPr>
                    <w:t>九</w:t>
                  </w:r>
                  <w:r>
                    <w:rPr>
                      <w:color w:val="auto"/>
                    </w:rPr>
                    <w:t>条：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2245" w:type="dxa"/>
                  <w:vAlign w:val="center"/>
                </w:tcPr>
                <w:p w14:paraId="34EE8A53">
                  <w:pPr>
                    <w:spacing w:line="0" w:lineRule="atLeast"/>
                    <w:jc w:val="center"/>
                    <w:rPr>
                      <w:color w:val="auto"/>
                    </w:rPr>
                  </w:pPr>
                  <w:r>
                    <w:rPr>
                      <w:color w:val="auto"/>
                    </w:rPr>
                    <w:t>本项目</w:t>
                  </w:r>
                  <w:r>
                    <w:rPr>
                      <w:rFonts w:hint="eastAsia"/>
                      <w:color w:val="auto"/>
                    </w:rPr>
                    <w:t>从事气弹簧的生产</w:t>
                  </w:r>
                  <w:r>
                    <w:rPr>
                      <w:color w:val="auto"/>
                    </w:rPr>
                    <w:t>，</w:t>
                  </w:r>
                  <w:r>
                    <w:rPr>
                      <w:rFonts w:hint="eastAsia"/>
                      <w:color w:val="auto"/>
                    </w:rPr>
                    <w:t>清洗废气采用集气罩+软帘收集，收集效率可达90%，废气经二级活性炭装置处理，处理效率可达90%，可有效减轻</w:t>
                  </w:r>
                  <w:r>
                    <w:rPr>
                      <w:color w:val="auto"/>
                    </w:rPr>
                    <w:t>VOCs无组织排放</w:t>
                  </w:r>
                  <w:r>
                    <w:rPr>
                      <w:rFonts w:hint="eastAsia"/>
                      <w:color w:val="auto"/>
                    </w:rPr>
                    <w:t>。</w:t>
                  </w:r>
                </w:p>
              </w:tc>
            </w:tr>
            <w:tr w14:paraId="27626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410" w:type="dxa"/>
                  <w:gridSpan w:val="2"/>
                  <w:vAlign w:val="center"/>
                </w:tcPr>
                <w:p w14:paraId="264EBAAA">
                  <w:pPr>
                    <w:jc w:val="center"/>
                    <w:rPr>
                      <w:b/>
                      <w:bCs/>
                      <w:color w:val="auto"/>
                    </w:rPr>
                  </w:pPr>
                  <w:r>
                    <w:rPr>
                      <w:b/>
                      <w:bCs/>
                      <w:color w:val="auto"/>
                    </w:rPr>
                    <w:t>《挥发性有机物无组织排放控制标准》（GB37822-2019）相关要求</w:t>
                  </w:r>
                </w:p>
              </w:tc>
              <w:tc>
                <w:tcPr>
                  <w:tcW w:w="2245" w:type="dxa"/>
                  <w:vAlign w:val="center"/>
                </w:tcPr>
                <w:p w14:paraId="6218E4C5">
                  <w:pPr>
                    <w:jc w:val="center"/>
                    <w:rPr>
                      <w:b/>
                      <w:bCs/>
                      <w:color w:val="auto"/>
                    </w:rPr>
                  </w:pPr>
                  <w:r>
                    <w:rPr>
                      <w:b/>
                      <w:bCs/>
                      <w:color w:val="auto"/>
                    </w:rPr>
                    <w:t>相符性分析</w:t>
                  </w:r>
                </w:p>
              </w:tc>
            </w:tr>
            <w:tr w14:paraId="026E47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410" w:type="dxa"/>
                  <w:gridSpan w:val="2"/>
                  <w:vAlign w:val="center"/>
                </w:tcPr>
                <w:p w14:paraId="33750783">
                  <w:pPr>
                    <w:rPr>
                      <w:color w:val="auto"/>
                    </w:rPr>
                  </w:pPr>
                  <w:r>
                    <w:rPr>
                      <w:color w:val="auto"/>
                    </w:rPr>
                    <w:t>7.2含VOCs产品的使用过程VOCs质量占比大于等于10%的含VOCs产品，其使用过程应采用密闭设备或在密闭空间内操作，废气应排至VOCs废气收集处理系统；无法密闭的，应采取局部气体收集措施，废气应排至VOCs废气收集处理系统。</w:t>
                  </w:r>
                </w:p>
              </w:tc>
              <w:tc>
                <w:tcPr>
                  <w:tcW w:w="2245" w:type="dxa"/>
                  <w:vAlign w:val="center"/>
                </w:tcPr>
                <w:p w14:paraId="6B70E2FF">
                  <w:pPr>
                    <w:jc w:val="center"/>
                    <w:rPr>
                      <w:color w:val="auto"/>
                    </w:rPr>
                  </w:pPr>
                  <w:r>
                    <w:rPr>
                      <w:color w:val="auto"/>
                    </w:rPr>
                    <w:t>本项目</w:t>
                  </w:r>
                  <w:r>
                    <w:rPr>
                      <w:rFonts w:hint="eastAsia"/>
                      <w:color w:val="auto"/>
                    </w:rPr>
                    <w:t>从事气弹簧的生产</w:t>
                  </w:r>
                  <w:r>
                    <w:rPr>
                      <w:color w:val="auto"/>
                    </w:rPr>
                    <w:t>，</w:t>
                  </w:r>
                  <w:r>
                    <w:rPr>
                      <w:rFonts w:hint="eastAsia"/>
                      <w:color w:val="auto"/>
                    </w:rPr>
                    <w:t>清洗废气采用集气罩+软帘收集，收集效率可达90%，可有效减轻</w:t>
                  </w:r>
                  <w:r>
                    <w:rPr>
                      <w:color w:val="auto"/>
                    </w:rPr>
                    <w:t>VOCs无组织排放</w:t>
                  </w:r>
                </w:p>
              </w:tc>
            </w:tr>
            <w:tr w14:paraId="48A021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410" w:type="dxa"/>
                  <w:gridSpan w:val="2"/>
                  <w:vAlign w:val="center"/>
                </w:tcPr>
                <w:p w14:paraId="141C38EE">
                  <w:pPr>
                    <w:jc w:val="center"/>
                    <w:rPr>
                      <w:color w:val="auto"/>
                    </w:rPr>
                  </w:pPr>
                  <w:r>
                    <w:rPr>
                      <w:rFonts w:hint="eastAsia"/>
                      <w:b/>
                      <w:bCs/>
                      <w:color w:val="auto"/>
                    </w:rPr>
                    <w:t>《省生态环境厅关于深入开展涉VOCs治理重点工作核查的通知》（苏环办〔2022〕218号）</w:t>
                  </w:r>
                </w:p>
              </w:tc>
              <w:tc>
                <w:tcPr>
                  <w:tcW w:w="2245" w:type="dxa"/>
                  <w:vAlign w:val="center"/>
                </w:tcPr>
                <w:p w14:paraId="02B48D23">
                  <w:pPr>
                    <w:jc w:val="center"/>
                    <w:rPr>
                      <w:color w:val="auto"/>
                    </w:rPr>
                  </w:pPr>
                  <w:r>
                    <w:rPr>
                      <w:rFonts w:hint="eastAsia"/>
                      <w:b/>
                      <w:bCs/>
                      <w:color w:val="auto"/>
                    </w:rPr>
                    <w:t>相符性分析</w:t>
                  </w:r>
                </w:p>
              </w:tc>
            </w:tr>
            <w:tr w14:paraId="60459C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410" w:type="dxa"/>
                  <w:gridSpan w:val="2"/>
                  <w:vAlign w:val="center"/>
                </w:tcPr>
                <w:p w14:paraId="317CD53E">
                  <w:pPr>
                    <w:ind w:firstLine="420" w:firstLineChars="200"/>
                    <w:rPr>
                      <w:color w:val="auto"/>
                    </w:rPr>
                  </w:pPr>
                  <w:r>
                    <w:rPr>
                      <w:color w:val="auto"/>
                    </w:rPr>
                    <w:t>涉VOCs排放工序应在密闭空间中操作或采用全密闭集气罩收集，无法密闭采用局部集气罩的，应根据废气排放特点合理选择收集点位，按《排风罩的分类</w:t>
                  </w:r>
                  <w:r>
                    <w:rPr>
                      <w:rFonts w:hint="eastAsia"/>
                      <w:color w:val="auto"/>
                      <w:lang w:val="en-US" w:eastAsia="zh-CN"/>
                    </w:rPr>
                    <w:t>及</w:t>
                  </w:r>
                  <w:r>
                    <w:rPr>
                      <w:color w:val="auto"/>
                    </w:rPr>
                    <w:t>技术条件》（GB/T16758）规定，设置能有效收集废气的集气罩，距集气罩开口面最远处的VOCs无组织排放位置，控制风速不低于0.3米/秒活性炭吸附装置风机应满足依据车间集气罩形状、大小数量及控制风速等测算的风量所需，达不到要求的通过更换大功率风机、增设烟道风机、增加垂帘等方式进行改造</w:t>
                  </w:r>
                </w:p>
              </w:tc>
              <w:tc>
                <w:tcPr>
                  <w:tcW w:w="2245" w:type="dxa"/>
                  <w:vAlign w:val="center"/>
                </w:tcPr>
                <w:p w14:paraId="5D96A927">
                  <w:pPr>
                    <w:jc w:val="center"/>
                    <w:rPr>
                      <w:color w:val="auto"/>
                    </w:rPr>
                  </w:pPr>
                  <w:r>
                    <w:rPr>
                      <w:rFonts w:hint="eastAsia"/>
                      <w:color w:val="auto"/>
                    </w:rPr>
                    <w:t>本项目清洗废气采用集气罩+软帘收集，</w:t>
                  </w:r>
                  <w:r>
                    <w:rPr>
                      <w:color w:val="auto"/>
                    </w:rPr>
                    <w:t>按照控制风速≥0.3m/s要求进行</w:t>
                  </w:r>
                  <w:r>
                    <w:rPr>
                      <w:rFonts w:hint="eastAsia"/>
                      <w:color w:val="auto"/>
                    </w:rPr>
                    <w:t>设计。</w:t>
                  </w:r>
                </w:p>
              </w:tc>
            </w:tr>
            <w:tr w14:paraId="407E03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410" w:type="dxa"/>
                  <w:gridSpan w:val="2"/>
                  <w:vAlign w:val="center"/>
                </w:tcPr>
                <w:p w14:paraId="292980A0">
                  <w:pPr>
                    <w:ind w:firstLine="420" w:firstLineChars="200"/>
                    <w:rPr>
                      <w:color w:val="auto"/>
                    </w:rPr>
                  </w:pPr>
                  <w:r>
                    <w:rPr>
                      <w:color w:val="auto"/>
                    </w:rPr>
                    <w:t>排放风机宜安装在吸附装置后端，使装置形成负压，尽量保证无污染气体泄漏到设备箱罐体外应在活性炭吸附装置进气和出气管道上设置采样口，采样口设置应符合《环境保护产品技术要求工业废气吸附净化装置HJT3862007》的要求，便于日常监测活性炭吸附效率。根据活性炭更换周期及时更换活性炭，更换下来的活性炭按危险废物处理。采用活性炭吸附装置的企业应配备VOCs快速监测设备</w:t>
                  </w:r>
                </w:p>
              </w:tc>
              <w:tc>
                <w:tcPr>
                  <w:tcW w:w="2245" w:type="dxa"/>
                  <w:vAlign w:val="center"/>
                </w:tcPr>
                <w:p w14:paraId="468C4FFC">
                  <w:pPr>
                    <w:jc w:val="center"/>
                    <w:rPr>
                      <w:color w:val="auto"/>
                    </w:rPr>
                  </w:pPr>
                  <w:r>
                    <w:rPr>
                      <w:color w:val="auto"/>
                    </w:rPr>
                    <w:t>本项目风机安装在吸附装置后端，项目建成后将在</w:t>
                  </w:r>
                  <w:r>
                    <w:rPr>
                      <w:rFonts w:hint="eastAsia"/>
                      <w:color w:val="auto"/>
                    </w:rPr>
                    <w:t>废气</w:t>
                  </w:r>
                  <w:r>
                    <w:rPr>
                      <w:color w:val="auto"/>
                    </w:rPr>
                    <w:t>装置进气和出气管道上设置采样口，定期更换活性炭作为危险废物处置</w:t>
                  </w:r>
                  <w:r>
                    <w:rPr>
                      <w:rFonts w:hint="eastAsia"/>
                      <w:color w:val="auto"/>
                    </w:rPr>
                    <w:t>。</w:t>
                  </w:r>
                </w:p>
              </w:tc>
            </w:tr>
            <w:tr w14:paraId="662298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410" w:type="dxa"/>
                  <w:gridSpan w:val="2"/>
                  <w:vAlign w:val="center"/>
                </w:tcPr>
                <w:p w14:paraId="6DA0055A">
                  <w:pPr>
                    <w:ind w:firstLine="420" w:firstLineChars="200"/>
                    <w:rPr>
                      <w:color w:val="auto"/>
                    </w:rPr>
                  </w:pPr>
                  <w:r>
                    <w:rPr>
                      <w:color w:val="auto"/>
                    </w:rPr>
                    <w:t>吸附装置吸附层的气体流速应根据吸附剂的形态确定。采用颗粒活性炭时，气体流速宜低于0.60m/s，装填厚度不得低于0.4m。活性炭应装填齐整，避免气流短路；采用活性炭纤维时，气体流速宜低于0.15m/s；采用蜂窝活性炭时，气体流速宜低于1.20m/s进入吸附设备的废气颗粒物含量和温度应分别低于1mg/m</w:t>
                  </w:r>
                  <w:r>
                    <w:rPr>
                      <w:color w:val="auto"/>
                      <w:vertAlign w:val="superscript"/>
                    </w:rPr>
                    <w:t>3</w:t>
                  </w:r>
                  <w:r>
                    <w:rPr>
                      <w:color w:val="auto"/>
                    </w:rPr>
                    <w:t>和40℃，若颗粒物含量超过1mg/m</w:t>
                  </w:r>
                  <w:r>
                    <w:rPr>
                      <w:color w:val="auto"/>
                      <w:vertAlign w:val="superscript"/>
                    </w:rPr>
                    <w:t>3</w:t>
                  </w:r>
                  <w:r>
                    <w:rPr>
                      <w:color w:val="auto"/>
                    </w:rPr>
                    <w:t>时，应先采用过滤或洗涤等方式进行预处理</w:t>
                  </w:r>
                </w:p>
              </w:tc>
              <w:tc>
                <w:tcPr>
                  <w:tcW w:w="2245" w:type="dxa"/>
                  <w:vAlign w:val="center"/>
                </w:tcPr>
                <w:p w14:paraId="1188FB57">
                  <w:pPr>
                    <w:jc w:val="center"/>
                    <w:rPr>
                      <w:color w:val="auto"/>
                    </w:rPr>
                  </w:pPr>
                  <w:r>
                    <w:rPr>
                      <w:color w:val="auto"/>
                    </w:rPr>
                    <w:t>本项目采用颗粒活性炭的活性炭装置设计气体流速低于0.6m/s，装填厚度不低于0.</w:t>
                  </w:r>
                  <w:r>
                    <w:rPr>
                      <w:rFonts w:hint="eastAsia"/>
                      <w:color w:val="auto"/>
                    </w:rPr>
                    <w:t>4</w:t>
                  </w:r>
                  <w:r>
                    <w:rPr>
                      <w:color w:val="auto"/>
                    </w:rPr>
                    <w:t>m；本项目</w:t>
                  </w:r>
                  <w:r>
                    <w:rPr>
                      <w:rFonts w:hint="eastAsia"/>
                      <w:color w:val="auto"/>
                    </w:rPr>
                    <w:t>仅清洗废气收集进二级活性炭装置，不涉及颗粒物的处理</w:t>
                  </w:r>
                  <w:r>
                    <w:rPr>
                      <w:color w:val="auto"/>
                    </w:rPr>
                    <w:t>；废气温度约为25℃，符合文件要求</w:t>
                  </w:r>
                  <w:r>
                    <w:rPr>
                      <w:rFonts w:hint="eastAsia"/>
                      <w:color w:val="auto"/>
                    </w:rPr>
                    <w:t>。</w:t>
                  </w:r>
                </w:p>
              </w:tc>
            </w:tr>
            <w:tr w14:paraId="287368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410" w:type="dxa"/>
                  <w:gridSpan w:val="2"/>
                  <w:vAlign w:val="center"/>
                </w:tcPr>
                <w:p w14:paraId="6D065784">
                  <w:pPr>
                    <w:ind w:firstLine="420" w:firstLineChars="200"/>
                    <w:rPr>
                      <w:color w:val="auto"/>
                    </w:rPr>
                  </w:pPr>
                  <w:r>
                    <w:rPr>
                      <w:color w:val="auto"/>
                    </w:rPr>
                    <w:t>颗粒活性炭碘吸附值≥800mg/g，比表面积≥850m</w:t>
                  </w:r>
                  <w:r>
                    <w:rPr>
                      <w:color w:val="auto"/>
                      <w:vertAlign w:val="superscript"/>
                    </w:rPr>
                    <w:t>2</w:t>
                  </w:r>
                  <w:r>
                    <w:rPr>
                      <w:color w:val="auto"/>
                    </w:rPr>
                    <w:t>/g；蜂窝活性炭横向抗压强度应不低于0.9MPa，纵向强度应不低于0.4MPa，碘吸附值≥650mg/g，比表面积≥750m</w:t>
                  </w:r>
                  <w:r>
                    <w:rPr>
                      <w:color w:val="auto"/>
                      <w:vertAlign w:val="superscript"/>
                    </w:rPr>
                    <w:t>2</w:t>
                  </w:r>
                  <w:r>
                    <w:rPr>
                      <w:color w:val="auto"/>
                    </w:rPr>
                    <w:t>/g</w:t>
                  </w:r>
                </w:p>
              </w:tc>
              <w:tc>
                <w:tcPr>
                  <w:tcW w:w="2245" w:type="dxa"/>
                  <w:vAlign w:val="center"/>
                </w:tcPr>
                <w:p w14:paraId="237DD136">
                  <w:pPr>
                    <w:jc w:val="center"/>
                    <w:rPr>
                      <w:color w:val="auto"/>
                    </w:rPr>
                  </w:pPr>
                  <w:r>
                    <w:rPr>
                      <w:color w:val="auto"/>
                    </w:rPr>
                    <w:t>本项目采用颗粒活性炭碘吸附值≥800mg/g</w:t>
                  </w:r>
                  <w:r>
                    <w:rPr>
                      <w:rFonts w:hint="eastAsia"/>
                      <w:color w:val="auto"/>
                    </w:rPr>
                    <w:t>。</w:t>
                  </w:r>
                </w:p>
              </w:tc>
            </w:tr>
            <w:tr w14:paraId="6915CA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5410" w:type="dxa"/>
                  <w:gridSpan w:val="2"/>
                  <w:vAlign w:val="center"/>
                </w:tcPr>
                <w:p w14:paraId="46C6C185">
                  <w:pPr>
                    <w:ind w:firstLine="420" w:firstLineChars="200"/>
                    <w:rPr>
                      <w:color w:val="auto"/>
                    </w:rPr>
                  </w:pPr>
                  <w:r>
                    <w:rPr>
                      <w:color w:val="auto"/>
                    </w:rPr>
                    <w:t>采用一次性颗粒状活性炭处理VOCs废气，年活性炭使用量不应低于VOCs产生量的5倍，即1吨VOCs产生量，需5吨活性炭用于吸附。活性炭更换周期一般不应超过累计运行500小时或3个月，更换周期计算按《省生态环境厅关于将排污单位活性炭使用更换纳入排污许可管理的通知》有关要求执行</w:t>
                  </w:r>
                </w:p>
              </w:tc>
              <w:tc>
                <w:tcPr>
                  <w:tcW w:w="2245" w:type="dxa"/>
                  <w:vAlign w:val="center"/>
                </w:tcPr>
                <w:p w14:paraId="22F24D4C">
                  <w:pPr>
                    <w:jc w:val="center"/>
                    <w:rPr>
                      <w:color w:val="auto"/>
                    </w:rPr>
                  </w:pPr>
                  <w:r>
                    <w:rPr>
                      <w:rFonts w:hint="eastAsia"/>
                      <w:color w:val="auto"/>
                    </w:rPr>
                    <w:t>本项目活性炭更换周期为</w:t>
                  </w:r>
                  <w:r>
                    <w:rPr>
                      <w:rFonts w:hint="eastAsia"/>
                      <w:color w:val="auto"/>
                      <w:lang w:val="en-US" w:eastAsia="zh-CN"/>
                    </w:rPr>
                    <w:t>2</w:t>
                  </w:r>
                  <w:r>
                    <w:rPr>
                      <w:rFonts w:hint="eastAsia"/>
                      <w:color w:val="auto"/>
                    </w:rPr>
                    <w:t>月/次。</w:t>
                  </w:r>
                </w:p>
              </w:tc>
            </w:tr>
          </w:tbl>
          <w:p w14:paraId="6B4FAC8E">
            <w:pPr>
              <w:spacing w:line="360" w:lineRule="auto"/>
              <w:ind w:left="630"/>
              <w:rPr>
                <w:rFonts w:eastAsia="Times New Roman"/>
                <w:color w:val="auto"/>
                <w:sz w:val="24"/>
                <w:szCs w:val="24"/>
              </w:rPr>
            </w:pPr>
            <w:r>
              <w:rPr>
                <w:rFonts w:hint="eastAsia" w:eastAsia="Times New Roman"/>
                <w:color w:val="auto"/>
                <w:sz w:val="24"/>
                <w:szCs w:val="24"/>
              </w:rPr>
              <w:t>综上，本项目符合挥发性有机物相关文件的规定。</w:t>
            </w:r>
          </w:p>
          <w:p w14:paraId="341D6246">
            <w:pPr>
              <w:spacing w:line="360" w:lineRule="auto"/>
              <w:ind w:left="630"/>
              <w:rPr>
                <w:rFonts w:eastAsia="Times New Roman"/>
                <w:color w:val="auto"/>
                <w:sz w:val="24"/>
                <w:szCs w:val="24"/>
              </w:rPr>
            </w:pPr>
            <w:r>
              <w:rPr>
                <w:rFonts w:hint="eastAsia" w:eastAsia="Times New Roman"/>
                <w:color w:val="auto"/>
                <w:sz w:val="24"/>
                <w:szCs w:val="24"/>
              </w:rPr>
              <w:t>8、与固体废物相关文件的相符性分析</w:t>
            </w:r>
          </w:p>
          <w:p w14:paraId="7E0BE15F">
            <w:pPr>
              <w:spacing w:line="0" w:lineRule="atLeast"/>
              <w:jc w:val="center"/>
              <w:rPr>
                <w:rFonts w:ascii="仿宋" w:hAnsi="仿宋" w:eastAsia="仿宋" w:cs="仿宋"/>
                <w:b/>
                <w:bCs/>
                <w:color w:val="auto"/>
                <w:kern w:val="0"/>
                <w:sz w:val="18"/>
                <w:szCs w:val="18"/>
                <w:lang w:bidi="ar"/>
              </w:rPr>
            </w:pPr>
            <w:r>
              <w:rPr>
                <w:rFonts w:hint="eastAsia"/>
                <w:b/>
                <w:color w:val="auto"/>
                <w:sz w:val="24"/>
              </w:rPr>
              <w:t>表</w:t>
            </w:r>
            <w:r>
              <w:rPr>
                <w:b/>
                <w:color w:val="auto"/>
                <w:sz w:val="24"/>
              </w:rPr>
              <w:t>1-</w:t>
            </w:r>
            <w:r>
              <w:rPr>
                <w:rFonts w:hint="eastAsia"/>
                <w:b/>
                <w:color w:val="auto"/>
                <w:sz w:val="24"/>
              </w:rPr>
              <w:t>1</w:t>
            </w:r>
            <w:r>
              <w:rPr>
                <w:rFonts w:hint="eastAsia"/>
                <w:b/>
                <w:color w:val="auto"/>
                <w:sz w:val="24"/>
                <w:lang w:val="en-US" w:eastAsia="zh-CN"/>
              </w:rPr>
              <w:t>2</w:t>
            </w:r>
            <w:r>
              <w:rPr>
                <w:b/>
                <w:bCs/>
                <w:color w:val="auto"/>
                <w:sz w:val="24"/>
              </w:rPr>
              <w:t>与</w:t>
            </w:r>
            <w:r>
              <w:rPr>
                <w:rFonts w:hint="eastAsia" w:eastAsia="Times New Roman"/>
                <w:b/>
                <w:bCs/>
                <w:color w:val="auto"/>
                <w:sz w:val="24"/>
                <w:szCs w:val="24"/>
              </w:rPr>
              <w:t>固体废物相关文件</w:t>
            </w:r>
            <w:r>
              <w:rPr>
                <w:rFonts w:hint="eastAsia"/>
                <w:b/>
                <w:bCs/>
                <w:color w:val="auto"/>
                <w:sz w:val="24"/>
              </w:rPr>
              <w:t>的</w:t>
            </w:r>
            <w:r>
              <w:rPr>
                <w:b/>
                <w:bCs/>
                <w:color w:val="auto"/>
                <w:sz w:val="24"/>
              </w:rPr>
              <w:t>相符性</w:t>
            </w:r>
            <w:r>
              <w:rPr>
                <w:b/>
                <w:color w:val="auto"/>
                <w:sz w:val="24"/>
              </w:rPr>
              <w:t>分析</w:t>
            </w:r>
          </w:p>
          <w:tbl>
            <w:tblPr>
              <w:tblStyle w:val="23"/>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5"/>
              <w:gridCol w:w="2478"/>
            </w:tblGrid>
            <w:tr w14:paraId="7676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vAlign w:val="center"/>
                </w:tcPr>
                <w:p w14:paraId="468B54F0">
                  <w:pPr>
                    <w:rPr>
                      <w:color w:val="auto"/>
                      <w:sz w:val="24"/>
                      <w:szCs w:val="24"/>
                    </w:rPr>
                  </w:pPr>
                  <w:r>
                    <w:rPr>
                      <w:rFonts w:hint="eastAsia"/>
                      <w:b/>
                      <w:bCs/>
                      <w:color w:val="auto"/>
                    </w:rPr>
                    <w:t>《省生态环境厅关于印发江苏省危险废物贮存规范化管理专项整治行动方案的通知》（苏环办〔2019〕149号）</w:t>
                  </w:r>
                </w:p>
              </w:tc>
              <w:tc>
                <w:tcPr>
                  <w:tcW w:w="2987" w:type="dxa"/>
                  <w:vAlign w:val="center"/>
                </w:tcPr>
                <w:p w14:paraId="31BA889E">
                  <w:pPr>
                    <w:spacing w:line="360" w:lineRule="auto"/>
                    <w:jc w:val="center"/>
                    <w:rPr>
                      <w:rFonts w:eastAsia="Times New Roman"/>
                      <w:color w:val="auto"/>
                      <w:sz w:val="24"/>
                      <w:szCs w:val="24"/>
                    </w:rPr>
                  </w:pPr>
                  <w:r>
                    <w:rPr>
                      <w:rFonts w:hint="eastAsia"/>
                      <w:b/>
                      <w:bCs/>
                      <w:color w:val="auto"/>
                    </w:rPr>
                    <w:t>相符性分析</w:t>
                  </w:r>
                </w:p>
              </w:tc>
            </w:tr>
            <w:tr w14:paraId="4BDD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vAlign w:val="center"/>
                </w:tcPr>
                <w:p w14:paraId="58D311C3">
                  <w:pPr>
                    <w:rPr>
                      <w:rFonts w:eastAsia="Times New Roman"/>
                      <w:color w:val="auto"/>
                      <w:sz w:val="24"/>
                      <w:szCs w:val="24"/>
                    </w:rPr>
                  </w:pPr>
                  <w:r>
                    <w:rPr>
                      <w:color w:val="auto"/>
                    </w:rPr>
                    <w:t>设置标志牌、包装识别标签和视频监控，配备通讯设备、照明设施和消防设施；在出入口、设施内部、危险废物运输车辆通道等关键位置按照危险废物贮存设施视频监控</w:t>
                  </w:r>
                  <w:r>
                    <w:rPr>
                      <w:rFonts w:hint="eastAsia"/>
                      <w:color w:val="auto"/>
                      <w:lang w:val="en-US" w:eastAsia="zh-CN"/>
                    </w:rPr>
                    <w:t>布置</w:t>
                  </w:r>
                  <w:r>
                    <w:rPr>
                      <w:color w:val="auto"/>
                    </w:rPr>
                    <w:t>要求设置视频监控，并与中控室联网。鼓励有条件的企业采用云存储方式保存视频监控数据。企业应根据危险废物的种类和特性进行分区分类贮存，设置防雨、防火、防雷、防扬散、防渗漏装置及泄漏液体收集装置</w:t>
                  </w:r>
                </w:p>
              </w:tc>
              <w:tc>
                <w:tcPr>
                  <w:tcW w:w="2987" w:type="dxa"/>
                  <w:vAlign w:val="center"/>
                </w:tcPr>
                <w:p w14:paraId="3FCC4766">
                  <w:pPr>
                    <w:rPr>
                      <w:rFonts w:eastAsia="Times New Roman"/>
                      <w:color w:val="auto"/>
                      <w:sz w:val="24"/>
                      <w:szCs w:val="24"/>
                    </w:rPr>
                  </w:pPr>
                  <w:r>
                    <w:rPr>
                      <w:color w:val="auto"/>
                    </w:rPr>
                    <w:t>本项目拟建一处</w:t>
                  </w:r>
                  <w:r>
                    <w:rPr>
                      <w:rFonts w:hint="eastAsia"/>
                      <w:color w:val="auto"/>
                    </w:rPr>
                    <w:t>10</w:t>
                  </w:r>
                  <w:r>
                    <w:rPr>
                      <w:color w:val="auto"/>
                    </w:rPr>
                    <w:t>m</w:t>
                  </w:r>
                  <w:r>
                    <w:rPr>
                      <w:color w:val="auto"/>
                      <w:vertAlign w:val="superscript"/>
                    </w:rPr>
                    <w:t>2</w:t>
                  </w:r>
                  <w:r>
                    <w:rPr>
                      <w:color w:val="auto"/>
                    </w:rPr>
                    <w:t>危废</w:t>
                  </w:r>
                  <w:r>
                    <w:rPr>
                      <w:rFonts w:hint="eastAsia"/>
                      <w:color w:val="auto"/>
                    </w:rPr>
                    <w:t>暂存间</w:t>
                  </w:r>
                  <w:r>
                    <w:rPr>
                      <w:color w:val="auto"/>
                    </w:rPr>
                    <w:t>，</w:t>
                  </w:r>
                  <w:r>
                    <w:rPr>
                      <w:rFonts w:hint="eastAsia"/>
                      <w:color w:val="auto"/>
                    </w:rPr>
                    <w:t>需</w:t>
                  </w:r>
                  <w:r>
                    <w:rPr>
                      <w:color w:val="auto"/>
                    </w:rPr>
                    <w:t>设置标志牌、包装识别标签和视频监控，并配备照明设施和消防设施；在出入口、设施内部等关键位置设置视频监控</w:t>
                  </w:r>
                  <w:r>
                    <w:rPr>
                      <w:rFonts w:hint="eastAsia"/>
                      <w:color w:val="auto"/>
                    </w:rPr>
                    <w:t>；</w:t>
                  </w:r>
                  <w:r>
                    <w:rPr>
                      <w:color w:val="auto"/>
                    </w:rPr>
                    <w:t>设置防雨、防火、防雷、防扬散、防渗漏</w:t>
                  </w:r>
                  <w:r>
                    <w:rPr>
                      <w:rFonts w:hint="eastAsia"/>
                      <w:color w:val="auto"/>
                      <w:lang w:val="en-US" w:eastAsia="zh-CN"/>
                    </w:rPr>
                    <w:t>装置</w:t>
                  </w:r>
                  <w:r>
                    <w:rPr>
                      <w:color w:val="auto"/>
                    </w:rPr>
                    <w:t>。</w:t>
                  </w:r>
                </w:p>
              </w:tc>
            </w:tr>
            <w:tr w14:paraId="3C5E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vAlign w:val="center"/>
                </w:tcPr>
                <w:p w14:paraId="3909C0CF">
                  <w:pPr>
                    <w:jc w:val="center"/>
                    <w:rPr>
                      <w:rFonts w:eastAsia="Times New Roman"/>
                      <w:color w:val="auto"/>
                      <w:sz w:val="24"/>
                      <w:szCs w:val="24"/>
                    </w:rPr>
                  </w:pPr>
                  <w:r>
                    <w:rPr>
                      <w:b/>
                      <w:bCs/>
                      <w:color w:val="auto"/>
                    </w:rPr>
                    <w:t>省生态环境厅关于印发《江苏省固体废物全过程环境监管工作意见》的通知（苏环办〔2024〕16号）</w:t>
                  </w:r>
                </w:p>
              </w:tc>
              <w:tc>
                <w:tcPr>
                  <w:tcW w:w="2987" w:type="dxa"/>
                  <w:vAlign w:val="center"/>
                </w:tcPr>
                <w:p w14:paraId="0A83239F">
                  <w:pPr>
                    <w:jc w:val="center"/>
                    <w:rPr>
                      <w:rFonts w:eastAsia="Times New Roman"/>
                      <w:color w:val="auto"/>
                      <w:sz w:val="24"/>
                      <w:szCs w:val="24"/>
                    </w:rPr>
                  </w:pPr>
                  <w:r>
                    <w:rPr>
                      <w:rFonts w:hint="eastAsia"/>
                      <w:b/>
                      <w:bCs/>
                      <w:color w:val="auto"/>
                    </w:rPr>
                    <w:t>相符性分析</w:t>
                  </w:r>
                </w:p>
              </w:tc>
            </w:tr>
            <w:tr w14:paraId="1346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vAlign w:val="center"/>
                </w:tcPr>
                <w:p w14:paraId="0854671F">
                  <w:pPr>
                    <w:rPr>
                      <w:color w:val="auto"/>
                    </w:rPr>
                  </w:pPr>
                  <w:r>
                    <w:rPr>
                      <w:color w:val="auto"/>
                    </w:rPr>
                    <w:t>1.规范项目环评审批。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GB34330、HJ1091等标准的产物认定为“再生产品”</w:t>
                  </w:r>
                  <w:r>
                    <w:rPr>
                      <w:rFonts w:hint="eastAsia"/>
                      <w:color w:val="auto"/>
                    </w:rPr>
                    <w:t>，</w:t>
                  </w:r>
                  <w:r>
                    <w:rPr>
                      <w:color w:val="auto"/>
                    </w:rPr>
                    <w:t>不得出现“中间产物”“再生产物”等不规范表述，严禁以“副产品”名义逃避监管。不能排除危险特性的固体废物，须在环评文件中明确具体鉴别方案，鉴别前按危险废物管理，鉴别后根据结论按一般固废或危险废物管理。危险废物经营单位项目环评审批要点要与危险废物经营许可审查要求衔接一致。</w:t>
                  </w:r>
                </w:p>
              </w:tc>
              <w:tc>
                <w:tcPr>
                  <w:tcW w:w="2987" w:type="dxa"/>
                  <w:vAlign w:val="center"/>
                </w:tcPr>
                <w:p w14:paraId="0D041DE5">
                  <w:pPr>
                    <w:rPr>
                      <w:color w:val="auto"/>
                    </w:rPr>
                  </w:pPr>
                  <w:r>
                    <w:rPr>
                      <w:color w:val="auto"/>
                    </w:rPr>
                    <w:t>本项目</w:t>
                  </w:r>
                  <w:r>
                    <w:rPr>
                      <w:rFonts w:hint="eastAsia"/>
                      <w:color w:val="auto"/>
                    </w:rPr>
                    <w:t>按照要求分析</w:t>
                  </w:r>
                  <w:r>
                    <w:rPr>
                      <w:color w:val="auto"/>
                    </w:rPr>
                    <w:t>固体废物种类、数量、来源和属性，贮存、转移和利用处置方式合规性、合理性，并且提出切实可行的污染防治对策措施。</w:t>
                  </w:r>
                </w:p>
              </w:tc>
            </w:tr>
            <w:tr w14:paraId="0773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vAlign w:val="center"/>
                </w:tcPr>
                <w:p w14:paraId="41438B6F">
                  <w:pPr>
                    <w:rPr>
                      <w:color w:val="auto"/>
                    </w:rPr>
                  </w:pPr>
                  <w:r>
                    <w:rPr>
                      <w:color w:val="auto"/>
                    </w:rPr>
                    <w:t>2.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c>
                <w:tcPr>
                  <w:tcW w:w="2987" w:type="dxa"/>
                  <w:vAlign w:val="center"/>
                </w:tcPr>
                <w:p w14:paraId="6C611EB2">
                  <w:pPr>
                    <w:rPr>
                      <w:color w:val="auto"/>
                    </w:rPr>
                  </w:pPr>
                  <w:r>
                    <w:rPr>
                      <w:color w:val="auto"/>
                    </w:rPr>
                    <w:t>本项目按要求在排污许可管理系统中全面、准确申报工业固体废物产生种类，以及贮存设施和利用处置等相关情况，并对其真实性负责。实际产生、转移、贮存和利用处置情况对照项目环评发生变动的，根据变动情况及时采取重新报批环评、纳入环境保护竣工验收等手续，并及时变更排污许可。</w:t>
                  </w:r>
                </w:p>
              </w:tc>
            </w:tr>
            <w:tr w14:paraId="2080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5" w:type="dxa"/>
                  <w:vAlign w:val="center"/>
                </w:tcPr>
                <w:p w14:paraId="729DA624">
                  <w:pPr>
                    <w:rPr>
                      <w:color w:val="auto"/>
                    </w:rPr>
                  </w:pPr>
                  <w:r>
                    <w:rPr>
                      <w:color w:val="auto"/>
                    </w:rPr>
                    <w:t>3.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2763-2022)执行。</w:t>
                  </w:r>
                </w:p>
              </w:tc>
              <w:tc>
                <w:tcPr>
                  <w:tcW w:w="2987" w:type="dxa"/>
                  <w:vAlign w:val="center"/>
                </w:tcPr>
                <w:p w14:paraId="2B1D08C1">
                  <w:pPr>
                    <w:rPr>
                      <w:color w:val="auto"/>
                    </w:rPr>
                  </w:pPr>
                  <w:r>
                    <w:rPr>
                      <w:color w:val="auto"/>
                    </w:rPr>
                    <w:t>本项目按照《一般工业固体废物管理台账制定指南(试行)》(生态环境部2021年第82号公告)要求，建立一般工业固废台账，污泥、矿渣等同时还需在固废管理信息系统申报，电子台账已有内容，不再另外制作纸质台账。</w:t>
                  </w:r>
                </w:p>
              </w:tc>
            </w:tr>
          </w:tbl>
          <w:p w14:paraId="531FB03C">
            <w:pPr>
              <w:spacing w:line="360" w:lineRule="auto"/>
              <w:ind w:left="630"/>
              <w:rPr>
                <w:rFonts w:eastAsia="Times New Roman"/>
                <w:color w:val="auto"/>
                <w:sz w:val="24"/>
                <w:szCs w:val="24"/>
              </w:rPr>
            </w:pPr>
            <w:r>
              <w:rPr>
                <w:rFonts w:hint="eastAsia" w:eastAsia="Times New Roman"/>
                <w:color w:val="auto"/>
                <w:sz w:val="24"/>
                <w:szCs w:val="24"/>
              </w:rPr>
              <w:t>综上，本项目符合固体废物相关文件的规定。</w:t>
            </w:r>
          </w:p>
          <w:p w14:paraId="6DD8C9EE">
            <w:pPr>
              <w:spacing w:line="360" w:lineRule="auto"/>
              <w:ind w:firstLine="480" w:firstLineChars="200"/>
              <w:rPr>
                <w:rFonts w:eastAsia="Times New Roman"/>
                <w:color w:val="auto"/>
                <w:sz w:val="24"/>
                <w:szCs w:val="24"/>
              </w:rPr>
            </w:pPr>
            <w:r>
              <w:rPr>
                <w:rFonts w:hint="eastAsia" w:eastAsia="Times New Roman"/>
                <w:color w:val="auto"/>
                <w:sz w:val="24"/>
                <w:szCs w:val="24"/>
              </w:rPr>
              <w:t>9</w:t>
            </w:r>
            <w:r>
              <w:rPr>
                <w:rFonts w:eastAsia="Times New Roman"/>
                <w:color w:val="auto"/>
                <w:sz w:val="24"/>
                <w:szCs w:val="24"/>
              </w:rPr>
              <w:t>、与所属行业相关文件的相符性分析</w:t>
            </w:r>
          </w:p>
          <w:p w14:paraId="420DC16B">
            <w:pPr>
              <w:spacing w:line="360" w:lineRule="auto"/>
              <w:ind w:firstLine="480" w:firstLineChars="200"/>
              <w:rPr>
                <w:rFonts w:eastAsia="Times New Roman"/>
                <w:color w:val="auto"/>
                <w:sz w:val="24"/>
                <w:szCs w:val="24"/>
              </w:rPr>
            </w:pPr>
            <w:r>
              <w:rPr>
                <w:rFonts w:eastAsia="Times New Roman"/>
                <w:color w:val="auto"/>
                <w:sz w:val="24"/>
                <w:szCs w:val="24"/>
              </w:rPr>
              <w:t>①</w:t>
            </w:r>
            <w:r>
              <w:rPr>
                <w:rFonts w:hint="eastAsia" w:eastAsia="Times New Roman"/>
                <w:color w:val="auto"/>
                <w:sz w:val="24"/>
                <w:szCs w:val="24"/>
              </w:rPr>
              <w:t>与《江苏省“两高”项目管理目录（</w:t>
            </w:r>
            <w:r>
              <w:rPr>
                <w:rFonts w:eastAsia="Times New Roman"/>
                <w:color w:val="auto"/>
                <w:sz w:val="24"/>
                <w:szCs w:val="24"/>
              </w:rPr>
              <w:t>2024年版）》（苏发改规发〔2024〕4号）</w:t>
            </w:r>
            <w:r>
              <w:rPr>
                <w:rFonts w:hint="eastAsia" w:eastAsia="Times New Roman"/>
                <w:color w:val="auto"/>
                <w:sz w:val="24"/>
                <w:szCs w:val="24"/>
              </w:rPr>
              <w:t>相符性分析</w:t>
            </w:r>
          </w:p>
          <w:p w14:paraId="7B7C167D">
            <w:pPr>
              <w:spacing w:line="360" w:lineRule="auto"/>
              <w:ind w:firstLine="480" w:firstLineChars="200"/>
              <w:rPr>
                <w:color w:val="auto"/>
                <w:sz w:val="24"/>
                <w:szCs w:val="24"/>
              </w:rPr>
            </w:pPr>
            <w:r>
              <w:rPr>
                <w:rFonts w:ascii="宋体" w:hAnsi="宋体" w:cs="宋体"/>
                <w:color w:val="auto"/>
                <w:sz w:val="24"/>
                <w:szCs w:val="24"/>
              </w:rPr>
              <w:t>对照</w:t>
            </w:r>
            <w:r>
              <w:rPr>
                <w:rFonts w:hint="eastAsia" w:eastAsia="Times New Roman"/>
                <w:color w:val="auto"/>
                <w:sz w:val="24"/>
                <w:szCs w:val="24"/>
              </w:rPr>
              <w:t>《江苏省“两高”项目管理目录（</w:t>
            </w:r>
            <w:r>
              <w:rPr>
                <w:rFonts w:eastAsia="Times New Roman"/>
                <w:color w:val="auto"/>
                <w:sz w:val="24"/>
                <w:szCs w:val="24"/>
              </w:rPr>
              <w:t>2024年版）》（苏发改规发〔2024〕4号）</w:t>
            </w:r>
            <w:r>
              <w:rPr>
                <w:color w:val="auto"/>
                <w:sz w:val="24"/>
                <w:szCs w:val="24"/>
              </w:rPr>
              <w:t>，</w:t>
            </w:r>
            <w:r>
              <w:rPr>
                <w:rFonts w:ascii="宋体" w:hAnsi="宋体" w:cs="宋体"/>
                <w:color w:val="auto"/>
                <w:sz w:val="24"/>
                <w:szCs w:val="24"/>
              </w:rPr>
              <w:t>本项目属于</w:t>
            </w:r>
            <w:r>
              <w:rPr>
                <w:rFonts w:hint="eastAsia"/>
                <w:color w:val="auto"/>
                <w:sz w:val="24"/>
              </w:rPr>
              <w:t>C3483弹簧制造</w:t>
            </w:r>
            <w:r>
              <w:rPr>
                <w:rFonts w:ascii="宋体" w:hAnsi="宋体" w:cs="宋体"/>
                <w:color w:val="auto"/>
                <w:sz w:val="24"/>
                <w:szCs w:val="24"/>
              </w:rPr>
              <w:t>，本项目不涉及锅炉，仅使用电能，不属于高耗能、高排放项目。因此，本项目的建设符合</w:t>
            </w:r>
            <w:r>
              <w:rPr>
                <w:rFonts w:hint="eastAsia" w:eastAsia="Times New Roman"/>
                <w:color w:val="auto"/>
                <w:sz w:val="24"/>
                <w:szCs w:val="24"/>
              </w:rPr>
              <w:t>《江苏省“两高”项目管理目录（</w:t>
            </w:r>
            <w:r>
              <w:rPr>
                <w:rFonts w:eastAsia="Times New Roman"/>
                <w:color w:val="auto"/>
                <w:sz w:val="24"/>
                <w:szCs w:val="24"/>
              </w:rPr>
              <w:t>2024年版）》（苏发改规发〔2024〕4号）</w:t>
            </w:r>
            <w:r>
              <w:rPr>
                <w:rFonts w:hint="eastAsia" w:ascii="宋体" w:hAnsi="宋体" w:cs="宋体"/>
                <w:color w:val="auto"/>
                <w:sz w:val="24"/>
                <w:szCs w:val="24"/>
              </w:rPr>
              <w:t>。</w:t>
            </w:r>
          </w:p>
          <w:p w14:paraId="56972BC2">
            <w:pPr>
              <w:spacing w:line="360" w:lineRule="auto"/>
              <w:ind w:left="630"/>
              <w:rPr>
                <w:b/>
                <w:color w:val="auto"/>
                <w:sz w:val="24"/>
              </w:rPr>
            </w:pPr>
            <w:r>
              <w:rPr>
                <w:rFonts w:hint="eastAsia" w:eastAsia="Times New Roman"/>
                <w:color w:val="auto"/>
                <w:sz w:val="24"/>
                <w:szCs w:val="24"/>
              </w:rPr>
              <w:t>10、其他相关文件的相符性分析</w:t>
            </w:r>
          </w:p>
          <w:p w14:paraId="4F9825F6">
            <w:pPr>
              <w:spacing w:line="0" w:lineRule="atLeast"/>
              <w:jc w:val="center"/>
              <w:rPr>
                <w:rFonts w:hint="eastAsia"/>
                <w:b/>
                <w:color w:val="auto"/>
                <w:sz w:val="24"/>
              </w:rPr>
            </w:pPr>
          </w:p>
          <w:p w14:paraId="06CFE720">
            <w:pPr>
              <w:spacing w:line="0" w:lineRule="atLeast"/>
              <w:jc w:val="center"/>
              <w:rPr>
                <w:rFonts w:eastAsia="Times New Roman"/>
                <w:color w:val="auto"/>
                <w:sz w:val="24"/>
                <w:szCs w:val="24"/>
              </w:rPr>
            </w:pPr>
            <w:r>
              <w:rPr>
                <w:rFonts w:hint="eastAsia"/>
                <w:b/>
                <w:color w:val="auto"/>
                <w:sz w:val="24"/>
              </w:rPr>
              <w:t>表</w:t>
            </w:r>
            <w:r>
              <w:rPr>
                <w:b/>
                <w:color w:val="auto"/>
                <w:sz w:val="24"/>
              </w:rPr>
              <w:t>1-</w:t>
            </w:r>
            <w:r>
              <w:rPr>
                <w:rFonts w:hint="eastAsia"/>
                <w:b/>
                <w:color w:val="auto"/>
                <w:sz w:val="24"/>
              </w:rPr>
              <w:t>1</w:t>
            </w:r>
            <w:r>
              <w:rPr>
                <w:rFonts w:hint="eastAsia"/>
                <w:b/>
                <w:color w:val="auto"/>
                <w:sz w:val="24"/>
                <w:lang w:val="en-US" w:eastAsia="zh-CN"/>
              </w:rPr>
              <w:t>3</w:t>
            </w:r>
            <w:r>
              <w:rPr>
                <w:b/>
                <w:bCs/>
                <w:color w:val="auto"/>
                <w:sz w:val="24"/>
              </w:rPr>
              <w:t>与</w:t>
            </w:r>
            <w:r>
              <w:rPr>
                <w:rFonts w:hint="eastAsia"/>
                <w:b/>
                <w:bCs/>
                <w:color w:val="auto"/>
                <w:sz w:val="24"/>
              </w:rPr>
              <w:t>其他相关文件的</w:t>
            </w:r>
            <w:r>
              <w:rPr>
                <w:b/>
                <w:bCs/>
                <w:color w:val="auto"/>
                <w:sz w:val="24"/>
              </w:rPr>
              <w:t>相符性</w:t>
            </w:r>
            <w:r>
              <w:rPr>
                <w:b/>
                <w:color w:val="auto"/>
                <w:sz w:val="24"/>
              </w:rPr>
              <w:t>分析</w:t>
            </w:r>
          </w:p>
          <w:tbl>
            <w:tblPr>
              <w:tblStyle w:val="23"/>
              <w:tblW w:w="7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2266"/>
            </w:tblGrid>
            <w:tr w14:paraId="04B5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vAlign w:val="center"/>
                </w:tcPr>
                <w:p w14:paraId="44172AA5">
                  <w:pPr>
                    <w:rPr>
                      <w:color w:val="auto"/>
                      <w:sz w:val="24"/>
                    </w:rPr>
                  </w:pPr>
                  <w:r>
                    <w:rPr>
                      <w:rFonts w:hint="eastAsia"/>
                      <w:b/>
                      <w:bCs/>
                      <w:color w:val="auto"/>
                    </w:rPr>
                    <w:t>《关于印发江苏省挥发性有机物清洁原料替代工作方案的通知》（苏大气办〔2021〕2号）、《关于印发常州市挥发性有机物清洁原料替代工作方案的通知》（常污防攻坚指办〔2021〕32号）</w:t>
                  </w:r>
                </w:p>
              </w:tc>
              <w:tc>
                <w:tcPr>
                  <w:tcW w:w="2266" w:type="dxa"/>
                  <w:vAlign w:val="center"/>
                </w:tcPr>
                <w:p w14:paraId="423DA42B">
                  <w:pPr>
                    <w:jc w:val="center"/>
                    <w:rPr>
                      <w:color w:val="auto"/>
                      <w:sz w:val="24"/>
                    </w:rPr>
                  </w:pPr>
                  <w:r>
                    <w:rPr>
                      <w:rFonts w:hint="eastAsia"/>
                      <w:b/>
                      <w:bCs/>
                      <w:color w:val="auto"/>
                    </w:rPr>
                    <w:t>相符性分析</w:t>
                  </w:r>
                </w:p>
              </w:tc>
            </w:tr>
            <w:tr w14:paraId="73D2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7" w:type="dxa"/>
                  <w:vAlign w:val="center"/>
                </w:tcPr>
                <w:p w14:paraId="5F59928D">
                  <w:pPr>
                    <w:ind w:firstLine="420" w:firstLineChars="200"/>
                    <w:rPr>
                      <w:color w:val="auto"/>
                      <w:sz w:val="24"/>
                    </w:rPr>
                  </w:pPr>
                  <w:r>
                    <w:rPr>
                      <w:color w:val="auto"/>
                    </w:rPr>
                    <w:t>（一）明确替代要求。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二）严格准入条件。禁止建设生产和使用高VOCs含量的涂料、油墨、胶黏剂等项目。2021年起，全市工业涂装、包装印刷、纺织、木材加工等行业以及涂料、油墨等生产企业的新（改、扩）建项目需满足低（无）VOCs含量限值要求。全市市场上流通的水性涂料等低挥发性有机物含量涂料产品，执行国家《低挥发性有机化合物含量涂料产品技术要求》（GB/T38597-2020）。</w:t>
                  </w:r>
                </w:p>
              </w:tc>
              <w:tc>
                <w:tcPr>
                  <w:tcW w:w="2266" w:type="dxa"/>
                  <w:vAlign w:val="center"/>
                </w:tcPr>
                <w:p w14:paraId="6C1C32E4">
                  <w:pPr>
                    <w:jc w:val="center"/>
                    <w:rPr>
                      <w:color w:val="auto"/>
                    </w:rPr>
                  </w:pPr>
                  <w:r>
                    <w:rPr>
                      <w:color w:val="auto"/>
                    </w:rPr>
                    <w:t>项目使用</w:t>
                  </w:r>
                  <w:r>
                    <w:rPr>
                      <w:rFonts w:hint="eastAsia"/>
                      <w:color w:val="auto"/>
                    </w:rPr>
                    <w:t>2</w:t>
                  </w:r>
                  <w:r>
                    <w:rPr>
                      <w:color w:val="auto"/>
                    </w:rPr>
                    <w:t>吨</w:t>
                  </w:r>
                  <w:r>
                    <w:rPr>
                      <w:rFonts w:hint="eastAsia"/>
                      <w:color w:val="auto"/>
                    </w:rPr>
                    <w:t>白油</w:t>
                  </w:r>
                  <w:r>
                    <w:rPr>
                      <w:color w:val="auto"/>
                    </w:rPr>
                    <w:t>，</w:t>
                  </w:r>
                  <w:r>
                    <w:rPr>
                      <w:rFonts w:hint="eastAsia"/>
                      <w:color w:val="auto"/>
                    </w:rPr>
                    <w:t>根据其VOC检测报告，VOC含量为774g/L,符合</w:t>
                  </w:r>
                  <w:r>
                    <w:rPr>
                      <w:color w:val="auto"/>
                    </w:rPr>
                    <w:t>GB</w:t>
                  </w:r>
                  <w:r>
                    <w:rPr>
                      <w:rFonts w:hint="eastAsia"/>
                      <w:color w:val="auto"/>
                    </w:rPr>
                    <w:t>38508-2020中表1“有机溶剂清洗剂”900g/L限值要求；</w:t>
                  </w:r>
                  <w:r>
                    <w:rPr>
                      <w:rFonts w:hint="eastAsia"/>
                      <w:color w:val="auto"/>
                      <w:lang w:val="en-US" w:eastAsia="zh-CN"/>
                    </w:rPr>
                    <w:t>本项目</w:t>
                  </w:r>
                  <w:r>
                    <w:rPr>
                      <w:rFonts w:hint="eastAsia"/>
                      <w:color w:val="auto"/>
                    </w:rPr>
                    <w:t>使用</w:t>
                  </w:r>
                  <w:r>
                    <w:rPr>
                      <w:rFonts w:hint="eastAsia"/>
                      <w:color w:val="auto"/>
                      <w:lang w:val="en-US" w:eastAsia="zh-CN"/>
                    </w:rPr>
                    <w:t>白油作为哦清洗剂</w:t>
                  </w:r>
                  <w:r>
                    <w:rPr>
                      <w:rFonts w:hint="eastAsia"/>
                      <w:color w:val="auto"/>
                    </w:rPr>
                    <w:t>经论证后不可替代</w:t>
                  </w:r>
                  <w:r>
                    <w:rPr>
                      <w:rFonts w:hint="eastAsia"/>
                      <w:color w:val="auto"/>
                      <w:lang w:eastAsia="zh-CN"/>
                    </w:rPr>
                    <w:t>，</w:t>
                  </w:r>
                  <w:r>
                    <w:rPr>
                      <w:rFonts w:hint="eastAsia"/>
                      <w:color w:val="auto"/>
                    </w:rPr>
                    <w:t>不可替代说明材料见附件</w:t>
                  </w:r>
                </w:p>
                <w:p w14:paraId="0E2325B0">
                  <w:pPr>
                    <w:rPr>
                      <w:color w:val="auto"/>
                      <w:sz w:val="24"/>
                    </w:rPr>
                  </w:pPr>
                </w:p>
              </w:tc>
            </w:tr>
          </w:tbl>
          <w:p w14:paraId="00D41582">
            <w:pPr>
              <w:spacing w:line="360" w:lineRule="auto"/>
              <w:ind w:firstLine="480" w:firstLineChars="200"/>
              <w:rPr>
                <w:color w:val="auto"/>
                <w:sz w:val="24"/>
              </w:rPr>
            </w:pPr>
            <w:r>
              <w:rPr>
                <w:rFonts w:hint="eastAsia"/>
                <w:color w:val="auto"/>
                <w:sz w:val="24"/>
              </w:rPr>
              <w:t>11、结论</w:t>
            </w:r>
          </w:p>
          <w:p w14:paraId="50246C90">
            <w:pPr>
              <w:spacing w:line="360" w:lineRule="auto"/>
              <w:ind w:firstLine="480" w:firstLineChars="200"/>
              <w:rPr>
                <w:rFonts w:eastAsia="Times New Roman"/>
                <w:color w:val="auto"/>
                <w:sz w:val="24"/>
                <w:szCs w:val="24"/>
                <w:lang w:val="zh-CN"/>
              </w:rPr>
            </w:pPr>
            <w:r>
              <w:rPr>
                <w:rFonts w:eastAsia="Times New Roman"/>
                <w:color w:val="auto"/>
                <w:sz w:val="24"/>
                <w:szCs w:val="24"/>
                <w:lang w:val="zh-CN"/>
              </w:rPr>
              <w:t>综上所述，本项目符合现行国家及地方法律法规、产业政策、行业政策，选址合理，符合“三线一单”的相关要求。</w:t>
            </w:r>
          </w:p>
          <w:p w14:paraId="246C5876">
            <w:pPr>
              <w:spacing w:line="360" w:lineRule="auto"/>
              <w:ind w:firstLine="480" w:firstLineChars="200"/>
              <w:rPr>
                <w:rFonts w:eastAsia="Times New Roman"/>
                <w:color w:val="auto"/>
                <w:sz w:val="24"/>
                <w:szCs w:val="24"/>
                <w:lang w:val="zh-CN"/>
              </w:rPr>
            </w:pPr>
          </w:p>
          <w:p w14:paraId="350C7F55">
            <w:pPr>
              <w:spacing w:line="360" w:lineRule="auto"/>
              <w:ind w:firstLine="480" w:firstLineChars="200"/>
              <w:rPr>
                <w:rFonts w:eastAsia="Times New Roman"/>
                <w:color w:val="auto"/>
                <w:sz w:val="24"/>
                <w:szCs w:val="24"/>
                <w:lang w:val="zh-CN"/>
              </w:rPr>
            </w:pPr>
          </w:p>
          <w:p w14:paraId="1047F8D8">
            <w:pPr>
              <w:spacing w:line="360" w:lineRule="auto"/>
              <w:rPr>
                <w:rFonts w:eastAsia="Times New Roman"/>
                <w:color w:val="auto"/>
                <w:sz w:val="24"/>
                <w:szCs w:val="24"/>
                <w:lang w:val="zh-CN"/>
              </w:rPr>
            </w:pPr>
          </w:p>
          <w:p w14:paraId="2DD9DB98">
            <w:pPr>
              <w:spacing w:line="360" w:lineRule="auto"/>
              <w:rPr>
                <w:rFonts w:eastAsia="Times New Roman"/>
                <w:color w:val="auto"/>
                <w:sz w:val="24"/>
                <w:szCs w:val="24"/>
                <w:lang w:val="zh-CN"/>
              </w:rPr>
            </w:pPr>
          </w:p>
          <w:p w14:paraId="6B9C9AF6">
            <w:pPr>
              <w:spacing w:line="360" w:lineRule="auto"/>
              <w:rPr>
                <w:rFonts w:eastAsia="Times New Roman"/>
                <w:color w:val="auto"/>
                <w:sz w:val="24"/>
                <w:szCs w:val="24"/>
                <w:lang w:val="zh-CN"/>
              </w:rPr>
            </w:pPr>
          </w:p>
          <w:p w14:paraId="4174B43A">
            <w:pPr>
              <w:spacing w:line="360" w:lineRule="auto"/>
              <w:rPr>
                <w:rFonts w:eastAsia="Times New Roman"/>
                <w:color w:val="auto"/>
                <w:sz w:val="24"/>
                <w:szCs w:val="24"/>
                <w:lang w:val="zh-CN"/>
              </w:rPr>
            </w:pPr>
          </w:p>
          <w:p w14:paraId="4D6E5773">
            <w:pPr>
              <w:spacing w:line="360" w:lineRule="auto"/>
              <w:rPr>
                <w:rFonts w:eastAsia="Times New Roman"/>
                <w:color w:val="auto"/>
                <w:sz w:val="24"/>
                <w:szCs w:val="24"/>
                <w:lang w:val="zh-CN"/>
              </w:rPr>
            </w:pPr>
          </w:p>
          <w:p w14:paraId="02E94F85">
            <w:pPr>
              <w:spacing w:line="360" w:lineRule="auto"/>
              <w:rPr>
                <w:rFonts w:eastAsia="Times New Roman"/>
                <w:color w:val="auto"/>
                <w:sz w:val="24"/>
                <w:szCs w:val="24"/>
                <w:lang w:val="zh-CN"/>
              </w:rPr>
            </w:pPr>
          </w:p>
          <w:p w14:paraId="5590EBE1">
            <w:pPr>
              <w:spacing w:line="360" w:lineRule="auto"/>
              <w:rPr>
                <w:rFonts w:eastAsia="Times New Roman"/>
                <w:color w:val="auto"/>
                <w:sz w:val="24"/>
                <w:szCs w:val="24"/>
                <w:lang w:val="zh-CN"/>
              </w:rPr>
            </w:pPr>
          </w:p>
          <w:p w14:paraId="23BFE1E8">
            <w:pPr>
              <w:spacing w:line="360" w:lineRule="auto"/>
              <w:rPr>
                <w:rFonts w:eastAsia="Times New Roman"/>
                <w:color w:val="auto"/>
                <w:sz w:val="24"/>
                <w:szCs w:val="24"/>
                <w:lang w:val="zh-CN"/>
              </w:rPr>
            </w:pPr>
          </w:p>
          <w:p w14:paraId="7DB9105C">
            <w:pPr>
              <w:spacing w:line="360" w:lineRule="auto"/>
              <w:rPr>
                <w:rFonts w:eastAsia="Times New Roman"/>
                <w:color w:val="auto"/>
                <w:sz w:val="24"/>
                <w:szCs w:val="24"/>
                <w:lang w:val="zh-CN"/>
              </w:rPr>
            </w:pPr>
          </w:p>
          <w:p w14:paraId="2AB1F146">
            <w:pPr>
              <w:spacing w:line="360" w:lineRule="auto"/>
              <w:rPr>
                <w:rFonts w:eastAsia="Times New Roman"/>
                <w:color w:val="auto"/>
                <w:sz w:val="24"/>
                <w:szCs w:val="24"/>
                <w:lang w:val="zh-CN"/>
              </w:rPr>
            </w:pPr>
          </w:p>
        </w:tc>
      </w:tr>
    </w:tbl>
    <w:p w14:paraId="729488D9">
      <w:pPr>
        <w:rPr>
          <w:color w:val="auto"/>
        </w:rPr>
      </w:pPr>
      <w:r>
        <w:rPr>
          <w:rFonts w:hint="eastAsia"/>
          <w:b/>
          <w:bCs/>
          <w:color w:val="auto"/>
          <w:sz w:val="28"/>
          <w:szCs w:val="28"/>
        </w:rPr>
        <w:t>二、建设项目工程分析</w:t>
      </w:r>
    </w:p>
    <w:tbl>
      <w:tblPr>
        <w:tblStyle w:val="23"/>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9347"/>
      </w:tblGrid>
      <w:tr w14:paraId="34F6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576" w:type="dxa"/>
            <w:textDirection w:val="tbLrV"/>
            <w:vAlign w:val="center"/>
          </w:tcPr>
          <w:p w14:paraId="7C266DBC">
            <w:pPr>
              <w:spacing w:line="360" w:lineRule="auto"/>
              <w:ind w:left="113" w:right="113"/>
              <w:jc w:val="center"/>
              <w:rPr>
                <w:color w:val="auto"/>
              </w:rPr>
            </w:pPr>
            <w:r>
              <w:rPr>
                <w:rFonts w:hint="eastAsia"/>
                <w:color w:val="auto"/>
                <w:sz w:val="24"/>
                <w:szCs w:val="24"/>
              </w:rPr>
              <w:t>建设内容</w:t>
            </w:r>
          </w:p>
        </w:tc>
        <w:tc>
          <w:tcPr>
            <w:tcW w:w="9347" w:type="dxa"/>
          </w:tcPr>
          <w:p w14:paraId="4E291A87">
            <w:pPr>
              <w:spacing w:line="360" w:lineRule="auto"/>
              <w:ind w:firstLine="480" w:firstLineChars="200"/>
              <w:rPr>
                <w:color w:val="auto"/>
                <w:sz w:val="24"/>
                <w:szCs w:val="24"/>
              </w:rPr>
            </w:pPr>
            <w:r>
              <w:rPr>
                <w:rFonts w:hint="eastAsia"/>
                <w:color w:val="auto"/>
                <w:sz w:val="24"/>
                <w:szCs w:val="24"/>
              </w:rPr>
              <w:t>1、项目由来</w:t>
            </w:r>
          </w:p>
          <w:p w14:paraId="1EF0AAEE">
            <w:pPr>
              <w:spacing w:line="360" w:lineRule="auto"/>
              <w:ind w:firstLine="480" w:firstLineChars="200"/>
              <w:jc w:val="left"/>
              <w:rPr>
                <w:color w:val="auto"/>
                <w:sz w:val="24"/>
                <w:szCs w:val="24"/>
              </w:rPr>
            </w:pPr>
            <w:r>
              <w:rPr>
                <w:rFonts w:hint="eastAsia"/>
                <w:color w:val="auto"/>
                <w:sz w:val="24"/>
                <w:szCs w:val="24"/>
              </w:rPr>
              <w:t>江苏科谷电子有限公司成立于2013年12月23日，位于</w:t>
            </w:r>
            <w:r>
              <w:rPr>
                <w:rFonts w:hint="eastAsia"/>
                <w:color w:val="auto"/>
                <w:sz w:val="24"/>
              </w:rPr>
              <w:t>江苏省常州市金坛区直溪镇工业集中区直溪大道16号</w:t>
            </w:r>
            <w:r>
              <w:rPr>
                <w:rFonts w:hint="eastAsia"/>
                <w:color w:val="auto"/>
                <w:sz w:val="24"/>
                <w:szCs w:val="24"/>
              </w:rPr>
              <w:t>。经营范围：LED电源、灯饰电源、音响电源、电子适配器、充电器、灯饰（不含橡塑制品)的生产、销售;自营和代理各类商品及技术的进出口业务。(依法须经批准的项目，经相关部门批准后方可开展经营活动)。一般项目:通用零部件制造;五金产品制造;五金产品批发;五金产品零售;机械零件、零部件销售(除依法须经批准的项目外，凭营业执照依法自主开展经营活动)</w:t>
            </w:r>
          </w:p>
          <w:p w14:paraId="21571A65">
            <w:pPr>
              <w:spacing w:line="360" w:lineRule="auto"/>
              <w:ind w:firstLine="480" w:firstLineChars="200"/>
              <w:rPr>
                <w:color w:val="auto"/>
              </w:rPr>
            </w:pPr>
            <w:r>
              <w:rPr>
                <w:rFonts w:hint="eastAsia"/>
                <w:color w:val="auto"/>
                <w:sz w:val="24"/>
                <w:szCs w:val="24"/>
              </w:rPr>
              <w:t>建设内容及规模：项</w:t>
            </w:r>
            <w:r>
              <w:rPr>
                <w:rFonts w:hint="eastAsia"/>
                <w:color w:val="auto"/>
                <w:sz w:val="24"/>
                <w:szCs w:val="24"/>
                <w:lang w:val="en-US" w:eastAsia="zh-CN"/>
              </w:rPr>
              <w:t>目</w:t>
            </w:r>
            <w:r>
              <w:rPr>
                <w:rFonts w:hint="eastAsia"/>
                <w:color w:val="auto"/>
                <w:sz w:val="24"/>
                <w:szCs w:val="24"/>
              </w:rPr>
              <w:t>利用现有用地49.929亩，现有厂房33068.66平方米，新建厂房3539.27平方米，新建年产2800万支气弹簧</w:t>
            </w:r>
            <w:r>
              <w:rPr>
                <w:rFonts w:hint="eastAsia"/>
                <w:color w:val="auto"/>
                <w:sz w:val="24"/>
                <w:szCs w:val="24"/>
                <w:lang w:val="en-US" w:eastAsia="zh-CN"/>
              </w:rPr>
              <w:t>项目</w:t>
            </w:r>
            <w:r>
              <w:rPr>
                <w:rFonts w:hint="eastAsia"/>
                <w:color w:val="auto"/>
                <w:sz w:val="24"/>
                <w:szCs w:val="24"/>
              </w:rPr>
              <w:t>。本项目已于2024年08月05日取得常州市金坛区发展和改革局备案（备案号：坛发改备</w:t>
            </w:r>
            <w:r>
              <w:rPr>
                <w:rFonts w:hint="default" w:ascii="Times New Roman" w:hAnsi="Times New Roman" w:cs="Times New Roman"/>
                <w:color w:val="auto"/>
                <w:sz w:val="24"/>
                <w:szCs w:val="24"/>
              </w:rPr>
              <w:t>〔2024〕</w:t>
            </w:r>
            <w:r>
              <w:rPr>
                <w:rFonts w:hint="eastAsia"/>
                <w:color w:val="auto"/>
                <w:sz w:val="24"/>
                <w:szCs w:val="24"/>
              </w:rPr>
              <w:t>383号）。</w:t>
            </w:r>
          </w:p>
          <w:p w14:paraId="4C4A522D">
            <w:pPr>
              <w:spacing w:line="360" w:lineRule="auto"/>
              <w:ind w:firstLine="480" w:firstLineChars="200"/>
              <w:rPr>
                <w:color w:val="auto"/>
              </w:rPr>
            </w:pPr>
            <w:r>
              <w:rPr>
                <w:rFonts w:hint="eastAsia"/>
                <w:color w:val="auto"/>
                <w:sz w:val="24"/>
                <w:szCs w:val="24"/>
              </w:rPr>
              <w:t>根据《中华人民共和国环境保护法》、《中华人民共和国环境影响评价法》、《建设项目环境保护管理条例》以及其它相关法律法规要求，本项目的环境影响评价须编制环境影响报告表。受江苏科谷电子有限公司委托，我公司对该项目进行环境影响评价工作。根据《建设项目环境影响评价分类管理名录》（2021年版），本项目属于“</w:t>
            </w:r>
            <w:r>
              <w:rPr>
                <w:rFonts w:eastAsia="Times New Roman"/>
                <w:color w:val="auto"/>
                <w:sz w:val="24"/>
                <w:szCs w:val="24"/>
                <w:lang w:val="zh-CN"/>
              </w:rPr>
              <w:t>三十</w:t>
            </w:r>
            <w:r>
              <w:rPr>
                <w:rFonts w:hint="eastAsia"/>
                <w:color w:val="auto"/>
                <w:sz w:val="24"/>
                <w:szCs w:val="24"/>
              </w:rPr>
              <w:t>一</w:t>
            </w:r>
            <w:r>
              <w:rPr>
                <w:rFonts w:eastAsia="Times New Roman"/>
                <w:color w:val="auto"/>
                <w:sz w:val="24"/>
                <w:szCs w:val="24"/>
                <w:lang w:val="zh-CN"/>
              </w:rPr>
              <w:t>、</w:t>
            </w:r>
            <w:r>
              <w:rPr>
                <w:rFonts w:hint="eastAsia"/>
                <w:color w:val="auto"/>
                <w:sz w:val="24"/>
                <w:szCs w:val="24"/>
              </w:rPr>
              <w:t>通用设备制造业</w:t>
            </w:r>
            <w:r>
              <w:rPr>
                <w:rFonts w:eastAsia="Times New Roman"/>
                <w:color w:val="auto"/>
                <w:sz w:val="24"/>
                <w:szCs w:val="24"/>
                <w:lang w:val="zh-CN"/>
              </w:rPr>
              <w:t>3</w:t>
            </w:r>
            <w:r>
              <w:rPr>
                <w:rFonts w:hint="eastAsia"/>
                <w:color w:val="auto"/>
                <w:sz w:val="24"/>
                <w:szCs w:val="24"/>
              </w:rPr>
              <w:t>4</w:t>
            </w:r>
            <w:r>
              <w:rPr>
                <w:rFonts w:eastAsia="Times New Roman"/>
                <w:color w:val="auto"/>
                <w:sz w:val="24"/>
                <w:szCs w:val="24"/>
                <w:lang w:val="zh-CN"/>
              </w:rPr>
              <w:t>，</w:t>
            </w:r>
            <w:r>
              <w:rPr>
                <w:rFonts w:hint="eastAsia"/>
                <w:color w:val="auto"/>
                <w:sz w:val="24"/>
                <w:szCs w:val="24"/>
              </w:rPr>
              <w:t>通用零部件制造348</w:t>
            </w:r>
            <w:r>
              <w:rPr>
                <w:rFonts w:eastAsia="Times New Roman"/>
                <w:color w:val="auto"/>
                <w:sz w:val="24"/>
                <w:szCs w:val="24"/>
                <w:lang w:val="zh-CN"/>
              </w:rPr>
              <w:t>，其他（仅分割、焊接、组装的除外；年用非溶剂型低VOC含量涂料10吨以下的除外）</w:t>
            </w:r>
            <w:r>
              <w:rPr>
                <w:rFonts w:hint="eastAsia"/>
                <w:color w:val="auto"/>
                <w:sz w:val="24"/>
                <w:szCs w:val="24"/>
              </w:rPr>
              <w:t>”，应编制环境影响报告表。我公司接受委托后即组织进行现场勘查、相关资料收集及其他相关工作，最终完成了《建设项目环境影响报告表》的编制。</w:t>
            </w:r>
          </w:p>
          <w:p w14:paraId="5E2204C2">
            <w:pPr>
              <w:spacing w:line="360" w:lineRule="auto"/>
              <w:ind w:firstLine="480" w:firstLineChars="200"/>
              <w:rPr>
                <w:color w:val="auto"/>
              </w:rPr>
            </w:pPr>
            <w:r>
              <w:rPr>
                <w:rFonts w:hint="eastAsia"/>
                <w:color w:val="auto"/>
                <w:kern w:val="0"/>
                <w:sz w:val="24"/>
                <w:szCs w:val="24"/>
              </w:rPr>
              <w:t>项目所涉及的消防、安全、卫生、辐射等问题不属于本评价范围，应按国家有关法律、法规和标准执行</w:t>
            </w:r>
            <w:r>
              <w:rPr>
                <w:rFonts w:hint="eastAsia"/>
                <w:color w:val="auto"/>
              </w:rPr>
              <w:t>。</w:t>
            </w:r>
          </w:p>
          <w:p w14:paraId="55F7D597">
            <w:pPr>
              <w:spacing w:line="360" w:lineRule="auto"/>
              <w:ind w:firstLine="480" w:firstLineChars="200"/>
              <w:rPr>
                <w:color w:val="auto"/>
                <w:sz w:val="24"/>
                <w:szCs w:val="24"/>
              </w:rPr>
            </w:pPr>
            <w:r>
              <w:rPr>
                <w:rFonts w:hint="eastAsia"/>
                <w:color w:val="auto"/>
                <w:kern w:val="0"/>
                <w:sz w:val="24"/>
                <w:szCs w:val="24"/>
              </w:rPr>
              <w:t>建设计划：本项目预计2026年12月全部投产。</w:t>
            </w:r>
          </w:p>
          <w:p w14:paraId="70622BAF">
            <w:pPr>
              <w:spacing w:line="360" w:lineRule="auto"/>
              <w:ind w:firstLine="480" w:firstLineChars="200"/>
              <w:rPr>
                <w:b/>
                <w:bCs/>
                <w:color w:val="auto"/>
                <w:sz w:val="24"/>
                <w:szCs w:val="24"/>
              </w:rPr>
            </w:pPr>
            <w:r>
              <w:rPr>
                <w:rFonts w:hint="eastAsia"/>
                <w:color w:val="auto"/>
                <w:sz w:val="24"/>
                <w:szCs w:val="24"/>
              </w:rPr>
              <w:t>3、产品方案</w:t>
            </w:r>
          </w:p>
          <w:p w14:paraId="49241C3F">
            <w:pPr>
              <w:spacing w:line="360" w:lineRule="auto"/>
              <w:ind w:firstLine="482" w:firstLineChars="200"/>
              <w:jc w:val="center"/>
              <w:rPr>
                <w:color w:val="auto"/>
              </w:rPr>
            </w:pPr>
            <w:r>
              <w:rPr>
                <w:b/>
                <w:bCs/>
                <w:color w:val="auto"/>
                <w:sz w:val="24"/>
                <w:szCs w:val="24"/>
              </w:rPr>
              <w:t>表</w:t>
            </w:r>
            <w:r>
              <w:rPr>
                <w:rFonts w:hint="eastAsia"/>
                <w:b/>
                <w:bCs/>
                <w:color w:val="auto"/>
                <w:sz w:val="24"/>
                <w:szCs w:val="24"/>
              </w:rPr>
              <w:t>2-1产品方案</w:t>
            </w:r>
            <w:r>
              <w:rPr>
                <w:b/>
                <w:bCs/>
                <w:color w:val="auto"/>
                <w:sz w:val="24"/>
                <w:szCs w:val="24"/>
              </w:rPr>
              <w:t>一览表</w:t>
            </w:r>
          </w:p>
          <w:tbl>
            <w:tblPr>
              <w:tblStyle w:val="23"/>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522"/>
              <w:gridCol w:w="1522"/>
              <w:gridCol w:w="1522"/>
              <w:gridCol w:w="1522"/>
              <w:gridCol w:w="1522"/>
            </w:tblGrid>
            <w:tr w14:paraId="5D5E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vAlign w:val="center"/>
                </w:tcPr>
                <w:p w14:paraId="6CA9C5E3">
                  <w:pPr>
                    <w:jc w:val="center"/>
                    <w:rPr>
                      <w:color w:val="auto"/>
                      <w:sz w:val="24"/>
                      <w:szCs w:val="24"/>
                    </w:rPr>
                  </w:pPr>
                  <w:r>
                    <w:rPr>
                      <w:rFonts w:hint="eastAsia"/>
                      <w:b/>
                      <w:bCs/>
                      <w:color w:val="auto"/>
                    </w:rPr>
                    <w:t>序号</w:t>
                  </w:r>
                </w:p>
              </w:tc>
              <w:tc>
                <w:tcPr>
                  <w:tcW w:w="1522" w:type="dxa"/>
                  <w:vAlign w:val="center"/>
                </w:tcPr>
                <w:p w14:paraId="00B4EDF6">
                  <w:pPr>
                    <w:jc w:val="center"/>
                    <w:rPr>
                      <w:color w:val="auto"/>
                      <w:sz w:val="24"/>
                      <w:szCs w:val="24"/>
                    </w:rPr>
                  </w:pPr>
                  <w:r>
                    <w:rPr>
                      <w:rFonts w:hint="eastAsia"/>
                      <w:b/>
                      <w:bCs/>
                      <w:color w:val="auto"/>
                    </w:rPr>
                    <w:t>工程名称</w:t>
                  </w:r>
                </w:p>
              </w:tc>
              <w:tc>
                <w:tcPr>
                  <w:tcW w:w="1522" w:type="dxa"/>
                  <w:vAlign w:val="center"/>
                </w:tcPr>
                <w:p w14:paraId="275D3377">
                  <w:pPr>
                    <w:jc w:val="center"/>
                    <w:rPr>
                      <w:color w:val="auto"/>
                      <w:sz w:val="24"/>
                      <w:szCs w:val="24"/>
                    </w:rPr>
                  </w:pPr>
                  <w:r>
                    <w:rPr>
                      <w:rFonts w:hint="eastAsia"/>
                      <w:b/>
                      <w:bCs/>
                      <w:color w:val="auto"/>
                    </w:rPr>
                    <w:t>产品名称</w:t>
                  </w:r>
                </w:p>
              </w:tc>
              <w:tc>
                <w:tcPr>
                  <w:tcW w:w="1522" w:type="dxa"/>
                  <w:vAlign w:val="center"/>
                </w:tcPr>
                <w:p w14:paraId="5B034B04">
                  <w:pPr>
                    <w:jc w:val="center"/>
                    <w:rPr>
                      <w:color w:val="auto"/>
                      <w:sz w:val="24"/>
                      <w:szCs w:val="24"/>
                    </w:rPr>
                  </w:pPr>
                  <w:r>
                    <w:rPr>
                      <w:rFonts w:hint="eastAsia"/>
                      <w:b/>
                      <w:bCs/>
                      <w:color w:val="auto"/>
                    </w:rPr>
                    <w:t>规格/型号</w:t>
                  </w:r>
                </w:p>
              </w:tc>
              <w:tc>
                <w:tcPr>
                  <w:tcW w:w="1522" w:type="dxa"/>
                  <w:vAlign w:val="center"/>
                </w:tcPr>
                <w:p w14:paraId="390B3C45">
                  <w:pPr>
                    <w:jc w:val="center"/>
                    <w:rPr>
                      <w:color w:val="auto"/>
                      <w:sz w:val="24"/>
                      <w:szCs w:val="24"/>
                    </w:rPr>
                  </w:pPr>
                  <w:r>
                    <w:rPr>
                      <w:rFonts w:hint="eastAsia"/>
                      <w:b/>
                      <w:bCs/>
                      <w:color w:val="auto"/>
                    </w:rPr>
                    <w:t>设计能力（万支/年）</w:t>
                  </w:r>
                </w:p>
              </w:tc>
              <w:tc>
                <w:tcPr>
                  <w:tcW w:w="1522" w:type="dxa"/>
                  <w:vAlign w:val="center"/>
                </w:tcPr>
                <w:p w14:paraId="0943CFA3">
                  <w:pPr>
                    <w:jc w:val="center"/>
                    <w:rPr>
                      <w:color w:val="auto"/>
                      <w:sz w:val="24"/>
                      <w:szCs w:val="24"/>
                    </w:rPr>
                  </w:pPr>
                  <w:r>
                    <w:rPr>
                      <w:rFonts w:hint="eastAsia"/>
                      <w:b/>
                      <w:bCs/>
                      <w:color w:val="auto"/>
                    </w:rPr>
                    <w:t>年运行时数</w:t>
                  </w:r>
                </w:p>
              </w:tc>
            </w:tr>
            <w:tr w14:paraId="1778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521" w:type="dxa"/>
                  <w:vAlign w:val="center"/>
                </w:tcPr>
                <w:p w14:paraId="0EDC0266">
                  <w:pPr>
                    <w:jc w:val="center"/>
                    <w:rPr>
                      <w:color w:val="auto"/>
                      <w:sz w:val="24"/>
                      <w:szCs w:val="24"/>
                    </w:rPr>
                  </w:pPr>
                  <w:r>
                    <w:rPr>
                      <w:rFonts w:hint="eastAsia"/>
                      <w:color w:val="auto"/>
                    </w:rPr>
                    <w:t>1</w:t>
                  </w:r>
                </w:p>
              </w:tc>
              <w:tc>
                <w:tcPr>
                  <w:tcW w:w="1522" w:type="dxa"/>
                  <w:vAlign w:val="center"/>
                </w:tcPr>
                <w:p w14:paraId="20AC7C8A">
                  <w:pPr>
                    <w:jc w:val="center"/>
                    <w:rPr>
                      <w:color w:val="auto"/>
                      <w:sz w:val="24"/>
                      <w:szCs w:val="24"/>
                    </w:rPr>
                  </w:pPr>
                  <w:r>
                    <w:rPr>
                      <w:rFonts w:hint="eastAsia"/>
                      <w:color w:val="auto"/>
                    </w:rPr>
                    <w:t>气弹簧生产线</w:t>
                  </w:r>
                </w:p>
              </w:tc>
              <w:tc>
                <w:tcPr>
                  <w:tcW w:w="1522" w:type="dxa"/>
                  <w:vAlign w:val="center"/>
                </w:tcPr>
                <w:p w14:paraId="1CB1DE64">
                  <w:pPr>
                    <w:jc w:val="center"/>
                    <w:rPr>
                      <w:color w:val="auto"/>
                      <w:sz w:val="24"/>
                      <w:szCs w:val="24"/>
                    </w:rPr>
                  </w:pPr>
                  <w:r>
                    <w:rPr>
                      <w:rFonts w:hint="eastAsia"/>
                      <w:color w:val="auto"/>
                    </w:rPr>
                    <w:t>气弹簧</w:t>
                  </w:r>
                </w:p>
              </w:tc>
              <w:tc>
                <w:tcPr>
                  <w:tcW w:w="1522" w:type="dxa"/>
                  <w:vAlign w:val="center"/>
                </w:tcPr>
                <w:p w14:paraId="0F490FCB">
                  <w:pPr>
                    <w:jc w:val="center"/>
                    <w:rPr>
                      <w:color w:val="auto"/>
                      <w:sz w:val="24"/>
                      <w:szCs w:val="24"/>
                    </w:rPr>
                  </w:pPr>
                  <w:r>
                    <w:rPr>
                      <w:rFonts w:hint="eastAsia"/>
                      <w:color w:val="auto"/>
                    </w:rPr>
                    <w:t>40#~330#</w:t>
                  </w:r>
                </w:p>
              </w:tc>
              <w:tc>
                <w:tcPr>
                  <w:tcW w:w="1522" w:type="dxa"/>
                  <w:vAlign w:val="center"/>
                </w:tcPr>
                <w:p w14:paraId="01ACDF30">
                  <w:pPr>
                    <w:jc w:val="center"/>
                    <w:rPr>
                      <w:color w:val="auto"/>
                      <w:sz w:val="24"/>
                      <w:szCs w:val="24"/>
                    </w:rPr>
                  </w:pPr>
                  <w:r>
                    <w:rPr>
                      <w:rFonts w:hint="eastAsia"/>
                      <w:color w:val="auto"/>
                    </w:rPr>
                    <w:t>2800</w:t>
                  </w:r>
                </w:p>
              </w:tc>
              <w:tc>
                <w:tcPr>
                  <w:tcW w:w="1522" w:type="dxa"/>
                  <w:vAlign w:val="center"/>
                </w:tcPr>
                <w:p w14:paraId="5E940DFC">
                  <w:pPr>
                    <w:jc w:val="center"/>
                    <w:rPr>
                      <w:color w:val="auto"/>
                      <w:sz w:val="24"/>
                      <w:szCs w:val="24"/>
                    </w:rPr>
                  </w:pPr>
                  <w:r>
                    <w:rPr>
                      <w:rFonts w:hint="eastAsia"/>
                      <w:color w:val="auto"/>
                    </w:rPr>
                    <w:t>2400h</w:t>
                  </w:r>
                </w:p>
              </w:tc>
            </w:tr>
          </w:tbl>
          <w:p w14:paraId="275666C2">
            <w:pPr>
              <w:pStyle w:val="3"/>
              <w:spacing w:line="360" w:lineRule="auto"/>
              <w:ind w:firstLine="420" w:firstLineChars="200"/>
              <w:outlineLvl w:val="2"/>
              <w:rPr>
                <w:rFonts w:hint="eastAsia"/>
                <w:color w:val="auto"/>
                <w:sz w:val="21"/>
                <w:szCs w:val="21"/>
              </w:rPr>
            </w:pPr>
            <w:r>
              <w:rPr>
                <w:rFonts w:hint="eastAsia"/>
                <w:color w:val="auto"/>
                <w:sz w:val="21"/>
                <w:szCs w:val="21"/>
              </w:rPr>
              <w:t>注：</w:t>
            </w:r>
            <w:r>
              <w:rPr>
                <w:rFonts w:hint="eastAsia"/>
                <w:color w:val="auto"/>
                <w:sz w:val="21"/>
                <w:szCs w:val="21"/>
                <w:lang w:val="en-US" w:eastAsia="zh-CN"/>
              </w:rPr>
              <w:t>原有项目停止生产。</w:t>
            </w:r>
          </w:p>
          <w:p w14:paraId="39ED7F2F">
            <w:pPr>
              <w:pStyle w:val="3"/>
              <w:spacing w:line="360" w:lineRule="auto"/>
              <w:ind w:firstLine="480" w:firstLineChars="200"/>
              <w:outlineLvl w:val="2"/>
              <w:rPr>
                <w:b/>
                <w:bCs/>
                <w:color w:val="auto"/>
                <w:sz w:val="24"/>
                <w:szCs w:val="24"/>
              </w:rPr>
            </w:pPr>
            <w:r>
              <w:rPr>
                <w:rFonts w:hint="eastAsia"/>
                <w:color w:val="auto"/>
                <w:sz w:val="24"/>
                <w:szCs w:val="24"/>
              </w:rPr>
              <w:t>4、建设工程内容</w:t>
            </w:r>
          </w:p>
          <w:p w14:paraId="079A6784">
            <w:pPr>
              <w:spacing w:line="360" w:lineRule="auto"/>
              <w:ind w:firstLine="482" w:firstLineChars="200"/>
              <w:jc w:val="center"/>
              <w:rPr>
                <w:b/>
                <w:bCs/>
                <w:color w:val="auto"/>
                <w:sz w:val="24"/>
                <w:szCs w:val="24"/>
              </w:rPr>
            </w:pPr>
          </w:p>
          <w:p w14:paraId="6BD301A0">
            <w:pPr>
              <w:spacing w:line="360" w:lineRule="auto"/>
              <w:ind w:firstLine="482" w:firstLineChars="200"/>
              <w:jc w:val="center"/>
              <w:rPr>
                <w:b/>
                <w:bCs/>
                <w:color w:val="auto"/>
                <w:sz w:val="24"/>
                <w:szCs w:val="24"/>
              </w:rPr>
            </w:pPr>
          </w:p>
          <w:p w14:paraId="19191248">
            <w:pPr>
              <w:spacing w:line="360" w:lineRule="auto"/>
              <w:jc w:val="center"/>
              <w:rPr>
                <w:color w:val="auto"/>
              </w:rPr>
            </w:pPr>
            <w:r>
              <w:rPr>
                <w:b/>
                <w:bCs/>
                <w:color w:val="auto"/>
                <w:sz w:val="24"/>
                <w:szCs w:val="24"/>
              </w:rPr>
              <w:t>表</w:t>
            </w:r>
            <w:r>
              <w:rPr>
                <w:rFonts w:hint="eastAsia"/>
                <w:b/>
                <w:bCs/>
                <w:color w:val="auto"/>
                <w:sz w:val="24"/>
                <w:szCs w:val="24"/>
              </w:rPr>
              <w:t>2-2</w:t>
            </w:r>
            <w:r>
              <w:rPr>
                <w:rFonts w:hint="eastAsia"/>
                <w:b/>
                <w:bCs/>
                <w:color w:val="auto"/>
                <w:sz w:val="24"/>
                <w:szCs w:val="24"/>
                <w:lang w:val="en-US" w:eastAsia="zh-CN"/>
              </w:rPr>
              <w:t xml:space="preserve">  </w:t>
            </w:r>
            <w:r>
              <w:rPr>
                <w:rFonts w:hint="eastAsia"/>
                <w:b/>
                <w:bCs/>
                <w:color w:val="auto"/>
                <w:sz w:val="24"/>
                <w:szCs w:val="24"/>
              </w:rPr>
              <w:t>建设</w:t>
            </w:r>
            <w:r>
              <w:rPr>
                <w:b/>
                <w:bCs/>
                <w:color w:val="auto"/>
                <w:sz w:val="24"/>
                <w:szCs w:val="24"/>
              </w:rPr>
              <w:t>项目相关</w:t>
            </w:r>
            <w:r>
              <w:rPr>
                <w:rFonts w:hint="eastAsia"/>
                <w:b/>
                <w:bCs/>
                <w:color w:val="auto"/>
                <w:sz w:val="24"/>
                <w:szCs w:val="24"/>
              </w:rPr>
              <w:t>主体</w:t>
            </w:r>
            <w:r>
              <w:rPr>
                <w:b/>
                <w:bCs/>
                <w:color w:val="auto"/>
                <w:sz w:val="24"/>
                <w:szCs w:val="24"/>
              </w:rPr>
              <w:t>工程一览表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648"/>
              <w:gridCol w:w="1296"/>
              <w:gridCol w:w="1296"/>
              <w:gridCol w:w="1296"/>
              <w:gridCol w:w="1296"/>
              <w:gridCol w:w="1296"/>
              <w:gridCol w:w="1296"/>
            </w:tblGrid>
            <w:tr w14:paraId="4DC0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5" w:type="dxa"/>
                  <w:gridSpan w:val="2"/>
                  <w:tcBorders>
                    <w:tl2br w:val="nil"/>
                    <w:tr2bl w:val="nil"/>
                  </w:tcBorders>
                </w:tcPr>
                <w:p w14:paraId="15056C62">
                  <w:pPr>
                    <w:jc w:val="center"/>
                    <w:rPr>
                      <w:b/>
                      <w:bCs/>
                      <w:color w:val="auto"/>
                    </w:rPr>
                  </w:pPr>
                  <w:r>
                    <w:rPr>
                      <w:rFonts w:hint="eastAsia"/>
                      <w:b/>
                      <w:bCs/>
                      <w:color w:val="auto"/>
                    </w:rPr>
                    <w:t>名称</w:t>
                  </w:r>
                </w:p>
              </w:tc>
              <w:tc>
                <w:tcPr>
                  <w:tcW w:w="1296" w:type="dxa"/>
                  <w:tcBorders>
                    <w:tl2br w:val="nil"/>
                    <w:tr2bl w:val="nil"/>
                  </w:tcBorders>
                </w:tcPr>
                <w:p w14:paraId="799E8072">
                  <w:pPr>
                    <w:jc w:val="center"/>
                    <w:rPr>
                      <w:b/>
                      <w:bCs/>
                      <w:color w:val="auto"/>
                    </w:rPr>
                  </w:pPr>
                  <w:r>
                    <w:rPr>
                      <w:rFonts w:hint="eastAsia"/>
                      <w:b/>
                      <w:bCs/>
                      <w:color w:val="auto"/>
                    </w:rPr>
                    <w:t>占地面积</w:t>
                  </w:r>
                </w:p>
              </w:tc>
              <w:tc>
                <w:tcPr>
                  <w:tcW w:w="1296" w:type="dxa"/>
                  <w:tcBorders>
                    <w:tl2br w:val="nil"/>
                    <w:tr2bl w:val="nil"/>
                  </w:tcBorders>
                </w:tcPr>
                <w:p w14:paraId="3A0D8687">
                  <w:pPr>
                    <w:jc w:val="center"/>
                    <w:rPr>
                      <w:b/>
                      <w:bCs/>
                      <w:color w:val="auto"/>
                    </w:rPr>
                  </w:pPr>
                  <w:r>
                    <w:rPr>
                      <w:rFonts w:hint="eastAsia"/>
                      <w:b/>
                      <w:bCs/>
                      <w:color w:val="auto"/>
                    </w:rPr>
                    <w:t>建筑面积</w:t>
                  </w:r>
                </w:p>
              </w:tc>
              <w:tc>
                <w:tcPr>
                  <w:tcW w:w="1296" w:type="dxa"/>
                  <w:tcBorders>
                    <w:tl2br w:val="nil"/>
                    <w:tr2bl w:val="nil"/>
                  </w:tcBorders>
                </w:tcPr>
                <w:p w14:paraId="0E50FA43">
                  <w:pPr>
                    <w:jc w:val="center"/>
                    <w:rPr>
                      <w:b/>
                      <w:bCs/>
                      <w:color w:val="auto"/>
                    </w:rPr>
                  </w:pPr>
                  <w:r>
                    <w:rPr>
                      <w:rFonts w:hint="eastAsia"/>
                      <w:b/>
                      <w:bCs/>
                      <w:color w:val="auto"/>
                    </w:rPr>
                    <w:t>层高</w:t>
                  </w:r>
                </w:p>
              </w:tc>
              <w:tc>
                <w:tcPr>
                  <w:tcW w:w="1296" w:type="dxa"/>
                  <w:tcBorders>
                    <w:tl2br w:val="nil"/>
                    <w:tr2bl w:val="nil"/>
                  </w:tcBorders>
                </w:tcPr>
                <w:p w14:paraId="1709FBD9">
                  <w:pPr>
                    <w:jc w:val="center"/>
                    <w:rPr>
                      <w:b/>
                      <w:bCs/>
                      <w:color w:val="auto"/>
                    </w:rPr>
                  </w:pPr>
                  <w:r>
                    <w:rPr>
                      <w:rFonts w:hint="eastAsia"/>
                      <w:b/>
                      <w:bCs/>
                      <w:color w:val="auto"/>
                    </w:rPr>
                    <w:t>耐火等级</w:t>
                  </w:r>
                </w:p>
              </w:tc>
              <w:tc>
                <w:tcPr>
                  <w:tcW w:w="1296" w:type="dxa"/>
                  <w:tcBorders>
                    <w:tl2br w:val="nil"/>
                    <w:tr2bl w:val="nil"/>
                  </w:tcBorders>
                </w:tcPr>
                <w:p w14:paraId="281A05EE">
                  <w:pPr>
                    <w:jc w:val="center"/>
                    <w:rPr>
                      <w:b/>
                      <w:bCs/>
                      <w:color w:val="auto"/>
                    </w:rPr>
                  </w:pPr>
                  <w:r>
                    <w:rPr>
                      <w:rFonts w:hint="eastAsia"/>
                      <w:b/>
                      <w:bCs/>
                      <w:color w:val="auto"/>
                    </w:rPr>
                    <w:t>火灾危险性</w:t>
                  </w:r>
                </w:p>
              </w:tc>
              <w:tc>
                <w:tcPr>
                  <w:tcW w:w="1296" w:type="dxa"/>
                  <w:tcBorders>
                    <w:tl2br w:val="nil"/>
                    <w:tr2bl w:val="nil"/>
                  </w:tcBorders>
                </w:tcPr>
                <w:p w14:paraId="16A49999">
                  <w:pPr>
                    <w:jc w:val="center"/>
                    <w:rPr>
                      <w:b/>
                      <w:bCs/>
                      <w:color w:val="auto"/>
                    </w:rPr>
                  </w:pPr>
                  <w:r>
                    <w:rPr>
                      <w:rFonts w:hint="eastAsia"/>
                      <w:b/>
                      <w:bCs/>
                      <w:color w:val="auto"/>
                    </w:rPr>
                    <w:t>用途</w:t>
                  </w:r>
                </w:p>
              </w:tc>
            </w:tr>
            <w:tr w14:paraId="6022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295" w:type="dxa"/>
                  <w:gridSpan w:val="2"/>
                  <w:tcBorders>
                    <w:tl2br w:val="nil"/>
                    <w:tr2bl w:val="nil"/>
                  </w:tcBorders>
                  <w:shd w:val="clear" w:color="auto" w:fill="auto"/>
                  <w:vAlign w:val="center"/>
                </w:tcPr>
                <w:p w14:paraId="1A3D86A2">
                  <w:pPr>
                    <w:jc w:val="center"/>
                    <w:rPr>
                      <w:color w:val="auto"/>
                    </w:rPr>
                  </w:pPr>
                  <w:r>
                    <w:rPr>
                      <w:rFonts w:hint="eastAsia"/>
                      <w:color w:val="auto"/>
                    </w:rPr>
                    <w:t>车间一</w:t>
                  </w:r>
                </w:p>
              </w:tc>
              <w:tc>
                <w:tcPr>
                  <w:tcW w:w="1296" w:type="dxa"/>
                  <w:tcBorders>
                    <w:tl2br w:val="nil"/>
                    <w:tr2bl w:val="nil"/>
                  </w:tcBorders>
                  <w:vAlign w:val="center"/>
                </w:tcPr>
                <w:p w14:paraId="3A8F5006">
                  <w:pPr>
                    <w:jc w:val="center"/>
                    <w:rPr>
                      <w:color w:val="auto"/>
                    </w:rPr>
                  </w:pPr>
                  <w:r>
                    <w:rPr>
                      <w:rFonts w:hint="eastAsia"/>
                      <w:color w:val="auto"/>
                    </w:rPr>
                    <w:t>3125.93m</w:t>
                  </w:r>
                  <w:r>
                    <w:rPr>
                      <w:rFonts w:hint="eastAsia"/>
                      <w:color w:val="auto"/>
                      <w:vertAlign w:val="superscript"/>
                    </w:rPr>
                    <w:t>2</w:t>
                  </w:r>
                </w:p>
              </w:tc>
              <w:tc>
                <w:tcPr>
                  <w:tcW w:w="1296" w:type="dxa"/>
                  <w:tcBorders>
                    <w:tl2br w:val="nil"/>
                    <w:tr2bl w:val="nil"/>
                  </w:tcBorders>
                  <w:vAlign w:val="center"/>
                </w:tcPr>
                <w:p w14:paraId="7AC7693D">
                  <w:pPr>
                    <w:jc w:val="center"/>
                    <w:rPr>
                      <w:color w:val="auto"/>
                    </w:rPr>
                  </w:pPr>
                  <w:r>
                    <w:rPr>
                      <w:rFonts w:hint="eastAsia"/>
                      <w:color w:val="auto"/>
                    </w:rPr>
                    <w:t>6347.44m</w:t>
                  </w:r>
                  <w:r>
                    <w:rPr>
                      <w:rFonts w:hint="eastAsia"/>
                      <w:color w:val="auto"/>
                      <w:vertAlign w:val="superscript"/>
                    </w:rPr>
                    <w:t>2</w:t>
                  </w:r>
                </w:p>
              </w:tc>
              <w:tc>
                <w:tcPr>
                  <w:tcW w:w="1296" w:type="dxa"/>
                  <w:tcBorders>
                    <w:tl2br w:val="nil"/>
                    <w:tr2bl w:val="nil"/>
                  </w:tcBorders>
                  <w:vAlign w:val="center"/>
                </w:tcPr>
                <w:p w14:paraId="46AAF189">
                  <w:pPr>
                    <w:widowControl/>
                    <w:kinsoku w:val="0"/>
                    <w:autoSpaceDE w:val="0"/>
                    <w:autoSpaceDN w:val="0"/>
                    <w:adjustRightInd w:val="0"/>
                    <w:jc w:val="center"/>
                    <w:textAlignment w:val="baseline"/>
                    <w:rPr>
                      <w:snapToGrid w:val="0"/>
                      <w:color w:val="auto"/>
                      <w:kern w:val="0"/>
                    </w:rPr>
                  </w:pPr>
                  <w:r>
                    <w:rPr>
                      <w:rFonts w:hint="eastAsia"/>
                      <w:snapToGrid w:val="0"/>
                      <w:color w:val="auto"/>
                      <w:kern w:val="0"/>
                    </w:rPr>
                    <w:t>2</w:t>
                  </w:r>
                  <w:r>
                    <w:rPr>
                      <w:snapToGrid w:val="0"/>
                      <w:color w:val="auto"/>
                      <w:kern w:val="0"/>
                    </w:rPr>
                    <w:t>F</w:t>
                  </w:r>
                  <w:r>
                    <w:rPr>
                      <w:rFonts w:hint="eastAsia"/>
                      <w:snapToGrid w:val="0"/>
                      <w:color w:val="auto"/>
                      <w:kern w:val="0"/>
                    </w:rPr>
                    <w:t>，8m</w:t>
                  </w:r>
                </w:p>
              </w:tc>
              <w:tc>
                <w:tcPr>
                  <w:tcW w:w="1296" w:type="dxa"/>
                  <w:tcBorders>
                    <w:tl2br w:val="nil"/>
                    <w:tr2bl w:val="nil"/>
                  </w:tcBorders>
                  <w:vAlign w:val="center"/>
                </w:tcPr>
                <w:p w14:paraId="215244E6">
                  <w:pPr>
                    <w:widowControl/>
                    <w:kinsoku w:val="0"/>
                    <w:autoSpaceDE w:val="0"/>
                    <w:autoSpaceDN w:val="0"/>
                    <w:adjustRightInd w:val="0"/>
                    <w:jc w:val="center"/>
                    <w:textAlignment w:val="baseline"/>
                    <w:rPr>
                      <w:snapToGrid w:val="0"/>
                      <w:color w:val="auto"/>
                      <w:kern w:val="0"/>
                    </w:rPr>
                  </w:pPr>
                  <w:r>
                    <w:rPr>
                      <w:rFonts w:hint="eastAsia"/>
                      <w:snapToGrid w:val="0"/>
                      <w:color w:val="auto"/>
                      <w:kern w:val="0"/>
                    </w:rPr>
                    <w:t>二级</w:t>
                  </w:r>
                </w:p>
              </w:tc>
              <w:tc>
                <w:tcPr>
                  <w:tcW w:w="1296" w:type="dxa"/>
                  <w:tcBorders>
                    <w:tl2br w:val="nil"/>
                    <w:tr2bl w:val="nil"/>
                  </w:tcBorders>
                  <w:vAlign w:val="center"/>
                </w:tcPr>
                <w:p w14:paraId="414DC7F6">
                  <w:pPr>
                    <w:widowControl/>
                    <w:kinsoku w:val="0"/>
                    <w:autoSpaceDE w:val="0"/>
                    <w:autoSpaceDN w:val="0"/>
                    <w:adjustRightInd w:val="0"/>
                    <w:jc w:val="center"/>
                    <w:textAlignment w:val="baseline"/>
                    <w:rPr>
                      <w:color w:val="auto"/>
                    </w:rPr>
                  </w:pPr>
                  <w:r>
                    <w:rPr>
                      <w:rFonts w:hint="eastAsia"/>
                      <w:color w:val="auto"/>
                    </w:rPr>
                    <w:t>丁类</w:t>
                  </w:r>
                </w:p>
              </w:tc>
              <w:tc>
                <w:tcPr>
                  <w:tcW w:w="1296" w:type="dxa"/>
                  <w:tcBorders>
                    <w:tl2br w:val="nil"/>
                    <w:tr2bl w:val="nil"/>
                  </w:tcBorders>
                  <w:vAlign w:val="center"/>
                </w:tcPr>
                <w:p w14:paraId="3E945C1A">
                  <w:pPr>
                    <w:widowControl/>
                    <w:kinsoku w:val="0"/>
                    <w:autoSpaceDE w:val="0"/>
                    <w:autoSpaceDN w:val="0"/>
                    <w:adjustRightInd w:val="0"/>
                    <w:jc w:val="center"/>
                    <w:textAlignment w:val="baseline"/>
                    <w:rPr>
                      <w:color w:val="auto"/>
                    </w:rPr>
                  </w:pPr>
                  <w:r>
                    <w:rPr>
                      <w:rFonts w:hint="eastAsia"/>
                      <w:color w:val="auto"/>
                    </w:rPr>
                    <w:t>仓库</w:t>
                  </w:r>
                </w:p>
              </w:tc>
            </w:tr>
            <w:tr w14:paraId="3517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95" w:type="dxa"/>
                  <w:gridSpan w:val="2"/>
                  <w:tcBorders>
                    <w:tl2br w:val="nil"/>
                    <w:tr2bl w:val="nil"/>
                  </w:tcBorders>
                  <w:shd w:val="clear" w:color="auto" w:fill="auto"/>
                  <w:vAlign w:val="center"/>
                </w:tcPr>
                <w:p w14:paraId="6CC23912">
                  <w:pPr>
                    <w:jc w:val="center"/>
                    <w:rPr>
                      <w:color w:val="auto"/>
                    </w:rPr>
                  </w:pPr>
                  <w:r>
                    <w:rPr>
                      <w:rFonts w:hint="eastAsia"/>
                      <w:color w:val="auto"/>
                    </w:rPr>
                    <w:t>车间二</w:t>
                  </w:r>
                </w:p>
              </w:tc>
              <w:tc>
                <w:tcPr>
                  <w:tcW w:w="1296" w:type="dxa"/>
                  <w:tcBorders>
                    <w:tl2br w:val="nil"/>
                    <w:tr2bl w:val="nil"/>
                  </w:tcBorders>
                  <w:vAlign w:val="center"/>
                </w:tcPr>
                <w:p w14:paraId="1D0CD7AB">
                  <w:pPr>
                    <w:widowControl/>
                    <w:kinsoku w:val="0"/>
                    <w:autoSpaceDE w:val="0"/>
                    <w:autoSpaceDN w:val="0"/>
                    <w:adjustRightInd w:val="0"/>
                    <w:jc w:val="center"/>
                    <w:textAlignment w:val="baseline"/>
                    <w:rPr>
                      <w:rFonts w:ascii="仿宋" w:hAnsi="仿宋" w:eastAsia="仿宋" w:cs="仿宋"/>
                      <w:b/>
                      <w:bCs/>
                      <w:snapToGrid w:val="0"/>
                      <w:color w:val="auto"/>
                      <w:kern w:val="0"/>
                    </w:rPr>
                  </w:pPr>
                  <w:r>
                    <w:rPr>
                      <w:rFonts w:hint="eastAsia"/>
                      <w:color w:val="auto"/>
                    </w:rPr>
                    <w:t>2201.51m</w:t>
                  </w:r>
                  <w:r>
                    <w:rPr>
                      <w:rFonts w:hint="eastAsia"/>
                      <w:color w:val="auto"/>
                      <w:vertAlign w:val="superscript"/>
                    </w:rPr>
                    <w:t>2</w:t>
                  </w:r>
                </w:p>
              </w:tc>
              <w:tc>
                <w:tcPr>
                  <w:tcW w:w="1296" w:type="dxa"/>
                  <w:tcBorders>
                    <w:tl2br w:val="nil"/>
                    <w:tr2bl w:val="nil"/>
                  </w:tcBorders>
                  <w:vAlign w:val="center"/>
                </w:tcPr>
                <w:p w14:paraId="454918C7">
                  <w:pPr>
                    <w:jc w:val="center"/>
                    <w:rPr>
                      <w:rFonts w:ascii="仿宋" w:hAnsi="仿宋" w:eastAsia="仿宋" w:cs="仿宋"/>
                      <w:b/>
                      <w:bCs/>
                      <w:snapToGrid w:val="0"/>
                      <w:color w:val="auto"/>
                      <w:kern w:val="0"/>
                    </w:rPr>
                  </w:pPr>
                  <w:r>
                    <w:rPr>
                      <w:rFonts w:hint="eastAsia"/>
                      <w:color w:val="auto"/>
                    </w:rPr>
                    <w:t>11052.9m</w:t>
                  </w:r>
                  <w:r>
                    <w:rPr>
                      <w:rFonts w:hint="eastAsia"/>
                      <w:color w:val="auto"/>
                      <w:vertAlign w:val="superscript"/>
                    </w:rPr>
                    <w:t>2</w:t>
                  </w:r>
                </w:p>
              </w:tc>
              <w:tc>
                <w:tcPr>
                  <w:tcW w:w="1296" w:type="dxa"/>
                  <w:tcBorders>
                    <w:tl2br w:val="nil"/>
                    <w:tr2bl w:val="nil"/>
                  </w:tcBorders>
                  <w:vAlign w:val="center"/>
                </w:tcPr>
                <w:p w14:paraId="5A0BDF42">
                  <w:pPr>
                    <w:widowControl/>
                    <w:kinsoku w:val="0"/>
                    <w:autoSpaceDE w:val="0"/>
                    <w:autoSpaceDN w:val="0"/>
                    <w:adjustRightInd w:val="0"/>
                    <w:jc w:val="center"/>
                    <w:textAlignment w:val="baseline"/>
                    <w:rPr>
                      <w:snapToGrid w:val="0"/>
                      <w:color w:val="auto"/>
                      <w:kern w:val="0"/>
                    </w:rPr>
                  </w:pPr>
                  <w:r>
                    <w:rPr>
                      <w:snapToGrid w:val="0"/>
                      <w:color w:val="auto"/>
                      <w:kern w:val="0"/>
                    </w:rPr>
                    <w:t>5F</w:t>
                  </w:r>
                  <w:r>
                    <w:rPr>
                      <w:rFonts w:hint="eastAsia"/>
                      <w:snapToGrid w:val="0"/>
                      <w:color w:val="auto"/>
                      <w:kern w:val="0"/>
                    </w:rPr>
                    <w:t>，19.8m</w:t>
                  </w:r>
                </w:p>
              </w:tc>
              <w:tc>
                <w:tcPr>
                  <w:tcW w:w="1296" w:type="dxa"/>
                  <w:tcBorders>
                    <w:tl2br w:val="nil"/>
                    <w:tr2bl w:val="nil"/>
                  </w:tcBorders>
                  <w:vAlign w:val="center"/>
                </w:tcPr>
                <w:p w14:paraId="3FB562DF">
                  <w:pPr>
                    <w:widowControl/>
                    <w:kinsoku w:val="0"/>
                    <w:autoSpaceDE w:val="0"/>
                    <w:autoSpaceDN w:val="0"/>
                    <w:adjustRightInd w:val="0"/>
                    <w:jc w:val="center"/>
                    <w:textAlignment w:val="baseline"/>
                    <w:rPr>
                      <w:snapToGrid w:val="0"/>
                      <w:color w:val="auto"/>
                      <w:kern w:val="0"/>
                    </w:rPr>
                  </w:pPr>
                  <w:r>
                    <w:rPr>
                      <w:rFonts w:hint="eastAsia"/>
                      <w:snapToGrid w:val="0"/>
                      <w:color w:val="auto"/>
                      <w:kern w:val="0"/>
                    </w:rPr>
                    <w:t>二级</w:t>
                  </w:r>
                </w:p>
              </w:tc>
              <w:tc>
                <w:tcPr>
                  <w:tcW w:w="1296" w:type="dxa"/>
                  <w:tcBorders>
                    <w:tl2br w:val="nil"/>
                    <w:tr2bl w:val="nil"/>
                  </w:tcBorders>
                  <w:vAlign w:val="center"/>
                </w:tcPr>
                <w:p w14:paraId="5B6A5A0D">
                  <w:pPr>
                    <w:widowControl/>
                    <w:kinsoku w:val="0"/>
                    <w:autoSpaceDE w:val="0"/>
                    <w:autoSpaceDN w:val="0"/>
                    <w:adjustRightInd w:val="0"/>
                    <w:jc w:val="center"/>
                    <w:textAlignment w:val="baseline"/>
                    <w:rPr>
                      <w:rFonts w:ascii="仿宋" w:hAnsi="仿宋" w:eastAsia="仿宋" w:cs="仿宋"/>
                      <w:b/>
                      <w:bCs/>
                      <w:snapToGrid w:val="0"/>
                      <w:color w:val="auto"/>
                      <w:kern w:val="0"/>
                    </w:rPr>
                  </w:pPr>
                  <w:r>
                    <w:rPr>
                      <w:rFonts w:hint="eastAsia"/>
                      <w:color w:val="auto"/>
                    </w:rPr>
                    <w:t>丁类</w:t>
                  </w:r>
                </w:p>
              </w:tc>
              <w:tc>
                <w:tcPr>
                  <w:tcW w:w="1296" w:type="dxa"/>
                  <w:tcBorders>
                    <w:tl2br w:val="nil"/>
                    <w:tr2bl w:val="nil"/>
                  </w:tcBorders>
                  <w:vAlign w:val="center"/>
                </w:tcPr>
                <w:p w14:paraId="7A9AA222">
                  <w:pPr>
                    <w:widowControl/>
                    <w:kinsoku w:val="0"/>
                    <w:autoSpaceDE w:val="0"/>
                    <w:autoSpaceDN w:val="0"/>
                    <w:adjustRightInd w:val="0"/>
                    <w:jc w:val="center"/>
                    <w:textAlignment w:val="baseline"/>
                    <w:rPr>
                      <w:color w:val="auto"/>
                    </w:rPr>
                  </w:pPr>
                  <w:r>
                    <w:rPr>
                      <w:rFonts w:hint="eastAsia"/>
                      <w:color w:val="auto"/>
                    </w:rPr>
                    <w:t>仓库、装配</w:t>
                  </w:r>
                </w:p>
              </w:tc>
            </w:tr>
            <w:tr w14:paraId="5166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gridSpan w:val="2"/>
                  <w:tcBorders>
                    <w:tl2br w:val="nil"/>
                    <w:tr2bl w:val="nil"/>
                  </w:tcBorders>
                  <w:shd w:val="clear" w:color="auto" w:fill="auto"/>
                  <w:vAlign w:val="center"/>
                </w:tcPr>
                <w:p w14:paraId="599247EF">
                  <w:pPr>
                    <w:jc w:val="center"/>
                    <w:rPr>
                      <w:color w:val="auto"/>
                    </w:rPr>
                  </w:pPr>
                  <w:r>
                    <w:rPr>
                      <w:rFonts w:hint="eastAsia"/>
                      <w:color w:val="auto"/>
                    </w:rPr>
                    <w:t>车间三</w:t>
                  </w:r>
                </w:p>
              </w:tc>
              <w:tc>
                <w:tcPr>
                  <w:tcW w:w="1296" w:type="dxa"/>
                  <w:tcBorders>
                    <w:tl2br w:val="nil"/>
                    <w:tr2bl w:val="nil"/>
                  </w:tcBorders>
                  <w:vAlign w:val="center"/>
                </w:tcPr>
                <w:p w14:paraId="0F1606C0">
                  <w:pPr>
                    <w:jc w:val="center"/>
                    <w:rPr>
                      <w:color w:val="auto"/>
                    </w:rPr>
                  </w:pPr>
                  <w:r>
                    <w:rPr>
                      <w:rFonts w:hint="eastAsia"/>
                      <w:color w:val="auto"/>
                    </w:rPr>
                    <w:t>1908.51m</w:t>
                  </w:r>
                  <w:r>
                    <w:rPr>
                      <w:rFonts w:hint="eastAsia"/>
                      <w:color w:val="auto"/>
                      <w:vertAlign w:val="superscript"/>
                    </w:rPr>
                    <w:t>2</w:t>
                  </w:r>
                </w:p>
              </w:tc>
              <w:tc>
                <w:tcPr>
                  <w:tcW w:w="1296" w:type="dxa"/>
                  <w:tcBorders>
                    <w:tl2br w:val="nil"/>
                    <w:tr2bl w:val="nil"/>
                  </w:tcBorders>
                  <w:vAlign w:val="center"/>
                </w:tcPr>
                <w:p w14:paraId="3A247C68">
                  <w:pPr>
                    <w:jc w:val="center"/>
                    <w:rPr>
                      <w:color w:val="auto"/>
                    </w:rPr>
                  </w:pPr>
                  <w:r>
                    <w:rPr>
                      <w:rFonts w:hint="eastAsia"/>
                      <w:color w:val="auto"/>
                    </w:rPr>
                    <w:t>7688.4m</w:t>
                  </w:r>
                  <w:r>
                    <w:rPr>
                      <w:rFonts w:hint="eastAsia"/>
                      <w:color w:val="auto"/>
                      <w:vertAlign w:val="superscript"/>
                    </w:rPr>
                    <w:t>2</w:t>
                  </w:r>
                </w:p>
              </w:tc>
              <w:tc>
                <w:tcPr>
                  <w:tcW w:w="1296" w:type="dxa"/>
                  <w:tcBorders>
                    <w:tl2br w:val="nil"/>
                    <w:tr2bl w:val="nil"/>
                  </w:tcBorders>
                  <w:vAlign w:val="center"/>
                </w:tcPr>
                <w:p w14:paraId="52476ADD">
                  <w:pPr>
                    <w:widowControl/>
                    <w:kinsoku w:val="0"/>
                    <w:autoSpaceDE w:val="0"/>
                    <w:autoSpaceDN w:val="0"/>
                    <w:adjustRightInd w:val="0"/>
                    <w:jc w:val="center"/>
                    <w:textAlignment w:val="baseline"/>
                    <w:rPr>
                      <w:snapToGrid w:val="0"/>
                      <w:color w:val="auto"/>
                      <w:kern w:val="0"/>
                    </w:rPr>
                  </w:pPr>
                  <w:r>
                    <w:rPr>
                      <w:snapToGrid w:val="0"/>
                      <w:color w:val="auto"/>
                      <w:kern w:val="0"/>
                    </w:rPr>
                    <w:t>4F</w:t>
                  </w:r>
                  <w:r>
                    <w:rPr>
                      <w:rFonts w:hint="eastAsia"/>
                      <w:snapToGrid w:val="0"/>
                      <w:color w:val="auto"/>
                      <w:kern w:val="0"/>
                    </w:rPr>
                    <w:t>，17.25m</w:t>
                  </w:r>
                </w:p>
              </w:tc>
              <w:tc>
                <w:tcPr>
                  <w:tcW w:w="1296" w:type="dxa"/>
                  <w:tcBorders>
                    <w:tl2br w:val="nil"/>
                    <w:tr2bl w:val="nil"/>
                  </w:tcBorders>
                  <w:vAlign w:val="center"/>
                </w:tcPr>
                <w:p w14:paraId="3616DC73">
                  <w:pPr>
                    <w:widowControl/>
                    <w:kinsoku w:val="0"/>
                    <w:autoSpaceDE w:val="0"/>
                    <w:autoSpaceDN w:val="0"/>
                    <w:adjustRightInd w:val="0"/>
                    <w:jc w:val="center"/>
                    <w:textAlignment w:val="baseline"/>
                    <w:rPr>
                      <w:snapToGrid w:val="0"/>
                      <w:color w:val="auto"/>
                      <w:kern w:val="0"/>
                    </w:rPr>
                  </w:pPr>
                  <w:r>
                    <w:rPr>
                      <w:rFonts w:hint="eastAsia"/>
                      <w:snapToGrid w:val="0"/>
                      <w:color w:val="auto"/>
                      <w:kern w:val="0"/>
                    </w:rPr>
                    <w:t>二级</w:t>
                  </w:r>
                </w:p>
              </w:tc>
              <w:tc>
                <w:tcPr>
                  <w:tcW w:w="1296" w:type="dxa"/>
                  <w:tcBorders>
                    <w:tl2br w:val="nil"/>
                    <w:tr2bl w:val="nil"/>
                  </w:tcBorders>
                  <w:vAlign w:val="center"/>
                </w:tcPr>
                <w:p w14:paraId="7D691D40">
                  <w:pPr>
                    <w:widowControl/>
                    <w:kinsoku w:val="0"/>
                    <w:autoSpaceDE w:val="0"/>
                    <w:autoSpaceDN w:val="0"/>
                    <w:adjustRightInd w:val="0"/>
                    <w:jc w:val="center"/>
                    <w:textAlignment w:val="baseline"/>
                    <w:rPr>
                      <w:color w:val="auto"/>
                    </w:rPr>
                  </w:pPr>
                  <w:r>
                    <w:rPr>
                      <w:rFonts w:hint="eastAsia"/>
                      <w:color w:val="auto"/>
                    </w:rPr>
                    <w:t>丙类</w:t>
                  </w:r>
                </w:p>
              </w:tc>
              <w:tc>
                <w:tcPr>
                  <w:tcW w:w="1296" w:type="dxa"/>
                  <w:tcBorders>
                    <w:tl2br w:val="nil"/>
                    <w:tr2bl w:val="nil"/>
                  </w:tcBorders>
                  <w:vAlign w:val="center"/>
                </w:tcPr>
                <w:p w14:paraId="6F8362FF">
                  <w:pPr>
                    <w:widowControl/>
                    <w:kinsoku w:val="0"/>
                    <w:autoSpaceDE w:val="0"/>
                    <w:autoSpaceDN w:val="0"/>
                    <w:adjustRightInd w:val="0"/>
                    <w:jc w:val="center"/>
                    <w:textAlignment w:val="baseline"/>
                    <w:rPr>
                      <w:color w:val="auto"/>
                    </w:rPr>
                  </w:pPr>
                  <w:r>
                    <w:rPr>
                      <w:rFonts w:hint="eastAsia"/>
                      <w:color w:val="auto"/>
                    </w:rPr>
                    <w:t>仓库</w:t>
                  </w:r>
                </w:p>
              </w:tc>
            </w:tr>
            <w:tr w14:paraId="5EF0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47" w:type="dxa"/>
                  <w:vMerge w:val="restart"/>
                  <w:tcBorders>
                    <w:tl2br w:val="nil"/>
                    <w:tr2bl w:val="nil"/>
                  </w:tcBorders>
                  <w:shd w:val="clear" w:color="auto" w:fill="auto"/>
                  <w:vAlign w:val="center"/>
                </w:tcPr>
                <w:p w14:paraId="5FB9DBB9">
                  <w:pPr>
                    <w:jc w:val="center"/>
                    <w:rPr>
                      <w:color w:val="auto"/>
                    </w:rPr>
                  </w:pPr>
                  <w:r>
                    <w:rPr>
                      <w:rFonts w:hint="eastAsia"/>
                      <w:color w:val="auto"/>
                    </w:rPr>
                    <w:t>车间四</w:t>
                  </w:r>
                </w:p>
              </w:tc>
              <w:tc>
                <w:tcPr>
                  <w:tcW w:w="648" w:type="dxa"/>
                  <w:tcBorders>
                    <w:tl2br w:val="nil"/>
                    <w:tr2bl w:val="nil"/>
                  </w:tcBorders>
                  <w:shd w:val="clear" w:color="auto" w:fill="auto"/>
                  <w:vAlign w:val="center"/>
                </w:tcPr>
                <w:p w14:paraId="5112D7AC">
                  <w:pPr>
                    <w:jc w:val="center"/>
                    <w:rPr>
                      <w:color w:val="auto"/>
                    </w:rPr>
                  </w:pPr>
                  <w:r>
                    <w:rPr>
                      <w:rFonts w:hint="eastAsia"/>
                      <w:color w:val="auto"/>
                    </w:rPr>
                    <w:t>现有</w:t>
                  </w:r>
                </w:p>
              </w:tc>
              <w:tc>
                <w:tcPr>
                  <w:tcW w:w="1296" w:type="dxa"/>
                  <w:tcBorders>
                    <w:tl2br w:val="nil"/>
                    <w:tr2bl w:val="nil"/>
                  </w:tcBorders>
                  <w:shd w:val="clear" w:color="auto" w:fill="auto"/>
                  <w:vAlign w:val="center"/>
                </w:tcPr>
                <w:p w14:paraId="4E83EC3C">
                  <w:pPr>
                    <w:jc w:val="center"/>
                    <w:rPr>
                      <w:rFonts w:ascii="仿宋" w:hAnsi="仿宋" w:eastAsia="仿宋" w:cs="仿宋"/>
                      <w:b/>
                      <w:bCs/>
                      <w:snapToGrid w:val="0"/>
                      <w:color w:val="auto"/>
                      <w:kern w:val="0"/>
                    </w:rPr>
                  </w:pPr>
                  <w:r>
                    <w:rPr>
                      <w:rFonts w:hint="eastAsia"/>
                      <w:color w:val="auto"/>
                    </w:rPr>
                    <w:t>3989.96m</w:t>
                  </w:r>
                  <w:r>
                    <w:rPr>
                      <w:rFonts w:hint="eastAsia"/>
                      <w:color w:val="auto"/>
                      <w:vertAlign w:val="superscript"/>
                    </w:rPr>
                    <w:t>2</w:t>
                  </w:r>
                </w:p>
              </w:tc>
              <w:tc>
                <w:tcPr>
                  <w:tcW w:w="1296" w:type="dxa"/>
                  <w:tcBorders>
                    <w:tl2br w:val="nil"/>
                    <w:tr2bl w:val="nil"/>
                  </w:tcBorders>
                  <w:vAlign w:val="center"/>
                </w:tcPr>
                <w:p w14:paraId="003FA671">
                  <w:pPr>
                    <w:jc w:val="center"/>
                    <w:rPr>
                      <w:rFonts w:ascii="仿宋" w:hAnsi="仿宋" w:eastAsia="仿宋" w:cs="仿宋"/>
                      <w:b/>
                      <w:bCs/>
                      <w:snapToGrid w:val="0"/>
                      <w:color w:val="auto"/>
                      <w:kern w:val="0"/>
                    </w:rPr>
                  </w:pPr>
                  <w:r>
                    <w:rPr>
                      <w:rFonts w:hint="eastAsia"/>
                      <w:color w:val="auto"/>
                    </w:rPr>
                    <w:t>3989.96m</w:t>
                  </w:r>
                  <w:r>
                    <w:rPr>
                      <w:rFonts w:hint="eastAsia"/>
                      <w:color w:val="auto"/>
                      <w:vertAlign w:val="superscript"/>
                    </w:rPr>
                    <w:t>2</w:t>
                  </w:r>
                </w:p>
              </w:tc>
              <w:tc>
                <w:tcPr>
                  <w:tcW w:w="1296" w:type="dxa"/>
                  <w:tcBorders>
                    <w:tl2br w:val="nil"/>
                    <w:tr2bl w:val="nil"/>
                  </w:tcBorders>
                  <w:vAlign w:val="center"/>
                </w:tcPr>
                <w:p w14:paraId="3C020339">
                  <w:pPr>
                    <w:widowControl/>
                    <w:kinsoku w:val="0"/>
                    <w:autoSpaceDE w:val="0"/>
                    <w:autoSpaceDN w:val="0"/>
                    <w:adjustRightInd w:val="0"/>
                    <w:jc w:val="center"/>
                    <w:textAlignment w:val="baseline"/>
                    <w:rPr>
                      <w:snapToGrid w:val="0"/>
                      <w:color w:val="auto"/>
                      <w:kern w:val="0"/>
                    </w:rPr>
                  </w:pPr>
                  <w:r>
                    <w:rPr>
                      <w:snapToGrid w:val="0"/>
                      <w:color w:val="auto"/>
                      <w:kern w:val="0"/>
                    </w:rPr>
                    <w:t>1F</w:t>
                  </w:r>
                  <w:r>
                    <w:rPr>
                      <w:rFonts w:hint="eastAsia"/>
                      <w:snapToGrid w:val="0"/>
                      <w:color w:val="auto"/>
                      <w:kern w:val="0"/>
                    </w:rPr>
                    <w:t>，9.55m</w:t>
                  </w:r>
                </w:p>
              </w:tc>
              <w:tc>
                <w:tcPr>
                  <w:tcW w:w="1296" w:type="dxa"/>
                  <w:tcBorders>
                    <w:tl2br w:val="nil"/>
                    <w:tr2bl w:val="nil"/>
                  </w:tcBorders>
                  <w:vAlign w:val="center"/>
                </w:tcPr>
                <w:p w14:paraId="195AA1C6">
                  <w:pPr>
                    <w:widowControl/>
                    <w:kinsoku w:val="0"/>
                    <w:autoSpaceDE w:val="0"/>
                    <w:autoSpaceDN w:val="0"/>
                    <w:adjustRightInd w:val="0"/>
                    <w:jc w:val="center"/>
                    <w:textAlignment w:val="baseline"/>
                    <w:rPr>
                      <w:snapToGrid w:val="0"/>
                      <w:color w:val="auto"/>
                      <w:kern w:val="0"/>
                    </w:rPr>
                  </w:pPr>
                  <w:r>
                    <w:rPr>
                      <w:rFonts w:hint="eastAsia"/>
                      <w:snapToGrid w:val="0"/>
                      <w:color w:val="auto"/>
                      <w:kern w:val="0"/>
                    </w:rPr>
                    <w:t>二级</w:t>
                  </w:r>
                </w:p>
              </w:tc>
              <w:tc>
                <w:tcPr>
                  <w:tcW w:w="1296" w:type="dxa"/>
                  <w:tcBorders>
                    <w:tl2br w:val="nil"/>
                    <w:tr2bl w:val="nil"/>
                  </w:tcBorders>
                  <w:vAlign w:val="center"/>
                </w:tcPr>
                <w:p w14:paraId="49CBC28F">
                  <w:pPr>
                    <w:widowControl/>
                    <w:kinsoku w:val="0"/>
                    <w:autoSpaceDE w:val="0"/>
                    <w:autoSpaceDN w:val="0"/>
                    <w:adjustRightInd w:val="0"/>
                    <w:jc w:val="center"/>
                    <w:textAlignment w:val="baseline"/>
                    <w:rPr>
                      <w:rFonts w:ascii="仿宋" w:hAnsi="仿宋" w:eastAsia="仿宋" w:cs="仿宋"/>
                      <w:b/>
                      <w:bCs/>
                      <w:snapToGrid w:val="0"/>
                      <w:color w:val="auto"/>
                      <w:kern w:val="0"/>
                    </w:rPr>
                  </w:pPr>
                  <w:r>
                    <w:rPr>
                      <w:rFonts w:hint="eastAsia"/>
                      <w:color w:val="auto"/>
                    </w:rPr>
                    <w:t>丙类</w:t>
                  </w:r>
                </w:p>
              </w:tc>
              <w:tc>
                <w:tcPr>
                  <w:tcW w:w="1296" w:type="dxa"/>
                  <w:vMerge w:val="restart"/>
                  <w:tcBorders>
                    <w:tl2br w:val="nil"/>
                    <w:tr2bl w:val="nil"/>
                  </w:tcBorders>
                  <w:vAlign w:val="center"/>
                </w:tcPr>
                <w:p w14:paraId="48C1CFC1">
                  <w:pPr>
                    <w:widowControl/>
                    <w:kinsoku w:val="0"/>
                    <w:autoSpaceDE w:val="0"/>
                    <w:autoSpaceDN w:val="0"/>
                    <w:adjustRightInd w:val="0"/>
                    <w:jc w:val="center"/>
                    <w:textAlignment w:val="baseline"/>
                    <w:rPr>
                      <w:color w:val="auto"/>
                    </w:rPr>
                  </w:pPr>
                  <w:r>
                    <w:rPr>
                      <w:rFonts w:hint="eastAsia"/>
                      <w:color w:val="auto"/>
                    </w:rPr>
                    <w:t>清洗、机加工</w:t>
                  </w:r>
                </w:p>
              </w:tc>
            </w:tr>
            <w:tr w14:paraId="6B82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47" w:type="dxa"/>
                  <w:vMerge w:val="continue"/>
                  <w:tcBorders>
                    <w:tl2br w:val="nil"/>
                    <w:tr2bl w:val="nil"/>
                  </w:tcBorders>
                  <w:shd w:val="clear" w:color="auto" w:fill="auto"/>
                  <w:vAlign w:val="center"/>
                </w:tcPr>
                <w:p w14:paraId="174ED3E3">
                  <w:pPr>
                    <w:jc w:val="center"/>
                    <w:rPr>
                      <w:color w:val="auto"/>
                    </w:rPr>
                  </w:pPr>
                </w:p>
              </w:tc>
              <w:tc>
                <w:tcPr>
                  <w:tcW w:w="648" w:type="dxa"/>
                  <w:tcBorders>
                    <w:tl2br w:val="nil"/>
                    <w:tr2bl w:val="nil"/>
                  </w:tcBorders>
                  <w:shd w:val="clear" w:color="auto" w:fill="auto"/>
                  <w:vAlign w:val="center"/>
                </w:tcPr>
                <w:p w14:paraId="194C84BF">
                  <w:pPr>
                    <w:jc w:val="center"/>
                    <w:rPr>
                      <w:color w:val="auto"/>
                    </w:rPr>
                  </w:pPr>
                  <w:r>
                    <w:rPr>
                      <w:rFonts w:hint="eastAsia"/>
                      <w:color w:val="auto"/>
                    </w:rPr>
                    <w:t>新建</w:t>
                  </w:r>
                </w:p>
              </w:tc>
              <w:tc>
                <w:tcPr>
                  <w:tcW w:w="1296" w:type="dxa"/>
                  <w:tcBorders>
                    <w:tl2br w:val="nil"/>
                    <w:tr2bl w:val="nil"/>
                  </w:tcBorders>
                  <w:shd w:val="clear" w:color="auto" w:fill="auto"/>
                  <w:vAlign w:val="center"/>
                </w:tcPr>
                <w:p w14:paraId="2C60DFE4">
                  <w:pPr>
                    <w:jc w:val="center"/>
                    <w:rPr>
                      <w:color w:val="auto"/>
                    </w:rPr>
                  </w:pPr>
                  <w:r>
                    <w:rPr>
                      <w:rFonts w:hint="eastAsia"/>
                      <w:color w:val="auto"/>
                    </w:rPr>
                    <w:t>2691.92m</w:t>
                  </w:r>
                  <w:r>
                    <w:rPr>
                      <w:rFonts w:hint="eastAsia"/>
                      <w:color w:val="auto"/>
                      <w:vertAlign w:val="superscript"/>
                    </w:rPr>
                    <w:t>2</w:t>
                  </w:r>
                </w:p>
              </w:tc>
              <w:tc>
                <w:tcPr>
                  <w:tcW w:w="1296" w:type="dxa"/>
                  <w:tcBorders>
                    <w:tl2br w:val="nil"/>
                    <w:tr2bl w:val="nil"/>
                  </w:tcBorders>
                  <w:vAlign w:val="center"/>
                </w:tcPr>
                <w:p w14:paraId="0E951288">
                  <w:pPr>
                    <w:jc w:val="center"/>
                    <w:rPr>
                      <w:color w:val="auto"/>
                    </w:rPr>
                  </w:pPr>
                  <w:r>
                    <w:rPr>
                      <w:rFonts w:hint="eastAsia"/>
                      <w:color w:val="auto"/>
                    </w:rPr>
                    <w:t>2691.92m</w:t>
                  </w:r>
                  <w:r>
                    <w:rPr>
                      <w:rFonts w:hint="eastAsia"/>
                      <w:color w:val="auto"/>
                      <w:vertAlign w:val="superscript"/>
                    </w:rPr>
                    <w:t>2</w:t>
                  </w:r>
                </w:p>
              </w:tc>
              <w:tc>
                <w:tcPr>
                  <w:tcW w:w="1296" w:type="dxa"/>
                  <w:tcBorders>
                    <w:tl2br w:val="nil"/>
                    <w:tr2bl w:val="nil"/>
                  </w:tcBorders>
                  <w:vAlign w:val="center"/>
                </w:tcPr>
                <w:p w14:paraId="5E0FA4E6">
                  <w:pPr>
                    <w:widowControl/>
                    <w:kinsoku w:val="0"/>
                    <w:autoSpaceDE w:val="0"/>
                    <w:autoSpaceDN w:val="0"/>
                    <w:adjustRightInd w:val="0"/>
                    <w:jc w:val="center"/>
                    <w:textAlignment w:val="baseline"/>
                    <w:rPr>
                      <w:snapToGrid w:val="0"/>
                      <w:color w:val="auto"/>
                      <w:kern w:val="0"/>
                    </w:rPr>
                  </w:pPr>
                  <w:r>
                    <w:rPr>
                      <w:snapToGrid w:val="0"/>
                      <w:color w:val="auto"/>
                      <w:kern w:val="0"/>
                    </w:rPr>
                    <w:t>1F</w:t>
                  </w:r>
                  <w:r>
                    <w:rPr>
                      <w:rFonts w:hint="eastAsia"/>
                      <w:snapToGrid w:val="0"/>
                      <w:color w:val="auto"/>
                      <w:kern w:val="0"/>
                    </w:rPr>
                    <w:t>，9.55m</w:t>
                  </w:r>
                </w:p>
              </w:tc>
              <w:tc>
                <w:tcPr>
                  <w:tcW w:w="1296" w:type="dxa"/>
                  <w:tcBorders>
                    <w:tl2br w:val="nil"/>
                    <w:tr2bl w:val="nil"/>
                  </w:tcBorders>
                  <w:vAlign w:val="center"/>
                </w:tcPr>
                <w:p w14:paraId="6E6646A9">
                  <w:pPr>
                    <w:widowControl/>
                    <w:kinsoku w:val="0"/>
                    <w:autoSpaceDE w:val="0"/>
                    <w:autoSpaceDN w:val="0"/>
                    <w:adjustRightInd w:val="0"/>
                    <w:jc w:val="center"/>
                    <w:textAlignment w:val="baseline"/>
                    <w:rPr>
                      <w:snapToGrid w:val="0"/>
                      <w:color w:val="auto"/>
                      <w:kern w:val="0"/>
                    </w:rPr>
                  </w:pPr>
                  <w:r>
                    <w:rPr>
                      <w:rFonts w:hint="eastAsia"/>
                      <w:snapToGrid w:val="0"/>
                      <w:color w:val="auto"/>
                      <w:kern w:val="0"/>
                    </w:rPr>
                    <w:t>二级</w:t>
                  </w:r>
                </w:p>
              </w:tc>
              <w:tc>
                <w:tcPr>
                  <w:tcW w:w="1296" w:type="dxa"/>
                  <w:tcBorders>
                    <w:tl2br w:val="nil"/>
                    <w:tr2bl w:val="nil"/>
                  </w:tcBorders>
                  <w:vAlign w:val="center"/>
                </w:tcPr>
                <w:p w14:paraId="55122BDE">
                  <w:pPr>
                    <w:widowControl/>
                    <w:kinsoku w:val="0"/>
                    <w:autoSpaceDE w:val="0"/>
                    <w:autoSpaceDN w:val="0"/>
                    <w:adjustRightInd w:val="0"/>
                    <w:jc w:val="center"/>
                    <w:textAlignment w:val="baseline"/>
                    <w:rPr>
                      <w:color w:val="auto"/>
                    </w:rPr>
                  </w:pPr>
                  <w:r>
                    <w:rPr>
                      <w:rFonts w:hint="eastAsia"/>
                      <w:color w:val="auto"/>
                    </w:rPr>
                    <w:t>丙类</w:t>
                  </w:r>
                </w:p>
              </w:tc>
              <w:tc>
                <w:tcPr>
                  <w:tcW w:w="1296" w:type="dxa"/>
                  <w:vMerge w:val="continue"/>
                  <w:tcBorders>
                    <w:tl2br w:val="nil"/>
                    <w:tr2bl w:val="nil"/>
                  </w:tcBorders>
                  <w:vAlign w:val="center"/>
                </w:tcPr>
                <w:p w14:paraId="131F9574">
                  <w:pPr>
                    <w:widowControl/>
                    <w:kinsoku w:val="0"/>
                    <w:autoSpaceDE w:val="0"/>
                    <w:autoSpaceDN w:val="0"/>
                    <w:adjustRightInd w:val="0"/>
                    <w:jc w:val="center"/>
                    <w:textAlignment w:val="baseline"/>
                    <w:rPr>
                      <w:color w:val="auto"/>
                    </w:rPr>
                  </w:pPr>
                </w:p>
              </w:tc>
            </w:tr>
            <w:tr w14:paraId="1C75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gridSpan w:val="2"/>
                  <w:tcBorders>
                    <w:tl2br w:val="nil"/>
                    <w:tr2bl w:val="nil"/>
                  </w:tcBorders>
                  <w:shd w:val="clear" w:color="auto" w:fill="auto"/>
                  <w:vAlign w:val="center"/>
                </w:tcPr>
                <w:p w14:paraId="595D9F86">
                  <w:pPr>
                    <w:jc w:val="center"/>
                    <w:rPr>
                      <w:color w:val="auto"/>
                    </w:rPr>
                  </w:pPr>
                  <w:r>
                    <w:rPr>
                      <w:rFonts w:hint="eastAsia"/>
                      <w:color w:val="auto"/>
                    </w:rPr>
                    <w:t>车间五</w:t>
                  </w:r>
                </w:p>
              </w:tc>
              <w:tc>
                <w:tcPr>
                  <w:tcW w:w="1296" w:type="dxa"/>
                  <w:tcBorders>
                    <w:tl2br w:val="nil"/>
                    <w:tr2bl w:val="nil"/>
                  </w:tcBorders>
                  <w:shd w:val="clear" w:color="auto" w:fill="auto"/>
                  <w:vAlign w:val="center"/>
                </w:tcPr>
                <w:p w14:paraId="5DAC84E6">
                  <w:pPr>
                    <w:jc w:val="center"/>
                    <w:rPr>
                      <w:rFonts w:ascii="仿宋" w:hAnsi="仿宋" w:eastAsia="仿宋" w:cs="仿宋"/>
                      <w:b/>
                      <w:bCs/>
                      <w:snapToGrid w:val="0"/>
                      <w:color w:val="auto"/>
                      <w:kern w:val="0"/>
                    </w:rPr>
                  </w:pPr>
                  <w:r>
                    <w:rPr>
                      <w:rFonts w:hint="eastAsia"/>
                      <w:color w:val="auto"/>
                    </w:rPr>
                    <w:t>3989.96m</w:t>
                  </w:r>
                  <w:r>
                    <w:rPr>
                      <w:rFonts w:hint="eastAsia"/>
                      <w:color w:val="auto"/>
                      <w:vertAlign w:val="superscript"/>
                    </w:rPr>
                    <w:t>2</w:t>
                  </w:r>
                </w:p>
              </w:tc>
              <w:tc>
                <w:tcPr>
                  <w:tcW w:w="1296" w:type="dxa"/>
                  <w:tcBorders>
                    <w:tl2br w:val="nil"/>
                    <w:tr2bl w:val="nil"/>
                  </w:tcBorders>
                  <w:vAlign w:val="center"/>
                </w:tcPr>
                <w:p w14:paraId="509F0498">
                  <w:pPr>
                    <w:jc w:val="center"/>
                    <w:rPr>
                      <w:rFonts w:ascii="仿宋" w:hAnsi="仿宋" w:eastAsia="仿宋" w:cs="仿宋"/>
                      <w:b/>
                      <w:bCs/>
                      <w:snapToGrid w:val="0"/>
                      <w:color w:val="auto"/>
                      <w:kern w:val="0"/>
                    </w:rPr>
                  </w:pPr>
                  <w:r>
                    <w:rPr>
                      <w:rFonts w:hint="eastAsia"/>
                      <w:color w:val="auto"/>
                    </w:rPr>
                    <w:t>3989.96m</w:t>
                  </w:r>
                  <w:r>
                    <w:rPr>
                      <w:rFonts w:hint="eastAsia"/>
                      <w:color w:val="auto"/>
                      <w:vertAlign w:val="superscript"/>
                    </w:rPr>
                    <w:t>2</w:t>
                  </w:r>
                </w:p>
              </w:tc>
              <w:tc>
                <w:tcPr>
                  <w:tcW w:w="1296" w:type="dxa"/>
                  <w:tcBorders>
                    <w:tl2br w:val="nil"/>
                    <w:tr2bl w:val="nil"/>
                  </w:tcBorders>
                  <w:vAlign w:val="center"/>
                </w:tcPr>
                <w:p w14:paraId="593B99CA">
                  <w:pPr>
                    <w:widowControl/>
                    <w:kinsoku w:val="0"/>
                    <w:autoSpaceDE w:val="0"/>
                    <w:autoSpaceDN w:val="0"/>
                    <w:adjustRightInd w:val="0"/>
                    <w:jc w:val="center"/>
                    <w:textAlignment w:val="baseline"/>
                    <w:rPr>
                      <w:snapToGrid w:val="0"/>
                      <w:color w:val="auto"/>
                      <w:kern w:val="0"/>
                    </w:rPr>
                  </w:pPr>
                  <w:r>
                    <w:rPr>
                      <w:snapToGrid w:val="0"/>
                      <w:color w:val="auto"/>
                      <w:kern w:val="0"/>
                    </w:rPr>
                    <w:t>1F</w:t>
                  </w:r>
                  <w:r>
                    <w:rPr>
                      <w:rFonts w:hint="eastAsia"/>
                      <w:snapToGrid w:val="0"/>
                      <w:color w:val="auto"/>
                      <w:kern w:val="0"/>
                    </w:rPr>
                    <w:t>，9.55m</w:t>
                  </w:r>
                </w:p>
              </w:tc>
              <w:tc>
                <w:tcPr>
                  <w:tcW w:w="1296" w:type="dxa"/>
                  <w:tcBorders>
                    <w:tl2br w:val="nil"/>
                    <w:tr2bl w:val="nil"/>
                  </w:tcBorders>
                  <w:vAlign w:val="center"/>
                </w:tcPr>
                <w:p w14:paraId="733AF6B2">
                  <w:pPr>
                    <w:widowControl/>
                    <w:kinsoku w:val="0"/>
                    <w:autoSpaceDE w:val="0"/>
                    <w:autoSpaceDN w:val="0"/>
                    <w:adjustRightInd w:val="0"/>
                    <w:jc w:val="center"/>
                    <w:textAlignment w:val="baseline"/>
                    <w:rPr>
                      <w:snapToGrid w:val="0"/>
                      <w:color w:val="auto"/>
                      <w:kern w:val="0"/>
                    </w:rPr>
                  </w:pPr>
                  <w:r>
                    <w:rPr>
                      <w:rFonts w:hint="eastAsia"/>
                      <w:snapToGrid w:val="0"/>
                      <w:color w:val="auto"/>
                      <w:kern w:val="0"/>
                    </w:rPr>
                    <w:t>二级</w:t>
                  </w:r>
                </w:p>
              </w:tc>
              <w:tc>
                <w:tcPr>
                  <w:tcW w:w="1296" w:type="dxa"/>
                  <w:tcBorders>
                    <w:tl2br w:val="nil"/>
                    <w:tr2bl w:val="nil"/>
                  </w:tcBorders>
                  <w:vAlign w:val="center"/>
                </w:tcPr>
                <w:p w14:paraId="1A21B299">
                  <w:pPr>
                    <w:widowControl/>
                    <w:kinsoku w:val="0"/>
                    <w:autoSpaceDE w:val="0"/>
                    <w:autoSpaceDN w:val="0"/>
                    <w:adjustRightInd w:val="0"/>
                    <w:jc w:val="center"/>
                    <w:textAlignment w:val="baseline"/>
                    <w:rPr>
                      <w:rFonts w:ascii="仿宋" w:hAnsi="仿宋" w:eastAsia="仿宋" w:cs="仿宋"/>
                      <w:b/>
                      <w:bCs/>
                      <w:snapToGrid w:val="0"/>
                      <w:color w:val="auto"/>
                      <w:kern w:val="0"/>
                    </w:rPr>
                  </w:pPr>
                  <w:r>
                    <w:rPr>
                      <w:rFonts w:hint="eastAsia"/>
                      <w:color w:val="auto"/>
                    </w:rPr>
                    <w:t>丁类</w:t>
                  </w:r>
                </w:p>
              </w:tc>
              <w:tc>
                <w:tcPr>
                  <w:tcW w:w="1296" w:type="dxa"/>
                  <w:tcBorders>
                    <w:tl2br w:val="nil"/>
                    <w:tr2bl w:val="nil"/>
                  </w:tcBorders>
                  <w:vAlign w:val="center"/>
                </w:tcPr>
                <w:p w14:paraId="409A75D0">
                  <w:pPr>
                    <w:widowControl/>
                    <w:kinsoku w:val="0"/>
                    <w:autoSpaceDE w:val="0"/>
                    <w:autoSpaceDN w:val="0"/>
                    <w:adjustRightInd w:val="0"/>
                    <w:jc w:val="center"/>
                    <w:textAlignment w:val="baseline"/>
                    <w:rPr>
                      <w:color w:val="auto"/>
                    </w:rPr>
                  </w:pPr>
                  <w:r>
                    <w:rPr>
                      <w:rFonts w:hint="eastAsia"/>
                      <w:color w:val="auto"/>
                    </w:rPr>
                    <w:t>机加工</w:t>
                  </w:r>
                </w:p>
              </w:tc>
            </w:tr>
            <w:tr w14:paraId="3E24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gridSpan w:val="2"/>
                  <w:tcBorders>
                    <w:tl2br w:val="nil"/>
                    <w:tr2bl w:val="nil"/>
                  </w:tcBorders>
                  <w:shd w:val="clear" w:color="auto" w:fill="auto"/>
                  <w:vAlign w:val="center"/>
                </w:tcPr>
                <w:p w14:paraId="62C81FAF">
                  <w:pPr>
                    <w:jc w:val="center"/>
                    <w:rPr>
                      <w:color w:val="auto"/>
                    </w:rPr>
                  </w:pPr>
                  <w:r>
                    <w:rPr>
                      <w:rFonts w:hint="eastAsia"/>
                      <w:color w:val="auto"/>
                    </w:rPr>
                    <w:t>食堂</w:t>
                  </w:r>
                </w:p>
              </w:tc>
              <w:tc>
                <w:tcPr>
                  <w:tcW w:w="1296" w:type="dxa"/>
                  <w:tcBorders>
                    <w:tl2br w:val="nil"/>
                    <w:tr2bl w:val="nil"/>
                  </w:tcBorders>
                  <w:shd w:val="clear" w:color="auto" w:fill="auto"/>
                  <w:vAlign w:val="center"/>
                </w:tcPr>
                <w:p w14:paraId="15AB501A">
                  <w:pPr>
                    <w:jc w:val="center"/>
                    <w:rPr>
                      <w:color w:val="auto"/>
                    </w:rPr>
                  </w:pPr>
                  <w:r>
                    <w:rPr>
                      <w:rFonts w:hint="eastAsia"/>
                      <w:color w:val="auto"/>
                    </w:rPr>
                    <w:t>295.24m</w:t>
                  </w:r>
                  <w:r>
                    <w:rPr>
                      <w:rFonts w:hint="eastAsia"/>
                      <w:color w:val="auto"/>
                      <w:vertAlign w:val="superscript"/>
                    </w:rPr>
                    <w:t>2</w:t>
                  </w:r>
                </w:p>
              </w:tc>
              <w:tc>
                <w:tcPr>
                  <w:tcW w:w="1296" w:type="dxa"/>
                  <w:tcBorders>
                    <w:tl2br w:val="nil"/>
                    <w:tr2bl w:val="nil"/>
                  </w:tcBorders>
                  <w:vAlign w:val="center"/>
                </w:tcPr>
                <w:p w14:paraId="1A352D24">
                  <w:pPr>
                    <w:jc w:val="center"/>
                    <w:rPr>
                      <w:color w:val="auto"/>
                    </w:rPr>
                  </w:pPr>
                  <w:r>
                    <w:rPr>
                      <w:rFonts w:hint="eastAsia"/>
                      <w:color w:val="auto"/>
                    </w:rPr>
                    <w:t>590.48m</w:t>
                  </w:r>
                  <w:r>
                    <w:rPr>
                      <w:rFonts w:hint="eastAsia"/>
                      <w:color w:val="auto"/>
                      <w:vertAlign w:val="superscript"/>
                    </w:rPr>
                    <w:t>2</w:t>
                  </w:r>
                </w:p>
              </w:tc>
              <w:tc>
                <w:tcPr>
                  <w:tcW w:w="1296" w:type="dxa"/>
                  <w:tcBorders>
                    <w:tl2br w:val="nil"/>
                    <w:tr2bl w:val="nil"/>
                  </w:tcBorders>
                  <w:vAlign w:val="center"/>
                </w:tcPr>
                <w:p w14:paraId="435D96DE">
                  <w:pPr>
                    <w:widowControl/>
                    <w:kinsoku w:val="0"/>
                    <w:autoSpaceDE w:val="0"/>
                    <w:autoSpaceDN w:val="0"/>
                    <w:adjustRightInd w:val="0"/>
                    <w:jc w:val="center"/>
                    <w:textAlignment w:val="baseline"/>
                    <w:rPr>
                      <w:snapToGrid w:val="0"/>
                      <w:color w:val="auto"/>
                      <w:kern w:val="0"/>
                    </w:rPr>
                  </w:pPr>
                  <w:r>
                    <w:rPr>
                      <w:rFonts w:hint="eastAsia"/>
                      <w:snapToGrid w:val="0"/>
                      <w:color w:val="auto"/>
                      <w:kern w:val="0"/>
                    </w:rPr>
                    <w:t>2</w:t>
                  </w:r>
                  <w:r>
                    <w:rPr>
                      <w:snapToGrid w:val="0"/>
                      <w:color w:val="auto"/>
                      <w:kern w:val="0"/>
                    </w:rPr>
                    <w:t>F</w:t>
                  </w:r>
                  <w:r>
                    <w:rPr>
                      <w:rFonts w:hint="eastAsia"/>
                      <w:snapToGrid w:val="0"/>
                      <w:color w:val="auto"/>
                      <w:kern w:val="0"/>
                    </w:rPr>
                    <w:t>，8.6m</w:t>
                  </w:r>
                </w:p>
              </w:tc>
              <w:tc>
                <w:tcPr>
                  <w:tcW w:w="1296" w:type="dxa"/>
                  <w:tcBorders>
                    <w:tl2br w:val="nil"/>
                    <w:tr2bl w:val="nil"/>
                  </w:tcBorders>
                  <w:vAlign w:val="center"/>
                </w:tcPr>
                <w:p w14:paraId="0A0ECAD1">
                  <w:pPr>
                    <w:widowControl/>
                    <w:kinsoku w:val="0"/>
                    <w:autoSpaceDE w:val="0"/>
                    <w:autoSpaceDN w:val="0"/>
                    <w:adjustRightInd w:val="0"/>
                    <w:jc w:val="center"/>
                    <w:textAlignment w:val="baseline"/>
                    <w:rPr>
                      <w:snapToGrid w:val="0"/>
                      <w:color w:val="auto"/>
                      <w:kern w:val="0"/>
                    </w:rPr>
                  </w:pPr>
                  <w:r>
                    <w:rPr>
                      <w:rFonts w:hint="eastAsia"/>
                      <w:snapToGrid w:val="0"/>
                      <w:color w:val="auto"/>
                      <w:kern w:val="0"/>
                    </w:rPr>
                    <w:t>二级</w:t>
                  </w:r>
                </w:p>
              </w:tc>
              <w:tc>
                <w:tcPr>
                  <w:tcW w:w="1296" w:type="dxa"/>
                  <w:tcBorders>
                    <w:tl2br w:val="nil"/>
                    <w:tr2bl w:val="nil"/>
                  </w:tcBorders>
                  <w:vAlign w:val="center"/>
                </w:tcPr>
                <w:p w14:paraId="3232B6BB">
                  <w:pPr>
                    <w:widowControl/>
                    <w:kinsoku w:val="0"/>
                    <w:autoSpaceDE w:val="0"/>
                    <w:autoSpaceDN w:val="0"/>
                    <w:adjustRightInd w:val="0"/>
                    <w:jc w:val="center"/>
                    <w:textAlignment w:val="baseline"/>
                    <w:rPr>
                      <w:color w:val="auto"/>
                    </w:rPr>
                  </w:pPr>
                  <w:r>
                    <w:rPr>
                      <w:rFonts w:hint="eastAsia"/>
                      <w:color w:val="auto"/>
                    </w:rPr>
                    <w:t>丁类</w:t>
                  </w:r>
                </w:p>
              </w:tc>
              <w:tc>
                <w:tcPr>
                  <w:tcW w:w="1296" w:type="dxa"/>
                  <w:tcBorders>
                    <w:tl2br w:val="nil"/>
                    <w:tr2bl w:val="nil"/>
                  </w:tcBorders>
                  <w:vAlign w:val="center"/>
                </w:tcPr>
                <w:p w14:paraId="760847D8">
                  <w:pPr>
                    <w:widowControl/>
                    <w:kinsoku w:val="0"/>
                    <w:autoSpaceDE w:val="0"/>
                    <w:autoSpaceDN w:val="0"/>
                    <w:adjustRightInd w:val="0"/>
                    <w:jc w:val="center"/>
                    <w:textAlignment w:val="baseline"/>
                    <w:rPr>
                      <w:color w:val="auto"/>
                    </w:rPr>
                  </w:pPr>
                  <w:r>
                    <w:rPr>
                      <w:rFonts w:hint="eastAsia"/>
                      <w:color w:val="auto"/>
                    </w:rPr>
                    <w:t>/</w:t>
                  </w:r>
                </w:p>
              </w:tc>
            </w:tr>
          </w:tbl>
          <w:p w14:paraId="51A75257">
            <w:pPr>
              <w:spacing w:line="360" w:lineRule="auto"/>
              <w:jc w:val="center"/>
              <w:rPr>
                <w:b/>
                <w:bCs/>
                <w:color w:val="auto"/>
                <w:sz w:val="24"/>
                <w:szCs w:val="24"/>
              </w:rPr>
            </w:pPr>
            <w:r>
              <w:rPr>
                <w:b/>
                <w:bCs/>
                <w:color w:val="auto"/>
                <w:sz w:val="24"/>
                <w:szCs w:val="24"/>
              </w:rPr>
              <w:t>表</w:t>
            </w:r>
            <w:r>
              <w:rPr>
                <w:rFonts w:hint="eastAsia"/>
                <w:b/>
                <w:bCs/>
                <w:color w:val="auto"/>
                <w:sz w:val="24"/>
                <w:szCs w:val="24"/>
              </w:rPr>
              <w:t>2-3</w:t>
            </w:r>
            <w:r>
              <w:rPr>
                <w:rFonts w:hint="eastAsia"/>
                <w:b/>
                <w:bCs/>
                <w:color w:val="auto"/>
                <w:sz w:val="24"/>
                <w:szCs w:val="24"/>
                <w:lang w:val="en-US" w:eastAsia="zh-CN"/>
              </w:rPr>
              <w:t xml:space="preserve">  </w:t>
            </w:r>
            <w:r>
              <w:rPr>
                <w:rFonts w:hint="eastAsia"/>
                <w:b/>
                <w:bCs/>
                <w:color w:val="auto"/>
                <w:sz w:val="24"/>
                <w:szCs w:val="24"/>
              </w:rPr>
              <w:t>建设</w:t>
            </w:r>
            <w:r>
              <w:rPr>
                <w:b/>
                <w:bCs/>
                <w:color w:val="auto"/>
                <w:sz w:val="24"/>
                <w:szCs w:val="24"/>
              </w:rPr>
              <w:t>项目相关公辅工程一览表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967"/>
              <w:gridCol w:w="2122"/>
              <w:gridCol w:w="1772"/>
              <w:gridCol w:w="3147"/>
            </w:tblGrid>
            <w:tr w14:paraId="5036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3" w:type="dxa"/>
                  <w:vAlign w:val="center"/>
                </w:tcPr>
                <w:p w14:paraId="363DE464">
                  <w:pPr>
                    <w:jc w:val="center"/>
                    <w:rPr>
                      <w:color w:val="auto"/>
                    </w:rPr>
                  </w:pPr>
                  <w:r>
                    <w:rPr>
                      <w:rFonts w:hint="eastAsia"/>
                      <w:b/>
                      <w:bCs/>
                      <w:color w:val="auto"/>
                    </w:rPr>
                    <w:t>工程类别</w:t>
                  </w:r>
                </w:p>
              </w:tc>
              <w:tc>
                <w:tcPr>
                  <w:tcW w:w="3089" w:type="dxa"/>
                  <w:gridSpan w:val="2"/>
                  <w:vAlign w:val="center"/>
                </w:tcPr>
                <w:p w14:paraId="5F1BC10B">
                  <w:pPr>
                    <w:jc w:val="center"/>
                    <w:rPr>
                      <w:b/>
                      <w:bCs/>
                      <w:color w:val="auto"/>
                    </w:rPr>
                  </w:pPr>
                  <w:r>
                    <w:rPr>
                      <w:rFonts w:hint="eastAsia"/>
                      <w:b/>
                      <w:bCs/>
                      <w:color w:val="auto"/>
                    </w:rPr>
                    <w:t>建设名称</w:t>
                  </w:r>
                </w:p>
              </w:tc>
              <w:tc>
                <w:tcPr>
                  <w:tcW w:w="1772" w:type="dxa"/>
                  <w:vAlign w:val="center"/>
                </w:tcPr>
                <w:p w14:paraId="1B99EB82">
                  <w:pPr>
                    <w:jc w:val="center"/>
                    <w:rPr>
                      <w:b/>
                      <w:bCs/>
                      <w:color w:val="auto"/>
                    </w:rPr>
                  </w:pPr>
                  <w:r>
                    <w:rPr>
                      <w:rFonts w:hint="eastAsia"/>
                      <w:b/>
                      <w:bCs/>
                      <w:color w:val="auto"/>
                    </w:rPr>
                    <w:t>设计能力</w:t>
                  </w:r>
                </w:p>
              </w:tc>
              <w:tc>
                <w:tcPr>
                  <w:tcW w:w="3147" w:type="dxa"/>
                  <w:vAlign w:val="center"/>
                </w:tcPr>
                <w:p w14:paraId="4339E08C">
                  <w:pPr>
                    <w:jc w:val="center"/>
                    <w:rPr>
                      <w:b/>
                      <w:bCs/>
                      <w:color w:val="auto"/>
                    </w:rPr>
                  </w:pPr>
                  <w:r>
                    <w:rPr>
                      <w:rFonts w:hint="eastAsia"/>
                      <w:b/>
                      <w:bCs/>
                      <w:color w:val="auto"/>
                    </w:rPr>
                    <w:t>备注</w:t>
                  </w:r>
                </w:p>
              </w:tc>
            </w:tr>
            <w:tr w14:paraId="4B1D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3" w:type="dxa"/>
                  <w:vMerge w:val="restart"/>
                  <w:vAlign w:val="center"/>
                </w:tcPr>
                <w:p w14:paraId="1E8CFE96">
                  <w:pPr>
                    <w:jc w:val="center"/>
                    <w:rPr>
                      <w:color w:val="auto"/>
                    </w:rPr>
                  </w:pPr>
                  <w:r>
                    <w:rPr>
                      <w:rFonts w:hint="eastAsia"/>
                      <w:color w:val="auto"/>
                    </w:rPr>
                    <w:t>贮运</w:t>
                  </w:r>
                </w:p>
                <w:p w14:paraId="5E1E0414">
                  <w:pPr>
                    <w:jc w:val="center"/>
                    <w:rPr>
                      <w:color w:val="auto"/>
                    </w:rPr>
                  </w:pPr>
                  <w:r>
                    <w:rPr>
                      <w:rFonts w:hint="eastAsia"/>
                      <w:color w:val="auto"/>
                    </w:rPr>
                    <w:t>工程</w:t>
                  </w:r>
                </w:p>
              </w:tc>
              <w:tc>
                <w:tcPr>
                  <w:tcW w:w="3089" w:type="dxa"/>
                  <w:gridSpan w:val="2"/>
                  <w:vAlign w:val="center"/>
                </w:tcPr>
                <w:p w14:paraId="5054CC18">
                  <w:pPr>
                    <w:jc w:val="center"/>
                    <w:rPr>
                      <w:color w:val="auto"/>
                    </w:rPr>
                  </w:pPr>
                  <w:r>
                    <w:rPr>
                      <w:rFonts w:hint="eastAsia"/>
                      <w:color w:val="auto"/>
                    </w:rPr>
                    <w:t>原辅材料仓库</w:t>
                  </w:r>
                </w:p>
              </w:tc>
              <w:tc>
                <w:tcPr>
                  <w:tcW w:w="1772" w:type="dxa"/>
                  <w:vAlign w:val="center"/>
                </w:tcPr>
                <w:p w14:paraId="338C4BB5">
                  <w:pPr>
                    <w:jc w:val="center"/>
                    <w:rPr>
                      <w:color w:val="auto"/>
                    </w:rPr>
                  </w:pPr>
                  <w:r>
                    <w:rPr>
                      <w:rFonts w:hint="eastAsia"/>
                      <w:color w:val="auto"/>
                    </w:rPr>
                    <w:t>500m</w:t>
                  </w:r>
                  <w:r>
                    <w:rPr>
                      <w:rFonts w:hint="eastAsia"/>
                      <w:color w:val="auto"/>
                      <w:vertAlign w:val="superscript"/>
                    </w:rPr>
                    <w:t>2</w:t>
                  </w:r>
                </w:p>
              </w:tc>
              <w:tc>
                <w:tcPr>
                  <w:tcW w:w="3147" w:type="dxa"/>
                  <w:vAlign w:val="center"/>
                </w:tcPr>
                <w:p w14:paraId="66A93E71">
                  <w:pPr>
                    <w:jc w:val="center"/>
                    <w:rPr>
                      <w:color w:val="auto"/>
                    </w:rPr>
                  </w:pPr>
                  <w:r>
                    <w:rPr>
                      <w:rFonts w:hint="eastAsia"/>
                      <w:color w:val="auto"/>
                    </w:rPr>
                    <w:t>依托现有，存放原材料</w:t>
                  </w:r>
                </w:p>
              </w:tc>
            </w:tr>
            <w:tr w14:paraId="3BE2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10955294">
                  <w:pPr>
                    <w:jc w:val="center"/>
                    <w:rPr>
                      <w:color w:val="auto"/>
                    </w:rPr>
                  </w:pPr>
                </w:p>
              </w:tc>
              <w:tc>
                <w:tcPr>
                  <w:tcW w:w="3089" w:type="dxa"/>
                  <w:gridSpan w:val="2"/>
                  <w:vAlign w:val="center"/>
                </w:tcPr>
                <w:p w14:paraId="0995686E">
                  <w:pPr>
                    <w:jc w:val="center"/>
                    <w:rPr>
                      <w:color w:val="auto"/>
                    </w:rPr>
                  </w:pPr>
                  <w:r>
                    <w:rPr>
                      <w:rFonts w:hint="eastAsia"/>
                      <w:color w:val="auto"/>
                    </w:rPr>
                    <w:t>成品仓库</w:t>
                  </w:r>
                </w:p>
              </w:tc>
              <w:tc>
                <w:tcPr>
                  <w:tcW w:w="1772" w:type="dxa"/>
                  <w:vAlign w:val="center"/>
                </w:tcPr>
                <w:p w14:paraId="507EA9D9">
                  <w:pPr>
                    <w:jc w:val="center"/>
                    <w:rPr>
                      <w:color w:val="auto"/>
                    </w:rPr>
                  </w:pPr>
                  <w:r>
                    <w:rPr>
                      <w:rFonts w:hint="eastAsia"/>
                      <w:color w:val="auto"/>
                    </w:rPr>
                    <w:t>500m</w:t>
                  </w:r>
                  <w:r>
                    <w:rPr>
                      <w:rFonts w:hint="eastAsia"/>
                      <w:color w:val="auto"/>
                      <w:vertAlign w:val="superscript"/>
                    </w:rPr>
                    <w:t>2</w:t>
                  </w:r>
                </w:p>
              </w:tc>
              <w:tc>
                <w:tcPr>
                  <w:tcW w:w="3147" w:type="dxa"/>
                  <w:vAlign w:val="center"/>
                </w:tcPr>
                <w:p w14:paraId="01F67E3F">
                  <w:pPr>
                    <w:jc w:val="center"/>
                    <w:rPr>
                      <w:color w:val="auto"/>
                    </w:rPr>
                  </w:pPr>
                  <w:r>
                    <w:rPr>
                      <w:rFonts w:hint="eastAsia"/>
                      <w:color w:val="auto"/>
                    </w:rPr>
                    <w:t>依托现有，存放成品</w:t>
                  </w:r>
                </w:p>
              </w:tc>
            </w:tr>
            <w:tr w14:paraId="4551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restart"/>
                  <w:vAlign w:val="center"/>
                </w:tcPr>
                <w:p w14:paraId="315E4A52">
                  <w:pPr>
                    <w:jc w:val="center"/>
                    <w:rPr>
                      <w:color w:val="auto"/>
                    </w:rPr>
                  </w:pPr>
                  <w:r>
                    <w:rPr>
                      <w:rFonts w:hint="eastAsia"/>
                      <w:color w:val="auto"/>
                    </w:rPr>
                    <w:t>公用</w:t>
                  </w:r>
                </w:p>
                <w:p w14:paraId="17078C97">
                  <w:pPr>
                    <w:jc w:val="center"/>
                    <w:rPr>
                      <w:color w:val="auto"/>
                    </w:rPr>
                  </w:pPr>
                  <w:r>
                    <w:rPr>
                      <w:rFonts w:hint="eastAsia"/>
                      <w:color w:val="auto"/>
                    </w:rPr>
                    <w:t>工程</w:t>
                  </w:r>
                </w:p>
              </w:tc>
              <w:tc>
                <w:tcPr>
                  <w:tcW w:w="3089" w:type="dxa"/>
                  <w:gridSpan w:val="2"/>
                  <w:vAlign w:val="center"/>
                </w:tcPr>
                <w:p w14:paraId="4920E8EF">
                  <w:pPr>
                    <w:jc w:val="center"/>
                    <w:rPr>
                      <w:color w:val="auto"/>
                    </w:rPr>
                  </w:pPr>
                  <w:r>
                    <w:rPr>
                      <w:rFonts w:hint="eastAsia"/>
                      <w:color w:val="auto"/>
                    </w:rPr>
                    <w:t>给水</w:t>
                  </w:r>
                </w:p>
              </w:tc>
              <w:tc>
                <w:tcPr>
                  <w:tcW w:w="1772" w:type="dxa"/>
                  <w:vAlign w:val="center"/>
                </w:tcPr>
                <w:p w14:paraId="53205161">
                  <w:pPr>
                    <w:jc w:val="center"/>
                    <w:rPr>
                      <w:color w:val="auto"/>
                    </w:rPr>
                  </w:pPr>
                  <w:r>
                    <w:rPr>
                      <w:rFonts w:hint="eastAsia"/>
                      <w:color w:val="auto"/>
                    </w:rPr>
                    <w:t>9</w:t>
                  </w:r>
                  <w:r>
                    <w:rPr>
                      <w:rFonts w:hint="eastAsia"/>
                      <w:color w:val="auto"/>
                      <w:lang w:val="en-US" w:eastAsia="zh-CN"/>
                    </w:rPr>
                    <w:t>685m</w:t>
                  </w:r>
                  <w:r>
                    <w:rPr>
                      <w:rFonts w:hint="eastAsia"/>
                      <w:color w:val="auto"/>
                      <w:vertAlign w:val="superscript"/>
                      <w:lang w:val="en-US" w:eastAsia="zh-CN"/>
                    </w:rPr>
                    <w:t>3</w:t>
                  </w:r>
                  <w:r>
                    <w:rPr>
                      <w:rFonts w:hint="eastAsia"/>
                      <w:color w:val="auto"/>
                    </w:rPr>
                    <w:t>/a</w:t>
                  </w:r>
                </w:p>
              </w:tc>
              <w:tc>
                <w:tcPr>
                  <w:tcW w:w="3147" w:type="dxa"/>
                  <w:vAlign w:val="center"/>
                </w:tcPr>
                <w:p w14:paraId="55DDB5F0">
                  <w:pPr>
                    <w:jc w:val="center"/>
                    <w:rPr>
                      <w:color w:val="auto"/>
                    </w:rPr>
                  </w:pPr>
                  <w:r>
                    <w:rPr>
                      <w:rFonts w:hint="eastAsia"/>
                      <w:color w:val="auto"/>
                    </w:rPr>
                    <w:t>来自当地市政自来水管网</w:t>
                  </w:r>
                </w:p>
              </w:tc>
            </w:tr>
            <w:tr w14:paraId="6C9B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0422C203">
                  <w:pPr>
                    <w:jc w:val="center"/>
                    <w:rPr>
                      <w:color w:val="auto"/>
                    </w:rPr>
                  </w:pPr>
                </w:p>
              </w:tc>
              <w:tc>
                <w:tcPr>
                  <w:tcW w:w="3089" w:type="dxa"/>
                  <w:gridSpan w:val="2"/>
                  <w:vAlign w:val="center"/>
                </w:tcPr>
                <w:p w14:paraId="6827B09A">
                  <w:pPr>
                    <w:jc w:val="center"/>
                    <w:rPr>
                      <w:color w:val="auto"/>
                    </w:rPr>
                  </w:pPr>
                  <w:r>
                    <w:rPr>
                      <w:rFonts w:hint="eastAsia"/>
                      <w:color w:val="auto"/>
                    </w:rPr>
                    <w:t>排水</w:t>
                  </w:r>
                </w:p>
              </w:tc>
              <w:tc>
                <w:tcPr>
                  <w:tcW w:w="1772" w:type="dxa"/>
                  <w:vAlign w:val="center"/>
                </w:tcPr>
                <w:p w14:paraId="71F317CF">
                  <w:pPr>
                    <w:jc w:val="center"/>
                    <w:rPr>
                      <w:color w:val="auto"/>
                    </w:rPr>
                  </w:pPr>
                  <w:r>
                    <w:rPr>
                      <w:rFonts w:hint="eastAsia"/>
                      <w:color w:val="auto"/>
                      <w:lang w:val="en-US" w:eastAsia="zh-CN"/>
                    </w:rPr>
                    <w:t>7488m</w:t>
                  </w:r>
                  <w:r>
                    <w:rPr>
                      <w:rFonts w:hint="eastAsia"/>
                      <w:color w:val="auto"/>
                      <w:vertAlign w:val="superscript"/>
                      <w:lang w:val="en-US" w:eastAsia="zh-CN"/>
                    </w:rPr>
                    <w:t>3</w:t>
                  </w:r>
                  <w:r>
                    <w:rPr>
                      <w:rFonts w:hint="eastAsia"/>
                      <w:color w:val="auto"/>
                    </w:rPr>
                    <w:t>/a</w:t>
                  </w:r>
                </w:p>
              </w:tc>
              <w:tc>
                <w:tcPr>
                  <w:tcW w:w="3147" w:type="dxa"/>
                  <w:vAlign w:val="center"/>
                </w:tcPr>
                <w:p w14:paraId="061A88E8">
                  <w:pPr>
                    <w:rPr>
                      <w:color w:val="auto"/>
                    </w:rPr>
                  </w:pPr>
                  <w:r>
                    <w:rPr>
                      <w:rFonts w:hint="eastAsia"/>
                      <w:color w:val="auto"/>
                    </w:rPr>
                    <w:t>生活污水</w:t>
                  </w:r>
                  <w:r>
                    <w:rPr>
                      <w:rFonts w:hint="eastAsia"/>
                      <w:color w:val="auto"/>
                      <w:lang w:val="en-US" w:eastAsia="zh-CN"/>
                    </w:rPr>
                    <w:t>经化粪池预处理，食堂废水经隔油池预处理，</w:t>
                  </w:r>
                  <w:r>
                    <w:rPr>
                      <w:rFonts w:hint="eastAsia"/>
                      <w:color w:val="auto"/>
                    </w:rPr>
                    <w:t>通过市政污水管网接管至</w:t>
                  </w:r>
                  <w:r>
                    <w:rPr>
                      <w:rFonts w:hint="eastAsia"/>
                      <w:color w:val="auto"/>
                      <w:lang w:eastAsia="zh-CN"/>
                    </w:rPr>
                    <w:t>常州市金坛区溪城污水处理有限公司直溪污水处理厂</w:t>
                  </w:r>
                  <w:r>
                    <w:rPr>
                      <w:rFonts w:hint="eastAsia"/>
                      <w:color w:val="auto"/>
                    </w:rPr>
                    <w:t>集中处理，尾水排入通济河</w:t>
                  </w:r>
                </w:p>
              </w:tc>
            </w:tr>
            <w:tr w14:paraId="48BD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0DA00C4C">
                  <w:pPr>
                    <w:jc w:val="center"/>
                    <w:rPr>
                      <w:color w:val="auto"/>
                    </w:rPr>
                  </w:pPr>
                </w:p>
              </w:tc>
              <w:tc>
                <w:tcPr>
                  <w:tcW w:w="3089" w:type="dxa"/>
                  <w:gridSpan w:val="2"/>
                  <w:vAlign w:val="center"/>
                </w:tcPr>
                <w:p w14:paraId="38B008BF">
                  <w:pPr>
                    <w:jc w:val="center"/>
                    <w:rPr>
                      <w:color w:val="auto"/>
                    </w:rPr>
                  </w:pPr>
                  <w:r>
                    <w:rPr>
                      <w:rFonts w:hint="eastAsia"/>
                      <w:color w:val="auto"/>
                    </w:rPr>
                    <w:t>供电</w:t>
                  </w:r>
                </w:p>
              </w:tc>
              <w:tc>
                <w:tcPr>
                  <w:tcW w:w="1772" w:type="dxa"/>
                  <w:vAlign w:val="center"/>
                </w:tcPr>
                <w:p w14:paraId="74EB4566">
                  <w:pPr>
                    <w:jc w:val="center"/>
                    <w:rPr>
                      <w:color w:val="auto"/>
                    </w:rPr>
                  </w:pPr>
                  <w:r>
                    <w:rPr>
                      <w:rFonts w:hint="eastAsia"/>
                      <w:color w:val="auto"/>
                    </w:rPr>
                    <w:t>190万度/年</w:t>
                  </w:r>
                </w:p>
              </w:tc>
              <w:tc>
                <w:tcPr>
                  <w:tcW w:w="3147" w:type="dxa"/>
                  <w:vAlign w:val="center"/>
                </w:tcPr>
                <w:p w14:paraId="7A27F5EF">
                  <w:pPr>
                    <w:jc w:val="center"/>
                    <w:rPr>
                      <w:color w:val="auto"/>
                    </w:rPr>
                  </w:pPr>
                  <w:r>
                    <w:rPr>
                      <w:rFonts w:hint="eastAsia"/>
                      <w:color w:val="auto"/>
                    </w:rPr>
                    <w:t>当地市政电网提供</w:t>
                  </w:r>
                </w:p>
              </w:tc>
            </w:tr>
            <w:tr w14:paraId="7000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46DDF376">
                  <w:pPr>
                    <w:pStyle w:val="3"/>
                    <w:spacing w:line="240" w:lineRule="auto"/>
                    <w:outlineLvl w:val="2"/>
                    <w:rPr>
                      <w:color w:val="auto"/>
                    </w:rPr>
                  </w:pPr>
                </w:p>
              </w:tc>
              <w:tc>
                <w:tcPr>
                  <w:tcW w:w="3089" w:type="dxa"/>
                  <w:gridSpan w:val="2"/>
                  <w:vAlign w:val="center"/>
                </w:tcPr>
                <w:p w14:paraId="3839F1EA">
                  <w:pPr>
                    <w:jc w:val="center"/>
                    <w:rPr>
                      <w:color w:val="auto"/>
                    </w:rPr>
                  </w:pPr>
                  <w:r>
                    <w:rPr>
                      <w:rFonts w:hint="eastAsia"/>
                      <w:color w:val="auto"/>
                    </w:rPr>
                    <w:t>压缩空气</w:t>
                  </w:r>
                </w:p>
              </w:tc>
              <w:tc>
                <w:tcPr>
                  <w:tcW w:w="1772" w:type="dxa"/>
                  <w:vAlign w:val="center"/>
                </w:tcPr>
                <w:p w14:paraId="25DA9061">
                  <w:pPr>
                    <w:jc w:val="center"/>
                    <w:rPr>
                      <w:rFonts w:hint="default" w:eastAsia="宋体"/>
                      <w:color w:val="auto"/>
                      <w:lang w:val="en-US" w:eastAsia="zh-CN"/>
                    </w:rPr>
                  </w:pPr>
                  <w:r>
                    <w:rPr>
                      <w:rFonts w:hint="eastAsia"/>
                      <w:color w:val="auto"/>
                      <w:lang w:val="en-US" w:eastAsia="zh-CN"/>
                    </w:rPr>
                    <w:t>1~3m³/min</w:t>
                  </w:r>
                </w:p>
              </w:tc>
              <w:tc>
                <w:tcPr>
                  <w:tcW w:w="3147" w:type="dxa"/>
                  <w:vAlign w:val="center"/>
                </w:tcPr>
                <w:p w14:paraId="1DD011AF">
                  <w:pPr>
                    <w:jc w:val="center"/>
                    <w:rPr>
                      <w:color w:val="auto"/>
                    </w:rPr>
                  </w:pPr>
                  <w:r>
                    <w:rPr>
                      <w:rFonts w:hint="eastAsia"/>
                      <w:color w:val="auto"/>
                      <w:lang w:val="en-US" w:eastAsia="zh-CN"/>
                    </w:rPr>
                    <w:t>新增8台空压机，</w:t>
                  </w:r>
                  <w:r>
                    <w:rPr>
                      <w:rFonts w:hint="eastAsia"/>
                      <w:color w:val="auto"/>
                    </w:rPr>
                    <w:t>为生产设备提供动力</w:t>
                  </w:r>
                </w:p>
              </w:tc>
            </w:tr>
            <w:tr w14:paraId="04D5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restart"/>
                  <w:vAlign w:val="center"/>
                </w:tcPr>
                <w:p w14:paraId="652F67B6">
                  <w:pPr>
                    <w:jc w:val="center"/>
                    <w:rPr>
                      <w:color w:val="auto"/>
                    </w:rPr>
                  </w:pPr>
                  <w:r>
                    <w:rPr>
                      <w:rFonts w:hint="eastAsia"/>
                      <w:color w:val="auto"/>
                    </w:rPr>
                    <w:t>环保</w:t>
                  </w:r>
                </w:p>
                <w:p w14:paraId="14EB5E99">
                  <w:pPr>
                    <w:jc w:val="center"/>
                    <w:rPr>
                      <w:color w:val="auto"/>
                    </w:rPr>
                  </w:pPr>
                  <w:r>
                    <w:rPr>
                      <w:rFonts w:hint="eastAsia"/>
                      <w:color w:val="auto"/>
                    </w:rPr>
                    <w:t>工程</w:t>
                  </w:r>
                </w:p>
              </w:tc>
              <w:tc>
                <w:tcPr>
                  <w:tcW w:w="967" w:type="dxa"/>
                  <w:vMerge w:val="restart"/>
                  <w:vAlign w:val="center"/>
                </w:tcPr>
                <w:p w14:paraId="3112C375">
                  <w:pPr>
                    <w:jc w:val="center"/>
                    <w:rPr>
                      <w:color w:val="auto"/>
                    </w:rPr>
                  </w:pPr>
                  <w:r>
                    <w:rPr>
                      <w:rFonts w:hint="eastAsia"/>
                      <w:color w:val="auto"/>
                    </w:rPr>
                    <w:t>废气治理措施</w:t>
                  </w:r>
                </w:p>
              </w:tc>
              <w:tc>
                <w:tcPr>
                  <w:tcW w:w="2122" w:type="dxa"/>
                  <w:vAlign w:val="center"/>
                </w:tcPr>
                <w:p w14:paraId="608AD553">
                  <w:pPr>
                    <w:jc w:val="left"/>
                    <w:rPr>
                      <w:color w:val="auto"/>
                    </w:rPr>
                  </w:pPr>
                  <w:r>
                    <w:rPr>
                      <w:rFonts w:hint="eastAsia"/>
                      <w:color w:val="auto"/>
                    </w:rPr>
                    <w:t>二级活性炭吸附装置+1根15m高排气筒（FQ-1）</w:t>
                  </w:r>
                </w:p>
              </w:tc>
              <w:tc>
                <w:tcPr>
                  <w:tcW w:w="1772" w:type="dxa"/>
                  <w:vAlign w:val="center"/>
                </w:tcPr>
                <w:p w14:paraId="4AA14073">
                  <w:pPr>
                    <w:jc w:val="center"/>
                    <w:rPr>
                      <w:color w:val="auto"/>
                    </w:rPr>
                  </w:pPr>
                  <w:r>
                    <w:rPr>
                      <w:rFonts w:hint="eastAsia"/>
                      <w:color w:val="auto"/>
                    </w:rPr>
                    <w:t>20000m</w:t>
                  </w:r>
                  <w:r>
                    <w:rPr>
                      <w:rFonts w:hint="eastAsia"/>
                      <w:color w:val="auto"/>
                      <w:vertAlign w:val="superscript"/>
                    </w:rPr>
                    <w:t>3</w:t>
                  </w:r>
                  <w:r>
                    <w:rPr>
                      <w:rFonts w:hint="eastAsia"/>
                      <w:color w:val="auto"/>
                    </w:rPr>
                    <w:t>/h，1台</w:t>
                  </w:r>
                </w:p>
              </w:tc>
              <w:tc>
                <w:tcPr>
                  <w:tcW w:w="3147" w:type="dxa"/>
                  <w:vAlign w:val="center"/>
                </w:tcPr>
                <w:p w14:paraId="1743F327">
                  <w:pPr>
                    <w:jc w:val="center"/>
                    <w:rPr>
                      <w:color w:val="auto"/>
                    </w:rPr>
                  </w:pPr>
                  <w:r>
                    <w:rPr>
                      <w:rFonts w:hint="eastAsia"/>
                      <w:color w:val="auto"/>
                    </w:rPr>
                    <w:t>有机废气处理效率90%</w:t>
                  </w:r>
                </w:p>
              </w:tc>
            </w:tr>
            <w:tr w14:paraId="3088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5DECA626">
                  <w:pPr>
                    <w:pStyle w:val="3"/>
                    <w:spacing w:line="240" w:lineRule="auto"/>
                    <w:jc w:val="center"/>
                    <w:outlineLvl w:val="2"/>
                    <w:rPr>
                      <w:color w:val="auto"/>
                      <w:sz w:val="24"/>
                      <w:szCs w:val="24"/>
                    </w:rPr>
                  </w:pPr>
                </w:p>
              </w:tc>
              <w:tc>
                <w:tcPr>
                  <w:tcW w:w="967" w:type="dxa"/>
                  <w:vMerge w:val="continue"/>
                  <w:vAlign w:val="center"/>
                </w:tcPr>
                <w:p w14:paraId="4EA88810">
                  <w:pPr>
                    <w:jc w:val="left"/>
                    <w:rPr>
                      <w:color w:val="auto"/>
                    </w:rPr>
                  </w:pPr>
                </w:p>
              </w:tc>
              <w:tc>
                <w:tcPr>
                  <w:tcW w:w="2122" w:type="dxa"/>
                  <w:vAlign w:val="center"/>
                </w:tcPr>
                <w:p w14:paraId="0C5B2397">
                  <w:pPr>
                    <w:jc w:val="left"/>
                    <w:rPr>
                      <w:color w:val="auto"/>
                    </w:rPr>
                  </w:pPr>
                  <w:r>
                    <w:rPr>
                      <w:rFonts w:hint="eastAsia"/>
                      <w:color w:val="auto"/>
                    </w:rPr>
                    <w:t>焊烟净化装置+1根15m高排气筒（FQ-3）</w:t>
                  </w:r>
                </w:p>
              </w:tc>
              <w:tc>
                <w:tcPr>
                  <w:tcW w:w="1772" w:type="dxa"/>
                  <w:vAlign w:val="center"/>
                </w:tcPr>
                <w:p w14:paraId="0FD68FDD">
                  <w:pPr>
                    <w:jc w:val="center"/>
                    <w:rPr>
                      <w:color w:val="auto"/>
                    </w:rPr>
                  </w:pPr>
                  <w:r>
                    <w:rPr>
                      <w:rFonts w:hint="eastAsia"/>
                      <w:color w:val="auto"/>
                    </w:rPr>
                    <w:t>2500m</w:t>
                  </w:r>
                  <w:r>
                    <w:rPr>
                      <w:rFonts w:hint="eastAsia"/>
                      <w:color w:val="auto"/>
                      <w:vertAlign w:val="superscript"/>
                    </w:rPr>
                    <w:t>3</w:t>
                  </w:r>
                  <w:r>
                    <w:rPr>
                      <w:rFonts w:hint="eastAsia"/>
                      <w:color w:val="auto"/>
                    </w:rPr>
                    <w:t>/h，1台</w:t>
                  </w:r>
                </w:p>
              </w:tc>
              <w:tc>
                <w:tcPr>
                  <w:tcW w:w="3147" w:type="dxa"/>
                  <w:vAlign w:val="center"/>
                </w:tcPr>
                <w:p w14:paraId="54E00367">
                  <w:pPr>
                    <w:jc w:val="center"/>
                    <w:rPr>
                      <w:color w:val="auto"/>
                    </w:rPr>
                  </w:pPr>
                  <w:r>
                    <w:rPr>
                      <w:rFonts w:hint="eastAsia"/>
                      <w:color w:val="auto"/>
                    </w:rPr>
                    <w:t>颗粒物处理效率75%</w:t>
                  </w:r>
                </w:p>
              </w:tc>
            </w:tr>
            <w:tr w14:paraId="6E44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5B042AD8">
                  <w:pPr>
                    <w:pStyle w:val="3"/>
                    <w:spacing w:line="240" w:lineRule="auto"/>
                    <w:jc w:val="center"/>
                    <w:outlineLvl w:val="2"/>
                    <w:rPr>
                      <w:color w:val="auto"/>
                      <w:sz w:val="24"/>
                      <w:szCs w:val="24"/>
                    </w:rPr>
                  </w:pPr>
                </w:p>
              </w:tc>
              <w:tc>
                <w:tcPr>
                  <w:tcW w:w="967" w:type="dxa"/>
                  <w:vMerge w:val="continue"/>
                  <w:vAlign w:val="center"/>
                </w:tcPr>
                <w:p w14:paraId="29C4260E">
                  <w:pPr>
                    <w:jc w:val="left"/>
                    <w:rPr>
                      <w:color w:val="auto"/>
                    </w:rPr>
                  </w:pPr>
                </w:p>
              </w:tc>
              <w:tc>
                <w:tcPr>
                  <w:tcW w:w="2122" w:type="dxa"/>
                  <w:vAlign w:val="center"/>
                </w:tcPr>
                <w:p w14:paraId="48ABEB78">
                  <w:pPr>
                    <w:jc w:val="left"/>
                    <w:rPr>
                      <w:color w:val="auto"/>
                    </w:rPr>
                  </w:pPr>
                  <w:r>
                    <w:rPr>
                      <w:rFonts w:hint="eastAsia"/>
                      <w:color w:val="auto"/>
                    </w:rPr>
                    <w:t>油烟净化装置+1根15m高排气筒（FQ-2）</w:t>
                  </w:r>
                </w:p>
              </w:tc>
              <w:tc>
                <w:tcPr>
                  <w:tcW w:w="1772" w:type="dxa"/>
                  <w:vAlign w:val="center"/>
                </w:tcPr>
                <w:p w14:paraId="08B1B4AF">
                  <w:pPr>
                    <w:jc w:val="center"/>
                    <w:rPr>
                      <w:color w:val="auto"/>
                    </w:rPr>
                  </w:pPr>
                  <w:r>
                    <w:rPr>
                      <w:rFonts w:hint="eastAsia"/>
                      <w:color w:val="auto"/>
                    </w:rPr>
                    <w:t>1000m</w:t>
                  </w:r>
                  <w:r>
                    <w:rPr>
                      <w:rFonts w:hint="eastAsia"/>
                      <w:color w:val="auto"/>
                      <w:vertAlign w:val="superscript"/>
                    </w:rPr>
                    <w:t>3</w:t>
                  </w:r>
                  <w:r>
                    <w:rPr>
                      <w:rFonts w:hint="eastAsia"/>
                      <w:color w:val="auto"/>
                    </w:rPr>
                    <w:t>/h，1台</w:t>
                  </w:r>
                </w:p>
              </w:tc>
              <w:tc>
                <w:tcPr>
                  <w:tcW w:w="3147" w:type="dxa"/>
                  <w:vAlign w:val="center"/>
                </w:tcPr>
                <w:p w14:paraId="3706C655">
                  <w:pPr>
                    <w:jc w:val="center"/>
                    <w:rPr>
                      <w:rFonts w:hint="eastAsia" w:eastAsia="宋体"/>
                      <w:color w:val="auto"/>
                      <w:lang w:eastAsia="zh-CN"/>
                    </w:rPr>
                  </w:pPr>
                  <w:r>
                    <w:rPr>
                      <w:rFonts w:hint="eastAsia"/>
                      <w:color w:val="auto"/>
                      <w:lang w:val="en-US" w:eastAsia="zh-CN"/>
                    </w:rPr>
                    <w:t>/</w:t>
                  </w:r>
                </w:p>
              </w:tc>
            </w:tr>
            <w:tr w14:paraId="2C17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43" w:type="dxa"/>
                  <w:vMerge w:val="continue"/>
                  <w:vAlign w:val="center"/>
                </w:tcPr>
                <w:p w14:paraId="2B77F09D">
                  <w:pPr>
                    <w:pStyle w:val="3"/>
                    <w:spacing w:line="240" w:lineRule="auto"/>
                    <w:outlineLvl w:val="2"/>
                    <w:rPr>
                      <w:color w:val="auto"/>
                    </w:rPr>
                  </w:pPr>
                </w:p>
              </w:tc>
              <w:tc>
                <w:tcPr>
                  <w:tcW w:w="967" w:type="dxa"/>
                  <w:vMerge w:val="restart"/>
                  <w:vAlign w:val="center"/>
                </w:tcPr>
                <w:p w14:paraId="28A6B86E">
                  <w:pPr>
                    <w:jc w:val="center"/>
                    <w:rPr>
                      <w:color w:val="auto"/>
                    </w:rPr>
                  </w:pPr>
                  <w:r>
                    <w:rPr>
                      <w:rFonts w:hint="eastAsia"/>
                      <w:color w:val="auto"/>
                    </w:rPr>
                    <w:t>废水处理措施</w:t>
                  </w:r>
                </w:p>
              </w:tc>
              <w:tc>
                <w:tcPr>
                  <w:tcW w:w="2122" w:type="dxa"/>
                  <w:vAlign w:val="center"/>
                </w:tcPr>
                <w:p w14:paraId="65C6704D">
                  <w:pPr>
                    <w:jc w:val="center"/>
                    <w:rPr>
                      <w:color w:val="auto"/>
                    </w:rPr>
                  </w:pPr>
                  <w:r>
                    <w:rPr>
                      <w:rFonts w:hint="eastAsia"/>
                      <w:color w:val="auto"/>
                    </w:rPr>
                    <w:t>化粪池</w:t>
                  </w:r>
                </w:p>
              </w:tc>
              <w:tc>
                <w:tcPr>
                  <w:tcW w:w="1772" w:type="dxa"/>
                  <w:vAlign w:val="center"/>
                </w:tcPr>
                <w:p w14:paraId="664CCAD5">
                  <w:pPr>
                    <w:jc w:val="center"/>
                    <w:rPr>
                      <w:color w:val="auto"/>
                    </w:rPr>
                  </w:pPr>
                  <w:r>
                    <w:rPr>
                      <w:rFonts w:hint="eastAsia"/>
                      <w:color w:val="auto"/>
                    </w:rPr>
                    <w:t>5m</w:t>
                  </w:r>
                  <w:r>
                    <w:rPr>
                      <w:rFonts w:hint="eastAsia"/>
                      <w:color w:val="auto"/>
                      <w:vertAlign w:val="superscript"/>
                    </w:rPr>
                    <w:t>3</w:t>
                  </w:r>
                </w:p>
              </w:tc>
              <w:tc>
                <w:tcPr>
                  <w:tcW w:w="3147" w:type="dxa"/>
                  <w:vAlign w:val="center"/>
                </w:tcPr>
                <w:p w14:paraId="27D85D04">
                  <w:pPr>
                    <w:jc w:val="center"/>
                    <w:rPr>
                      <w:color w:val="auto"/>
                    </w:rPr>
                  </w:pPr>
                  <w:r>
                    <w:rPr>
                      <w:rFonts w:hint="eastAsia"/>
                      <w:color w:val="auto"/>
                    </w:rPr>
                    <w:t>依托现有，生活污水预处理达标</w:t>
                  </w:r>
                </w:p>
              </w:tc>
            </w:tr>
            <w:tr w14:paraId="15E2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43" w:type="dxa"/>
                  <w:vMerge w:val="continue"/>
                  <w:vAlign w:val="center"/>
                </w:tcPr>
                <w:p w14:paraId="0A8209E1">
                  <w:pPr>
                    <w:pStyle w:val="3"/>
                    <w:spacing w:line="240" w:lineRule="auto"/>
                    <w:outlineLvl w:val="2"/>
                    <w:rPr>
                      <w:color w:val="auto"/>
                    </w:rPr>
                  </w:pPr>
                </w:p>
              </w:tc>
              <w:tc>
                <w:tcPr>
                  <w:tcW w:w="967" w:type="dxa"/>
                  <w:vMerge w:val="continue"/>
                  <w:vAlign w:val="center"/>
                </w:tcPr>
                <w:p w14:paraId="2086174D">
                  <w:pPr>
                    <w:jc w:val="center"/>
                    <w:rPr>
                      <w:color w:val="auto"/>
                    </w:rPr>
                  </w:pPr>
                </w:p>
              </w:tc>
              <w:tc>
                <w:tcPr>
                  <w:tcW w:w="2122" w:type="dxa"/>
                  <w:vAlign w:val="center"/>
                </w:tcPr>
                <w:p w14:paraId="7E6C9C5A">
                  <w:pPr>
                    <w:jc w:val="center"/>
                    <w:rPr>
                      <w:color w:val="auto"/>
                    </w:rPr>
                  </w:pPr>
                  <w:r>
                    <w:rPr>
                      <w:rFonts w:hint="eastAsia"/>
                      <w:color w:val="auto"/>
                    </w:rPr>
                    <w:t>隔油池</w:t>
                  </w:r>
                </w:p>
              </w:tc>
              <w:tc>
                <w:tcPr>
                  <w:tcW w:w="1772" w:type="dxa"/>
                  <w:vAlign w:val="center"/>
                </w:tcPr>
                <w:p w14:paraId="2B3ED4EB">
                  <w:pPr>
                    <w:jc w:val="center"/>
                    <w:rPr>
                      <w:color w:val="auto"/>
                    </w:rPr>
                  </w:pPr>
                  <w:r>
                    <w:rPr>
                      <w:rFonts w:hint="eastAsia"/>
                      <w:color w:val="auto"/>
                    </w:rPr>
                    <w:t>5m</w:t>
                  </w:r>
                  <w:r>
                    <w:rPr>
                      <w:rFonts w:hint="eastAsia"/>
                      <w:color w:val="auto"/>
                      <w:vertAlign w:val="superscript"/>
                    </w:rPr>
                    <w:t>3</w:t>
                  </w:r>
                </w:p>
              </w:tc>
              <w:tc>
                <w:tcPr>
                  <w:tcW w:w="3147" w:type="dxa"/>
                  <w:vAlign w:val="center"/>
                </w:tcPr>
                <w:p w14:paraId="50F53BB2">
                  <w:pPr>
                    <w:jc w:val="center"/>
                    <w:rPr>
                      <w:color w:val="auto"/>
                    </w:rPr>
                  </w:pPr>
                  <w:r>
                    <w:rPr>
                      <w:rFonts w:hint="eastAsia"/>
                      <w:color w:val="auto"/>
                    </w:rPr>
                    <w:t>新建</w:t>
                  </w:r>
                </w:p>
              </w:tc>
            </w:tr>
            <w:tr w14:paraId="2DE0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43" w:type="dxa"/>
                  <w:vMerge w:val="continue"/>
                  <w:vAlign w:val="center"/>
                </w:tcPr>
                <w:p w14:paraId="57A109A5">
                  <w:pPr>
                    <w:pStyle w:val="3"/>
                    <w:spacing w:line="240" w:lineRule="auto"/>
                    <w:outlineLvl w:val="2"/>
                    <w:rPr>
                      <w:color w:val="auto"/>
                    </w:rPr>
                  </w:pPr>
                </w:p>
              </w:tc>
              <w:tc>
                <w:tcPr>
                  <w:tcW w:w="967" w:type="dxa"/>
                  <w:vAlign w:val="center"/>
                </w:tcPr>
                <w:p w14:paraId="07C39BB4">
                  <w:pPr>
                    <w:spacing w:line="240" w:lineRule="atLeast"/>
                    <w:jc w:val="center"/>
                    <w:rPr>
                      <w:color w:val="auto"/>
                    </w:rPr>
                  </w:pPr>
                  <w:r>
                    <w:rPr>
                      <w:rFonts w:hint="eastAsia"/>
                      <w:color w:val="auto"/>
                    </w:rPr>
                    <w:t>事故应急</w:t>
                  </w:r>
                </w:p>
              </w:tc>
              <w:tc>
                <w:tcPr>
                  <w:tcW w:w="2122" w:type="dxa"/>
                  <w:vAlign w:val="center"/>
                </w:tcPr>
                <w:p w14:paraId="1E8C9DEB">
                  <w:pPr>
                    <w:spacing w:line="240" w:lineRule="atLeast"/>
                    <w:jc w:val="center"/>
                    <w:rPr>
                      <w:color w:val="auto"/>
                    </w:rPr>
                  </w:pPr>
                  <w:r>
                    <w:rPr>
                      <w:rFonts w:hint="eastAsia"/>
                      <w:color w:val="auto"/>
                    </w:rPr>
                    <w:t>事故应急池</w:t>
                  </w:r>
                </w:p>
              </w:tc>
              <w:tc>
                <w:tcPr>
                  <w:tcW w:w="1772" w:type="dxa"/>
                  <w:vAlign w:val="center"/>
                </w:tcPr>
                <w:p w14:paraId="04ED1A32">
                  <w:pPr>
                    <w:spacing w:line="240" w:lineRule="atLeast"/>
                    <w:jc w:val="center"/>
                    <w:rPr>
                      <w:color w:val="auto"/>
                    </w:rPr>
                  </w:pPr>
                  <w:r>
                    <w:rPr>
                      <w:rFonts w:hint="eastAsia"/>
                      <w:color w:val="auto"/>
                    </w:rPr>
                    <w:t>280m</w:t>
                  </w:r>
                  <w:r>
                    <w:rPr>
                      <w:rFonts w:hint="eastAsia"/>
                      <w:color w:val="auto"/>
                      <w:vertAlign w:val="superscript"/>
                    </w:rPr>
                    <w:t>3</w:t>
                  </w:r>
                </w:p>
              </w:tc>
              <w:tc>
                <w:tcPr>
                  <w:tcW w:w="3147" w:type="dxa"/>
                  <w:vAlign w:val="center"/>
                </w:tcPr>
                <w:p w14:paraId="36C88CA3">
                  <w:pPr>
                    <w:spacing w:line="240" w:lineRule="atLeast"/>
                    <w:jc w:val="center"/>
                    <w:rPr>
                      <w:color w:val="auto"/>
                    </w:rPr>
                  </w:pPr>
                  <w:r>
                    <w:rPr>
                      <w:rFonts w:hint="eastAsia"/>
                      <w:color w:val="auto"/>
                    </w:rPr>
                    <w:t>新建</w:t>
                  </w:r>
                </w:p>
              </w:tc>
            </w:tr>
            <w:tr w14:paraId="1070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0BAAC797">
                  <w:pPr>
                    <w:pStyle w:val="3"/>
                    <w:spacing w:line="360" w:lineRule="auto"/>
                    <w:outlineLvl w:val="2"/>
                    <w:rPr>
                      <w:color w:val="auto"/>
                    </w:rPr>
                  </w:pPr>
                </w:p>
              </w:tc>
              <w:tc>
                <w:tcPr>
                  <w:tcW w:w="967" w:type="dxa"/>
                  <w:vAlign w:val="center"/>
                </w:tcPr>
                <w:p w14:paraId="4DF21E2C">
                  <w:pPr>
                    <w:jc w:val="center"/>
                    <w:rPr>
                      <w:color w:val="auto"/>
                    </w:rPr>
                  </w:pPr>
                  <w:r>
                    <w:rPr>
                      <w:rFonts w:hint="eastAsia"/>
                      <w:color w:val="auto"/>
                    </w:rPr>
                    <w:t>噪声防治措施</w:t>
                  </w:r>
                </w:p>
              </w:tc>
              <w:tc>
                <w:tcPr>
                  <w:tcW w:w="3894" w:type="dxa"/>
                  <w:gridSpan w:val="2"/>
                  <w:vAlign w:val="center"/>
                </w:tcPr>
                <w:p w14:paraId="5B5D9D29">
                  <w:pPr>
                    <w:jc w:val="center"/>
                    <w:rPr>
                      <w:color w:val="auto"/>
                    </w:rPr>
                  </w:pPr>
                  <w:r>
                    <w:rPr>
                      <w:rFonts w:hint="eastAsia"/>
                      <w:color w:val="auto"/>
                    </w:rPr>
                    <w:t>合理布局、设备减振降噪、墙体隔声</w:t>
                  </w:r>
                </w:p>
              </w:tc>
              <w:tc>
                <w:tcPr>
                  <w:tcW w:w="3147" w:type="dxa"/>
                  <w:vAlign w:val="center"/>
                </w:tcPr>
                <w:p w14:paraId="112917E7">
                  <w:pPr>
                    <w:jc w:val="center"/>
                    <w:rPr>
                      <w:color w:val="auto"/>
                    </w:rPr>
                  </w:pPr>
                  <w:r>
                    <w:rPr>
                      <w:rFonts w:hint="eastAsia"/>
                      <w:color w:val="auto"/>
                    </w:rPr>
                    <w:t>厂界噪声达标</w:t>
                  </w:r>
                </w:p>
              </w:tc>
            </w:tr>
            <w:tr w14:paraId="3C99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3A315595">
                  <w:pPr>
                    <w:pStyle w:val="3"/>
                    <w:spacing w:line="360" w:lineRule="auto"/>
                    <w:outlineLvl w:val="2"/>
                    <w:rPr>
                      <w:color w:val="auto"/>
                    </w:rPr>
                  </w:pPr>
                </w:p>
              </w:tc>
              <w:tc>
                <w:tcPr>
                  <w:tcW w:w="967" w:type="dxa"/>
                  <w:vMerge w:val="restart"/>
                  <w:vAlign w:val="center"/>
                </w:tcPr>
                <w:p w14:paraId="2234816E">
                  <w:pPr>
                    <w:jc w:val="center"/>
                    <w:rPr>
                      <w:color w:val="auto"/>
                    </w:rPr>
                  </w:pPr>
                  <w:r>
                    <w:rPr>
                      <w:rFonts w:hint="eastAsia"/>
                      <w:color w:val="auto"/>
                    </w:rPr>
                    <w:t>固废处置措施</w:t>
                  </w:r>
                </w:p>
              </w:tc>
              <w:tc>
                <w:tcPr>
                  <w:tcW w:w="2122" w:type="dxa"/>
                  <w:vAlign w:val="center"/>
                </w:tcPr>
                <w:p w14:paraId="66B61565">
                  <w:pPr>
                    <w:jc w:val="center"/>
                    <w:rPr>
                      <w:color w:val="auto"/>
                    </w:rPr>
                  </w:pPr>
                  <w:r>
                    <w:rPr>
                      <w:rFonts w:hint="eastAsia"/>
                      <w:color w:val="auto"/>
                    </w:rPr>
                    <w:t>一般固废暂存间</w:t>
                  </w:r>
                </w:p>
              </w:tc>
              <w:tc>
                <w:tcPr>
                  <w:tcW w:w="1772" w:type="dxa"/>
                  <w:vAlign w:val="center"/>
                </w:tcPr>
                <w:p w14:paraId="3154309D">
                  <w:pPr>
                    <w:jc w:val="center"/>
                    <w:rPr>
                      <w:color w:val="auto"/>
                    </w:rPr>
                  </w:pPr>
                  <w:r>
                    <w:rPr>
                      <w:rFonts w:hint="eastAsia"/>
                      <w:color w:val="auto"/>
                    </w:rPr>
                    <w:t>20m</w:t>
                  </w:r>
                  <w:r>
                    <w:rPr>
                      <w:rFonts w:hint="eastAsia"/>
                      <w:color w:val="auto"/>
                      <w:vertAlign w:val="superscript"/>
                    </w:rPr>
                    <w:t>2</w:t>
                  </w:r>
                </w:p>
              </w:tc>
              <w:tc>
                <w:tcPr>
                  <w:tcW w:w="3147" w:type="dxa"/>
                  <w:vMerge w:val="restart"/>
                  <w:vAlign w:val="center"/>
                </w:tcPr>
                <w:p w14:paraId="2CDEAA14">
                  <w:pPr>
                    <w:jc w:val="center"/>
                    <w:rPr>
                      <w:color w:val="auto"/>
                    </w:rPr>
                  </w:pPr>
                  <w:r>
                    <w:rPr>
                      <w:rFonts w:hint="eastAsia"/>
                      <w:color w:val="auto"/>
                    </w:rPr>
                    <w:t>满足环境管理要求，分类收集、处置，处理率100%</w:t>
                  </w:r>
                </w:p>
              </w:tc>
            </w:tr>
            <w:tr w14:paraId="0735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7F860108">
                  <w:pPr>
                    <w:pStyle w:val="3"/>
                    <w:spacing w:line="360" w:lineRule="auto"/>
                    <w:outlineLvl w:val="2"/>
                    <w:rPr>
                      <w:color w:val="auto"/>
                    </w:rPr>
                  </w:pPr>
                </w:p>
              </w:tc>
              <w:tc>
                <w:tcPr>
                  <w:tcW w:w="967" w:type="dxa"/>
                  <w:vMerge w:val="continue"/>
                  <w:vAlign w:val="center"/>
                </w:tcPr>
                <w:p w14:paraId="01AA7F3C">
                  <w:pPr>
                    <w:spacing w:line="360" w:lineRule="auto"/>
                    <w:jc w:val="center"/>
                    <w:rPr>
                      <w:color w:val="auto"/>
                    </w:rPr>
                  </w:pPr>
                </w:p>
              </w:tc>
              <w:tc>
                <w:tcPr>
                  <w:tcW w:w="2122" w:type="dxa"/>
                  <w:vAlign w:val="center"/>
                </w:tcPr>
                <w:p w14:paraId="6F2CC264">
                  <w:pPr>
                    <w:jc w:val="center"/>
                    <w:rPr>
                      <w:color w:val="auto"/>
                    </w:rPr>
                  </w:pPr>
                  <w:r>
                    <w:rPr>
                      <w:rFonts w:hint="eastAsia"/>
                      <w:color w:val="auto"/>
                    </w:rPr>
                    <w:t>危险废物暂存间</w:t>
                  </w:r>
                </w:p>
              </w:tc>
              <w:tc>
                <w:tcPr>
                  <w:tcW w:w="1772" w:type="dxa"/>
                  <w:vAlign w:val="center"/>
                </w:tcPr>
                <w:p w14:paraId="445ACE21">
                  <w:pPr>
                    <w:jc w:val="center"/>
                    <w:rPr>
                      <w:color w:val="auto"/>
                    </w:rPr>
                  </w:pPr>
                  <w:r>
                    <w:rPr>
                      <w:rFonts w:hint="eastAsia"/>
                      <w:color w:val="auto"/>
                    </w:rPr>
                    <w:t>10m</w:t>
                  </w:r>
                  <w:r>
                    <w:rPr>
                      <w:rFonts w:hint="eastAsia"/>
                      <w:color w:val="auto"/>
                      <w:vertAlign w:val="superscript"/>
                    </w:rPr>
                    <w:t>2</w:t>
                  </w:r>
                </w:p>
              </w:tc>
              <w:tc>
                <w:tcPr>
                  <w:tcW w:w="3147" w:type="dxa"/>
                  <w:vMerge w:val="continue"/>
                  <w:vAlign w:val="center"/>
                </w:tcPr>
                <w:p w14:paraId="078401F7">
                  <w:pPr>
                    <w:spacing w:line="360" w:lineRule="auto"/>
                    <w:jc w:val="center"/>
                    <w:rPr>
                      <w:color w:val="auto"/>
                    </w:rPr>
                  </w:pPr>
                </w:p>
              </w:tc>
            </w:tr>
            <w:tr w14:paraId="3437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Merge w:val="continue"/>
                  <w:vAlign w:val="center"/>
                </w:tcPr>
                <w:p w14:paraId="04EC3A9C">
                  <w:pPr>
                    <w:spacing w:line="360" w:lineRule="auto"/>
                    <w:jc w:val="center"/>
                    <w:rPr>
                      <w:color w:val="auto"/>
                    </w:rPr>
                  </w:pPr>
                </w:p>
              </w:tc>
              <w:tc>
                <w:tcPr>
                  <w:tcW w:w="967" w:type="dxa"/>
                  <w:vMerge w:val="continue"/>
                  <w:vAlign w:val="center"/>
                </w:tcPr>
                <w:p w14:paraId="608A25D4">
                  <w:pPr>
                    <w:spacing w:line="360" w:lineRule="auto"/>
                    <w:jc w:val="center"/>
                    <w:rPr>
                      <w:color w:val="auto"/>
                    </w:rPr>
                  </w:pPr>
                </w:p>
              </w:tc>
              <w:tc>
                <w:tcPr>
                  <w:tcW w:w="2122" w:type="dxa"/>
                  <w:vAlign w:val="center"/>
                </w:tcPr>
                <w:p w14:paraId="7DE213CE">
                  <w:pPr>
                    <w:jc w:val="center"/>
                    <w:rPr>
                      <w:color w:val="auto"/>
                    </w:rPr>
                  </w:pPr>
                  <w:r>
                    <w:rPr>
                      <w:rFonts w:hint="eastAsia"/>
                      <w:color w:val="auto"/>
                    </w:rPr>
                    <w:t>生活垃圾桶</w:t>
                  </w:r>
                </w:p>
              </w:tc>
              <w:tc>
                <w:tcPr>
                  <w:tcW w:w="1772" w:type="dxa"/>
                  <w:vAlign w:val="center"/>
                </w:tcPr>
                <w:p w14:paraId="7230A2C9">
                  <w:pPr>
                    <w:jc w:val="center"/>
                    <w:rPr>
                      <w:color w:val="auto"/>
                    </w:rPr>
                  </w:pPr>
                  <w:r>
                    <w:rPr>
                      <w:rFonts w:hint="eastAsia"/>
                      <w:color w:val="auto"/>
                    </w:rPr>
                    <w:t>10个</w:t>
                  </w:r>
                </w:p>
              </w:tc>
              <w:tc>
                <w:tcPr>
                  <w:tcW w:w="3147" w:type="dxa"/>
                  <w:vMerge w:val="continue"/>
                  <w:vAlign w:val="center"/>
                </w:tcPr>
                <w:p w14:paraId="77C7EBBA">
                  <w:pPr>
                    <w:spacing w:line="360" w:lineRule="auto"/>
                    <w:jc w:val="center"/>
                    <w:rPr>
                      <w:color w:val="auto"/>
                    </w:rPr>
                  </w:pPr>
                </w:p>
              </w:tc>
            </w:tr>
          </w:tbl>
          <w:p w14:paraId="3B8041CC">
            <w:pPr>
              <w:spacing w:line="360" w:lineRule="auto"/>
              <w:ind w:firstLine="480" w:firstLineChars="200"/>
              <w:rPr>
                <w:color w:val="auto"/>
                <w:sz w:val="24"/>
                <w:szCs w:val="24"/>
              </w:rPr>
            </w:pPr>
            <w:r>
              <w:rPr>
                <w:rFonts w:hint="eastAsia"/>
                <w:color w:val="auto"/>
                <w:sz w:val="24"/>
                <w:szCs w:val="24"/>
              </w:rPr>
              <w:t>5、设备、原料</w:t>
            </w:r>
          </w:p>
          <w:p w14:paraId="527F480A">
            <w:pPr>
              <w:spacing w:line="360" w:lineRule="auto"/>
              <w:ind w:firstLine="480" w:firstLineChars="200"/>
              <w:rPr>
                <w:b/>
                <w:bCs/>
                <w:color w:val="auto"/>
                <w:sz w:val="24"/>
                <w:szCs w:val="24"/>
              </w:rPr>
            </w:pPr>
            <w:r>
              <w:rPr>
                <w:color w:val="auto"/>
                <w:sz w:val="24"/>
                <w:szCs w:val="24"/>
              </w:rPr>
              <w:t>主要设备及设施见表</w:t>
            </w:r>
            <w:r>
              <w:rPr>
                <w:rFonts w:hint="eastAsia"/>
                <w:color w:val="auto"/>
                <w:sz w:val="24"/>
                <w:szCs w:val="24"/>
              </w:rPr>
              <w:t>2</w:t>
            </w:r>
            <w:r>
              <w:rPr>
                <w:color w:val="auto"/>
                <w:sz w:val="24"/>
                <w:szCs w:val="24"/>
              </w:rPr>
              <w:t>-</w:t>
            </w:r>
            <w:r>
              <w:rPr>
                <w:rFonts w:hint="eastAsia"/>
                <w:color w:val="auto"/>
                <w:sz w:val="24"/>
                <w:szCs w:val="24"/>
              </w:rPr>
              <w:t>4</w:t>
            </w:r>
            <w:r>
              <w:rPr>
                <w:color w:val="auto"/>
                <w:sz w:val="24"/>
                <w:szCs w:val="24"/>
              </w:rPr>
              <w:t>。</w:t>
            </w:r>
          </w:p>
          <w:p w14:paraId="77B68767">
            <w:pPr>
              <w:spacing w:line="360" w:lineRule="auto"/>
              <w:ind w:firstLine="484" w:firstLineChars="201"/>
              <w:jc w:val="center"/>
              <w:rPr>
                <w:b/>
                <w:bCs/>
                <w:color w:val="auto"/>
                <w:sz w:val="24"/>
                <w:szCs w:val="24"/>
              </w:rPr>
            </w:pPr>
          </w:p>
          <w:p w14:paraId="4E901A00">
            <w:pPr>
              <w:spacing w:line="360" w:lineRule="auto"/>
              <w:jc w:val="center"/>
              <w:rPr>
                <w:b/>
                <w:bCs/>
                <w:color w:val="auto"/>
                <w:sz w:val="24"/>
                <w:szCs w:val="24"/>
              </w:rPr>
            </w:pPr>
            <w:r>
              <w:rPr>
                <w:b/>
                <w:bCs/>
                <w:color w:val="auto"/>
                <w:sz w:val="24"/>
                <w:szCs w:val="24"/>
              </w:rPr>
              <w:t>表</w:t>
            </w:r>
            <w:r>
              <w:rPr>
                <w:rFonts w:hint="eastAsia"/>
                <w:b/>
                <w:bCs/>
                <w:color w:val="auto"/>
                <w:sz w:val="24"/>
                <w:szCs w:val="24"/>
              </w:rPr>
              <w:t>2</w:t>
            </w:r>
            <w:r>
              <w:rPr>
                <w:b/>
                <w:bCs/>
                <w:color w:val="auto"/>
                <w:sz w:val="24"/>
                <w:szCs w:val="24"/>
              </w:rPr>
              <w:t>-</w:t>
            </w:r>
            <w:r>
              <w:rPr>
                <w:rFonts w:hint="eastAsia"/>
                <w:b/>
                <w:bCs/>
                <w:color w:val="auto"/>
                <w:sz w:val="24"/>
                <w:szCs w:val="24"/>
              </w:rPr>
              <w:t>4建设项目</w:t>
            </w:r>
            <w:r>
              <w:rPr>
                <w:b/>
                <w:bCs/>
                <w:color w:val="auto"/>
                <w:sz w:val="24"/>
                <w:szCs w:val="24"/>
              </w:rPr>
              <w:t>涉及主要设备一览表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704"/>
              <w:gridCol w:w="1236"/>
              <w:gridCol w:w="3145"/>
              <w:gridCol w:w="1106"/>
            </w:tblGrid>
            <w:tr w14:paraId="5ABC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80" w:type="dxa"/>
                  <w:vAlign w:val="center"/>
                </w:tcPr>
                <w:p w14:paraId="3B279B5A">
                  <w:pPr>
                    <w:jc w:val="center"/>
                    <w:rPr>
                      <w:b/>
                      <w:bCs/>
                      <w:color w:val="auto"/>
                    </w:rPr>
                  </w:pPr>
                  <w:r>
                    <w:rPr>
                      <w:rFonts w:hint="eastAsia"/>
                      <w:b/>
                      <w:bCs/>
                      <w:color w:val="auto"/>
                    </w:rPr>
                    <w:t>序号</w:t>
                  </w:r>
                </w:p>
              </w:tc>
              <w:tc>
                <w:tcPr>
                  <w:tcW w:w="2704" w:type="dxa"/>
                  <w:vAlign w:val="center"/>
                </w:tcPr>
                <w:p w14:paraId="41A6CDFA">
                  <w:pPr>
                    <w:jc w:val="center"/>
                    <w:rPr>
                      <w:b/>
                      <w:bCs/>
                      <w:color w:val="auto"/>
                    </w:rPr>
                  </w:pPr>
                  <w:r>
                    <w:rPr>
                      <w:rFonts w:hint="eastAsia"/>
                      <w:b/>
                      <w:bCs/>
                      <w:color w:val="auto"/>
                    </w:rPr>
                    <w:t>设备名称</w:t>
                  </w:r>
                </w:p>
              </w:tc>
              <w:tc>
                <w:tcPr>
                  <w:tcW w:w="1236" w:type="dxa"/>
                  <w:vAlign w:val="center"/>
                </w:tcPr>
                <w:p w14:paraId="36E1D1B9">
                  <w:pPr>
                    <w:jc w:val="center"/>
                    <w:rPr>
                      <w:b/>
                      <w:bCs/>
                      <w:color w:val="auto"/>
                    </w:rPr>
                  </w:pPr>
                  <w:r>
                    <w:rPr>
                      <w:rFonts w:hint="eastAsia"/>
                      <w:b/>
                      <w:bCs/>
                      <w:color w:val="auto"/>
                    </w:rPr>
                    <w:t>规格/型号</w:t>
                  </w:r>
                </w:p>
              </w:tc>
              <w:tc>
                <w:tcPr>
                  <w:tcW w:w="3145" w:type="dxa"/>
                  <w:vAlign w:val="center"/>
                </w:tcPr>
                <w:p w14:paraId="383116C0">
                  <w:pPr>
                    <w:jc w:val="center"/>
                    <w:rPr>
                      <w:b/>
                      <w:bCs/>
                      <w:color w:val="auto"/>
                    </w:rPr>
                  </w:pPr>
                  <w:r>
                    <w:rPr>
                      <w:rFonts w:hint="eastAsia"/>
                      <w:b/>
                      <w:bCs/>
                      <w:color w:val="auto"/>
                    </w:rPr>
                    <w:t>数量（台/套）</w:t>
                  </w:r>
                </w:p>
              </w:tc>
              <w:tc>
                <w:tcPr>
                  <w:tcW w:w="1106" w:type="dxa"/>
                  <w:vAlign w:val="center"/>
                </w:tcPr>
                <w:p w14:paraId="289FB62F">
                  <w:pPr>
                    <w:jc w:val="center"/>
                    <w:rPr>
                      <w:b/>
                      <w:bCs/>
                      <w:color w:val="auto"/>
                    </w:rPr>
                  </w:pPr>
                  <w:r>
                    <w:rPr>
                      <w:rFonts w:hint="eastAsia"/>
                      <w:b/>
                      <w:bCs/>
                      <w:color w:val="auto"/>
                    </w:rPr>
                    <w:t>备注</w:t>
                  </w:r>
                </w:p>
              </w:tc>
            </w:tr>
            <w:tr w14:paraId="53CC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24274047">
                  <w:pPr>
                    <w:widowControl/>
                    <w:jc w:val="center"/>
                    <w:textAlignment w:val="center"/>
                    <w:rPr>
                      <w:color w:val="auto"/>
                    </w:rPr>
                  </w:pPr>
                  <w:r>
                    <w:rPr>
                      <w:rFonts w:hint="eastAsia"/>
                      <w:color w:val="auto"/>
                    </w:rPr>
                    <w:t>1</w:t>
                  </w:r>
                </w:p>
              </w:tc>
              <w:tc>
                <w:tcPr>
                  <w:tcW w:w="2704" w:type="dxa"/>
                  <w:vAlign w:val="center"/>
                </w:tcPr>
                <w:p w14:paraId="46921E06">
                  <w:pPr>
                    <w:widowControl/>
                    <w:jc w:val="center"/>
                    <w:textAlignment w:val="center"/>
                    <w:rPr>
                      <w:color w:val="auto"/>
                    </w:rPr>
                  </w:pPr>
                  <w:r>
                    <w:rPr>
                      <w:rFonts w:hint="eastAsia"/>
                      <w:color w:val="auto"/>
                    </w:rPr>
                    <w:t>激光切割机</w:t>
                  </w:r>
                </w:p>
              </w:tc>
              <w:tc>
                <w:tcPr>
                  <w:tcW w:w="1236" w:type="dxa"/>
                  <w:vAlign w:val="center"/>
                </w:tcPr>
                <w:p w14:paraId="04439EEB">
                  <w:pPr>
                    <w:widowControl/>
                    <w:jc w:val="center"/>
                    <w:textAlignment w:val="center"/>
                    <w:rPr>
                      <w:color w:val="auto"/>
                    </w:rPr>
                  </w:pPr>
                  <w:r>
                    <w:rPr>
                      <w:rFonts w:hint="eastAsia"/>
                      <w:color w:val="auto"/>
                    </w:rPr>
                    <w:t>/</w:t>
                  </w:r>
                </w:p>
              </w:tc>
              <w:tc>
                <w:tcPr>
                  <w:tcW w:w="3145" w:type="dxa"/>
                  <w:vAlign w:val="center"/>
                </w:tcPr>
                <w:p w14:paraId="1F0DEE44">
                  <w:pPr>
                    <w:widowControl/>
                    <w:jc w:val="center"/>
                    <w:textAlignment w:val="center"/>
                    <w:rPr>
                      <w:color w:val="auto"/>
                    </w:rPr>
                  </w:pPr>
                  <w:r>
                    <w:rPr>
                      <w:rFonts w:hint="eastAsia"/>
                      <w:color w:val="auto"/>
                    </w:rPr>
                    <w:t>15台</w:t>
                  </w:r>
                </w:p>
              </w:tc>
              <w:tc>
                <w:tcPr>
                  <w:tcW w:w="1106" w:type="dxa"/>
                  <w:vAlign w:val="center"/>
                </w:tcPr>
                <w:p w14:paraId="7E611AAA">
                  <w:pPr>
                    <w:widowControl/>
                    <w:jc w:val="center"/>
                    <w:textAlignment w:val="center"/>
                    <w:rPr>
                      <w:color w:val="auto"/>
                    </w:rPr>
                  </w:pPr>
                  <w:r>
                    <w:rPr>
                      <w:rFonts w:hint="eastAsia"/>
                      <w:color w:val="auto"/>
                    </w:rPr>
                    <w:t>国产</w:t>
                  </w:r>
                </w:p>
              </w:tc>
            </w:tr>
            <w:tr w14:paraId="7067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0" w:type="dxa"/>
                  <w:vAlign w:val="center"/>
                </w:tcPr>
                <w:p w14:paraId="46FA6E27">
                  <w:pPr>
                    <w:widowControl/>
                    <w:jc w:val="center"/>
                    <w:textAlignment w:val="center"/>
                    <w:rPr>
                      <w:color w:val="auto"/>
                    </w:rPr>
                  </w:pPr>
                  <w:r>
                    <w:rPr>
                      <w:rFonts w:hint="eastAsia"/>
                      <w:color w:val="auto"/>
                    </w:rPr>
                    <w:t>2</w:t>
                  </w:r>
                </w:p>
              </w:tc>
              <w:tc>
                <w:tcPr>
                  <w:tcW w:w="2704" w:type="dxa"/>
                  <w:vAlign w:val="center"/>
                </w:tcPr>
                <w:p w14:paraId="2F8275BC">
                  <w:pPr>
                    <w:widowControl/>
                    <w:jc w:val="center"/>
                    <w:textAlignment w:val="center"/>
                    <w:rPr>
                      <w:color w:val="auto"/>
                    </w:rPr>
                  </w:pPr>
                  <w:r>
                    <w:rPr>
                      <w:rFonts w:hint="eastAsia"/>
                      <w:color w:val="auto"/>
                    </w:rPr>
                    <w:t>镗孔机</w:t>
                  </w:r>
                </w:p>
              </w:tc>
              <w:tc>
                <w:tcPr>
                  <w:tcW w:w="1236" w:type="dxa"/>
                  <w:vAlign w:val="center"/>
                </w:tcPr>
                <w:p w14:paraId="02367D9B">
                  <w:pPr>
                    <w:widowControl/>
                    <w:jc w:val="center"/>
                    <w:textAlignment w:val="center"/>
                    <w:rPr>
                      <w:color w:val="auto"/>
                    </w:rPr>
                  </w:pPr>
                  <w:r>
                    <w:rPr>
                      <w:rFonts w:hint="eastAsia"/>
                      <w:color w:val="auto"/>
                    </w:rPr>
                    <w:t>非标定制</w:t>
                  </w:r>
                </w:p>
              </w:tc>
              <w:tc>
                <w:tcPr>
                  <w:tcW w:w="3145" w:type="dxa"/>
                  <w:vAlign w:val="center"/>
                </w:tcPr>
                <w:p w14:paraId="1DF90656">
                  <w:pPr>
                    <w:widowControl/>
                    <w:jc w:val="center"/>
                    <w:textAlignment w:val="center"/>
                    <w:rPr>
                      <w:color w:val="auto"/>
                    </w:rPr>
                  </w:pPr>
                  <w:r>
                    <w:rPr>
                      <w:rFonts w:hint="eastAsia"/>
                      <w:color w:val="auto"/>
                    </w:rPr>
                    <w:t>4台</w:t>
                  </w:r>
                </w:p>
              </w:tc>
              <w:tc>
                <w:tcPr>
                  <w:tcW w:w="1106" w:type="dxa"/>
                  <w:vAlign w:val="center"/>
                </w:tcPr>
                <w:p w14:paraId="5F12A8FA">
                  <w:pPr>
                    <w:widowControl/>
                    <w:jc w:val="center"/>
                    <w:textAlignment w:val="center"/>
                    <w:rPr>
                      <w:color w:val="auto"/>
                    </w:rPr>
                  </w:pPr>
                  <w:r>
                    <w:rPr>
                      <w:rFonts w:hint="eastAsia"/>
                      <w:color w:val="auto"/>
                    </w:rPr>
                    <w:t>国产</w:t>
                  </w:r>
                </w:p>
              </w:tc>
            </w:tr>
            <w:tr w14:paraId="592A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0CAD340E">
                  <w:pPr>
                    <w:widowControl/>
                    <w:jc w:val="center"/>
                    <w:textAlignment w:val="center"/>
                    <w:rPr>
                      <w:color w:val="auto"/>
                    </w:rPr>
                  </w:pPr>
                  <w:r>
                    <w:rPr>
                      <w:rFonts w:hint="eastAsia"/>
                      <w:color w:val="auto"/>
                    </w:rPr>
                    <w:t>3</w:t>
                  </w:r>
                </w:p>
              </w:tc>
              <w:tc>
                <w:tcPr>
                  <w:tcW w:w="2704" w:type="dxa"/>
                  <w:vAlign w:val="center"/>
                </w:tcPr>
                <w:p w14:paraId="1C160DD1">
                  <w:pPr>
                    <w:widowControl/>
                    <w:jc w:val="center"/>
                    <w:textAlignment w:val="center"/>
                    <w:rPr>
                      <w:color w:val="auto"/>
                    </w:rPr>
                  </w:pPr>
                  <w:r>
                    <w:rPr>
                      <w:rFonts w:hint="eastAsia"/>
                      <w:color w:val="auto"/>
                    </w:rPr>
                    <w:t>包口机</w:t>
                  </w:r>
                </w:p>
              </w:tc>
              <w:tc>
                <w:tcPr>
                  <w:tcW w:w="1236" w:type="dxa"/>
                  <w:vAlign w:val="center"/>
                </w:tcPr>
                <w:p w14:paraId="7464282A">
                  <w:pPr>
                    <w:widowControl/>
                    <w:jc w:val="center"/>
                    <w:textAlignment w:val="center"/>
                    <w:rPr>
                      <w:color w:val="auto"/>
                    </w:rPr>
                  </w:pPr>
                  <w:r>
                    <w:rPr>
                      <w:rFonts w:hint="eastAsia"/>
                      <w:color w:val="auto"/>
                    </w:rPr>
                    <w:t>非标定制</w:t>
                  </w:r>
                </w:p>
              </w:tc>
              <w:tc>
                <w:tcPr>
                  <w:tcW w:w="3145" w:type="dxa"/>
                  <w:vAlign w:val="center"/>
                </w:tcPr>
                <w:p w14:paraId="34DD7D3F">
                  <w:pPr>
                    <w:widowControl/>
                    <w:jc w:val="center"/>
                    <w:textAlignment w:val="center"/>
                    <w:rPr>
                      <w:color w:val="auto"/>
                    </w:rPr>
                  </w:pPr>
                  <w:r>
                    <w:rPr>
                      <w:rFonts w:hint="eastAsia"/>
                      <w:color w:val="auto"/>
                    </w:rPr>
                    <w:t>25台</w:t>
                  </w:r>
                </w:p>
              </w:tc>
              <w:tc>
                <w:tcPr>
                  <w:tcW w:w="1106" w:type="dxa"/>
                  <w:vAlign w:val="center"/>
                </w:tcPr>
                <w:p w14:paraId="62751F1B">
                  <w:pPr>
                    <w:widowControl/>
                    <w:jc w:val="center"/>
                    <w:textAlignment w:val="center"/>
                    <w:rPr>
                      <w:color w:val="auto"/>
                    </w:rPr>
                  </w:pPr>
                  <w:r>
                    <w:rPr>
                      <w:rFonts w:hint="eastAsia"/>
                      <w:color w:val="auto"/>
                    </w:rPr>
                    <w:t>国产</w:t>
                  </w:r>
                </w:p>
              </w:tc>
            </w:tr>
            <w:tr w14:paraId="51FF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709B7DFC">
                  <w:pPr>
                    <w:widowControl/>
                    <w:jc w:val="center"/>
                    <w:textAlignment w:val="center"/>
                    <w:rPr>
                      <w:color w:val="auto"/>
                    </w:rPr>
                  </w:pPr>
                  <w:r>
                    <w:rPr>
                      <w:rFonts w:hint="eastAsia"/>
                      <w:color w:val="auto"/>
                    </w:rPr>
                    <w:t>4</w:t>
                  </w:r>
                </w:p>
              </w:tc>
              <w:tc>
                <w:tcPr>
                  <w:tcW w:w="2704" w:type="dxa"/>
                  <w:vAlign w:val="center"/>
                </w:tcPr>
                <w:p w14:paraId="11BFA9DB">
                  <w:pPr>
                    <w:widowControl/>
                    <w:jc w:val="center"/>
                    <w:textAlignment w:val="center"/>
                    <w:rPr>
                      <w:color w:val="auto"/>
                    </w:rPr>
                  </w:pPr>
                  <w:r>
                    <w:rPr>
                      <w:rFonts w:hint="eastAsia"/>
                      <w:color w:val="auto"/>
                    </w:rPr>
                    <w:t>倒角机</w:t>
                  </w:r>
                </w:p>
              </w:tc>
              <w:tc>
                <w:tcPr>
                  <w:tcW w:w="1236" w:type="dxa"/>
                  <w:vAlign w:val="center"/>
                </w:tcPr>
                <w:p w14:paraId="535D36E2">
                  <w:pPr>
                    <w:widowControl/>
                    <w:jc w:val="center"/>
                    <w:textAlignment w:val="center"/>
                    <w:rPr>
                      <w:color w:val="auto"/>
                    </w:rPr>
                  </w:pPr>
                  <w:r>
                    <w:rPr>
                      <w:rFonts w:hint="eastAsia"/>
                      <w:color w:val="auto"/>
                    </w:rPr>
                    <w:t>非标定制</w:t>
                  </w:r>
                </w:p>
              </w:tc>
              <w:tc>
                <w:tcPr>
                  <w:tcW w:w="3145" w:type="dxa"/>
                  <w:vAlign w:val="center"/>
                </w:tcPr>
                <w:p w14:paraId="33286337">
                  <w:pPr>
                    <w:widowControl/>
                    <w:jc w:val="center"/>
                    <w:textAlignment w:val="center"/>
                    <w:rPr>
                      <w:color w:val="auto"/>
                    </w:rPr>
                  </w:pPr>
                  <w:r>
                    <w:rPr>
                      <w:rFonts w:hint="eastAsia"/>
                      <w:color w:val="auto"/>
                    </w:rPr>
                    <w:t>37台</w:t>
                  </w:r>
                </w:p>
              </w:tc>
              <w:tc>
                <w:tcPr>
                  <w:tcW w:w="1106" w:type="dxa"/>
                  <w:vAlign w:val="center"/>
                </w:tcPr>
                <w:p w14:paraId="674747B7">
                  <w:pPr>
                    <w:widowControl/>
                    <w:jc w:val="center"/>
                    <w:textAlignment w:val="center"/>
                    <w:rPr>
                      <w:color w:val="auto"/>
                    </w:rPr>
                  </w:pPr>
                  <w:r>
                    <w:rPr>
                      <w:rFonts w:hint="eastAsia"/>
                      <w:color w:val="auto"/>
                    </w:rPr>
                    <w:t>国产</w:t>
                  </w:r>
                </w:p>
              </w:tc>
            </w:tr>
            <w:tr w14:paraId="444F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17AE8646">
                  <w:pPr>
                    <w:widowControl/>
                    <w:jc w:val="center"/>
                    <w:textAlignment w:val="center"/>
                    <w:rPr>
                      <w:color w:val="auto"/>
                    </w:rPr>
                  </w:pPr>
                  <w:r>
                    <w:rPr>
                      <w:rFonts w:hint="eastAsia"/>
                      <w:color w:val="auto"/>
                    </w:rPr>
                    <w:t>5</w:t>
                  </w:r>
                </w:p>
              </w:tc>
              <w:tc>
                <w:tcPr>
                  <w:tcW w:w="2704" w:type="dxa"/>
                  <w:vAlign w:val="center"/>
                </w:tcPr>
                <w:p w14:paraId="580AAB8A">
                  <w:pPr>
                    <w:widowControl/>
                    <w:jc w:val="center"/>
                    <w:textAlignment w:val="center"/>
                    <w:rPr>
                      <w:color w:val="auto"/>
                    </w:rPr>
                  </w:pPr>
                  <w:r>
                    <w:rPr>
                      <w:rFonts w:hint="eastAsia"/>
                      <w:color w:val="auto"/>
                    </w:rPr>
                    <w:t>焊机</w:t>
                  </w:r>
                </w:p>
              </w:tc>
              <w:tc>
                <w:tcPr>
                  <w:tcW w:w="1236" w:type="dxa"/>
                  <w:vAlign w:val="center"/>
                </w:tcPr>
                <w:p w14:paraId="7E880C46">
                  <w:pPr>
                    <w:widowControl/>
                    <w:jc w:val="center"/>
                    <w:textAlignment w:val="center"/>
                    <w:rPr>
                      <w:color w:val="auto"/>
                    </w:rPr>
                  </w:pPr>
                  <w:r>
                    <w:rPr>
                      <w:rFonts w:hint="eastAsia"/>
                      <w:color w:val="auto"/>
                    </w:rPr>
                    <w:t>非标定制</w:t>
                  </w:r>
                </w:p>
              </w:tc>
              <w:tc>
                <w:tcPr>
                  <w:tcW w:w="3145" w:type="dxa"/>
                  <w:vAlign w:val="center"/>
                </w:tcPr>
                <w:p w14:paraId="212103B0">
                  <w:pPr>
                    <w:widowControl/>
                    <w:jc w:val="center"/>
                    <w:textAlignment w:val="center"/>
                    <w:rPr>
                      <w:color w:val="auto"/>
                    </w:rPr>
                  </w:pPr>
                  <w:r>
                    <w:rPr>
                      <w:rFonts w:hint="eastAsia"/>
                      <w:color w:val="auto"/>
                    </w:rPr>
                    <w:t>10台</w:t>
                  </w:r>
                </w:p>
              </w:tc>
              <w:tc>
                <w:tcPr>
                  <w:tcW w:w="1106" w:type="dxa"/>
                  <w:vAlign w:val="center"/>
                </w:tcPr>
                <w:p w14:paraId="580F8F23">
                  <w:pPr>
                    <w:widowControl/>
                    <w:jc w:val="center"/>
                    <w:textAlignment w:val="center"/>
                    <w:rPr>
                      <w:color w:val="auto"/>
                    </w:rPr>
                  </w:pPr>
                  <w:r>
                    <w:rPr>
                      <w:rFonts w:hint="eastAsia"/>
                      <w:color w:val="auto"/>
                    </w:rPr>
                    <w:t>国产</w:t>
                  </w:r>
                </w:p>
              </w:tc>
            </w:tr>
            <w:tr w14:paraId="4F02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80" w:type="dxa"/>
                  <w:vAlign w:val="center"/>
                </w:tcPr>
                <w:p w14:paraId="69312D8C">
                  <w:pPr>
                    <w:widowControl/>
                    <w:jc w:val="center"/>
                    <w:textAlignment w:val="center"/>
                    <w:rPr>
                      <w:color w:val="auto"/>
                    </w:rPr>
                  </w:pPr>
                  <w:r>
                    <w:rPr>
                      <w:rFonts w:hint="eastAsia"/>
                      <w:color w:val="auto"/>
                    </w:rPr>
                    <w:t>6</w:t>
                  </w:r>
                </w:p>
              </w:tc>
              <w:tc>
                <w:tcPr>
                  <w:tcW w:w="2704" w:type="dxa"/>
                  <w:vAlign w:val="center"/>
                </w:tcPr>
                <w:p w14:paraId="06D5A44A">
                  <w:pPr>
                    <w:widowControl/>
                    <w:jc w:val="center"/>
                    <w:textAlignment w:val="center"/>
                    <w:rPr>
                      <w:color w:val="auto"/>
                    </w:rPr>
                  </w:pPr>
                  <w:r>
                    <w:rPr>
                      <w:rFonts w:hint="eastAsia"/>
                      <w:color w:val="auto"/>
                    </w:rPr>
                    <w:t>磨床线</w:t>
                  </w:r>
                </w:p>
              </w:tc>
              <w:tc>
                <w:tcPr>
                  <w:tcW w:w="1236" w:type="dxa"/>
                  <w:vAlign w:val="center"/>
                </w:tcPr>
                <w:p w14:paraId="01E323BD">
                  <w:pPr>
                    <w:widowControl/>
                    <w:jc w:val="center"/>
                    <w:textAlignment w:val="center"/>
                    <w:rPr>
                      <w:color w:val="auto"/>
                    </w:rPr>
                  </w:pPr>
                  <w:r>
                    <w:rPr>
                      <w:rFonts w:hint="eastAsia"/>
                      <w:color w:val="auto"/>
                    </w:rPr>
                    <w:t>非标定制</w:t>
                  </w:r>
                </w:p>
              </w:tc>
              <w:tc>
                <w:tcPr>
                  <w:tcW w:w="3145" w:type="dxa"/>
                  <w:vAlign w:val="center"/>
                </w:tcPr>
                <w:p w14:paraId="21A1352A">
                  <w:pPr>
                    <w:widowControl/>
                    <w:jc w:val="center"/>
                    <w:textAlignment w:val="center"/>
                    <w:rPr>
                      <w:color w:val="auto"/>
                    </w:rPr>
                  </w:pPr>
                  <w:r>
                    <w:rPr>
                      <w:rFonts w:hint="eastAsia"/>
                      <w:color w:val="auto"/>
                    </w:rPr>
                    <w:t>8条</w:t>
                  </w:r>
                </w:p>
              </w:tc>
              <w:tc>
                <w:tcPr>
                  <w:tcW w:w="1106" w:type="dxa"/>
                  <w:vAlign w:val="center"/>
                </w:tcPr>
                <w:p w14:paraId="357D1880">
                  <w:pPr>
                    <w:widowControl/>
                    <w:jc w:val="center"/>
                    <w:textAlignment w:val="center"/>
                    <w:rPr>
                      <w:color w:val="auto"/>
                    </w:rPr>
                  </w:pPr>
                  <w:r>
                    <w:rPr>
                      <w:rFonts w:hint="eastAsia"/>
                      <w:color w:val="auto"/>
                    </w:rPr>
                    <w:t>国产</w:t>
                  </w:r>
                </w:p>
              </w:tc>
            </w:tr>
            <w:tr w14:paraId="6211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0" w:type="dxa"/>
                  <w:vAlign w:val="center"/>
                </w:tcPr>
                <w:p w14:paraId="4E1CC428">
                  <w:pPr>
                    <w:widowControl/>
                    <w:jc w:val="center"/>
                    <w:textAlignment w:val="center"/>
                    <w:rPr>
                      <w:color w:val="auto"/>
                    </w:rPr>
                  </w:pPr>
                  <w:r>
                    <w:rPr>
                      <w:rFonts w:hint="eastAsia"/>
                      <w:color w:val="auto"/>
                    </w:rPr>
                    <w:t>7</w:t>
                  </w:r>
                </w:p>
              </w:tc>
              <w:tc>
                <w:tcPr>
                  <w:tcW w:w="2704" w:type="dxa"/>
                  <w:vAlign w:val="center"/>
                </w:tcPr>
                <w:p w14:paraId="5788E315">
                  <w:pPr>
                    <w:widowControl/>
                    <w:jc w:val="center"/>
                    <w:textAlignment w:val="center"/>
                    <w:rPr>
                      <w:color w:val="auto"/>
                    </w:rPr>
                  </w:pPr>
                  <w:r>
                    <w:rPr>
                      <w:rFonts w:hint="eastAsia"/>
                      <w:color w:val="auto"/>
                    </w:rPr>
                    <w:t>扩口机</w:t>
                  </w:r>
                </w:p>
              </w:tc>
              <w:tc>
                <w:tcPr>
                  <w:tcW w:w="1236" w:type="dxa"/>
                  <w:vAlign w:val="center"/>
                </w:tcPr>
                <w:p w14:paraId="5784F8B5">
                  <w:pPr>
                    <w:widowControl/>
                    <w:jc w:val="center"/>
                    <w:textAlignment w:val="center"/>
                    <w:rPr>
                      <w:color w:val="auto"/>
                    </w:rPr>
                  </w:pPr>
                  <w:r>
                    <w:rPr>
                      <w:rFonts w:hint="eastAsia"/>
                      <w:color w:val="auto"/>
                    </w:rPr>
                    <w:t>非标定制</w:t>
                  </w:r>
                </w:p>
              </w:tc>
              <w:tc>
                <w:tcPr>
                  <w:tcW w:w="3145" w:type="dxa"/>
                  <w:vAlign w:val="center"/>
                </w:tcPr>
                <w:p w14:paraId="3CD5FE9E">
                  <w:pPr>
                    <w:widowControl/>
                    <w:jc w:val="center"/>
                    <w:textAlignment w:val="center"/>
                    <w:rPr>
                      <w:color w:val="auto"/>
                    </w:rPr>
                  </w:pPr>
                  <w:r>
                    <w:rPr>
                      <w:rFonts w:hint="eastAsia"/>
                      <w:color w:val="auto"/>
                    </w:rPr>
                    <w:t>2台</w:t>
                  </w:r>
                </w:p>
              </w:tc>
              <w:tc>
                <w:tcPr>
                  <w:tcW w:w="1106" w:type="dxa"/>
                  <w:vAlign w:val="center"/>
                </w:tcPr>
                <w:p w14:paraId="385FB7EB">
                  <w:pPr>
                    <w:widowControl/>
                    <w:jc w:val="center"/>
                    <w:textAlignment w:val="center"/>
                    <w:rPr>
                      <w:color w:val="auto"/>
                    </w:rPr>
                  </w:pPr>
                  <w:r>
                    <w:rPr>
                      <w:rFonts w:hint="eastAsia"/>
                      <w:color w:val="auto"/>
                    </w:rPr>
                    <w:t>国产</w:t>
                  </w:r>
                </w:p>
              </w:tc>
            </w:tr>
            <w:tr w14:paraId="6FA9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63807ECD">
                  <w:pPr>
                    <w:widowControl/>
                    <w:jc w:val="center"/>
                    <w:textAlignment w:val="center"/>
                    <w:rPr>
                      <w:color w:val="auto"/>
                    </w:rPr>
                  </w:pPr>
                  <w:r>
                    <w:rPr>
                      <w:rFonts w:hint="eastAsia"/>
                      <w:color w:val="auto"/>
                    </w:rPr>
                    <w:t>8</w:t>
                  </w:r>
                </w:p>
              </w:tc>
              <w:tc>
                <w:tcPr>
                  <w:tcW w:w="2704" w:type="dxa"/>
                  <w:vAlign w:val="center"/>
                </w:tcPr>
                <w:p w14:paraId="52B8A10C">
                  <w:pPr>
                    <w:widowControl/>
                    <w:jc w:val="center"/>
                    <w:textAlignment w:val="center"/>
                    <w:rPr>
                      <w:color w:val="auto"/>
                    </w:rPr>
                  </w:pPr>
                  <w:r>
                    <w:rPr>
                      <w:rFonts w:hint="eastAsia"/>
                      <w:color w:val="auto"/>
                    </w:rPr>
                    <w:t>洗管机</w:t>
                  </w:r>
                </w:p>
              </w:tc>
              <w:tc>
                <w:tcPr>
                  <w:tcW w:w="1236" w:type="dxa"/>
                  <w:vAlign w:val="center"/>
                </w:tcPr>
                <w:p w14:paraId="4E892D7F">
                  <w:pPr>
                    <w:widowControl/>
                    <w:jc w:val="center"/>
                    <w:textAlignment w:val="center"/>
                    <w:rPr>
                      <w:color w:val="auto"/>
                    </w:rPr>
                  </w:pPr>
                  <w:r>
                    <w:rPr>
                      <w:rFonts w:hint="eastAsia"/>
                      <w:color w:val="auto"/>
                    </w:rPr>
                    <w:t>非标定制</w:t>
                  </w:r>
                </w:p>
              </w:tc>
              <w:tc>
                <w:tcPr>
                  <w:tcW w:w="3145" w:type="dxa"/>
                  <w:vAlign w:val="center"/>
                </w:tcPr>
                <w:p w14:paraId="2E47A47E">
                  <w:pPr>
                    <w:widowControl/>
                    <w:jc w:val="center"/>
                    <w:textAlignment w:val="center"/>
                    <w:rPr>
                      <w:color w:val="auto"/>
                    </w:rPr>
                  </w:pPr>
                  <w:r>
                    <w:rPr>
                      <w:rFonts w:hint="eastAsia"/>
                      <w:color w:val="auto"/>
                    </w:rPr>
                    <w:t>4台</w:t>
                  </w:r>
                </w:p>
              </w:tc>
              <w:tc>
                <w:tcPr>
                  <w:tcW w:w="1106" w:type="dxa"/>
                  <w:vAlign w:val="center"/>
                </w:tcPr>
                <w:p w14:paraId="6539A52B">
                  <w:pPr>
                    <w:widowControl/>
                    <w:jc w:val="center"/>
                    <w:textAlignment w:val="center"/>
                    <w:rPr>
                      <w:color w:val="auto"/>
                    </w:rPr>
                  </w:pPr>
                  <w:r>
                    <w:rPr>
                      <w:rFonts w:hint="eastAsia"/>
                      <w:color w:val="auto"/>
                    </w:rPr>
                    <w:t>国产</w:t>
                  </w:r>
                </w:p>
              </w:tc>
            </w:tr>
            <w:tr w14:paraId="79E3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1E191501">
                  <w:pPr>
                    <w:widowControl/>
                    <w:jc w:val="center"/>
                    <w:textAlignment w:val="center"/>
                    <w:rPr>
                      <w:color w:val="auto"/>
                    </w:rPr>
                  </w:pPr>
                  <w:r>
                    <w:rPr>
                      <w:rFonts w:hint="eastAsia"/>
                      <w:color w:val="auto"/>
                    </w:rPr>
                    <w:t>9</w:t>
                  </w:r>
                </w:p>
              </w:tc>
              <w:tc>
                <w:tcPr>
                  <w:tcW w:w="2704" w:type="dxa"/>
                  <w:vAlign w:val="center"/>
                </w:tcPr>
                <w:p w14:paraId="43FCEB8A">
                  <w:pPr>
                    <w:widowControl/>
                    <w:jc w:val="center"/>
                    <w:textAlignment w:val="center"/>
                    <w:rPr>
                      <w:color w:val="auto"/>
                    </w:rPr>
                  </w:pPr>
                  <w:r>
                    <w:rPr>
                      <w:rFonts w:hint="eastAsia"/>
                      <w:color w:val="auto"/>
                    </w:rPr>
                    <w:t>控阀机</w:t>
                  </w:r>
                </w:p>
              </w:tc>
              <w:tc>
                <w:tcPr>
                  <w:tcW w:w="1236" w:type="dxa"/>
                  <w:vAlign w:val="center"/>
                </w:tcPr>
                <w:p w14:paraId="12EDD48A">
                  <w:pPr>
                    <w:widowControl/>
                    <w:jc w:val="center"/>
                    <w:textAlignment w:val="center"/>
                    <w:rPr>
                      <w:color w:val="auto"/>
                    </w:rPr>
                  </w:pPr>
                  <w:r>
                    <w:rPr>
                      <w:rFonts w:hint="eastAsia"/>
                      <w:color w:val="auto"/>
                    </w:rPr>
                    <w:t>非标定制</w:t>
                  </w:r>
                </w:p>
              </w:tc>
              <w:tc>
                <w:tcPr>
                  <w:tcW w:w="3145" w:type="dxa"/>
                  <w:vAlign w:val="center"/>
                </w:tcPr>
                <w:p w14:paraId="3BA95983">
                  <w:pPr>
                    <w:widowControl/>
                    <w:jc w:val="center"/>
                    <w:textAlignment w:val="center"/>
                    <w:rPr>
                      <w:color w:val="auto"/>
                    </w:rPr>
                  </w:pPr>
                  <w:r>
                    <w:rPr>
                      <w:rFonts w:hint="eastAsia"/>
                      <w:color w:val="auto"/>
                    </w:rPr>
                    <w:t>10条</w:t>
                  </w:r>
                </w:p>
              </w:tc>
              <w:tc>
                <w:tcPr>
                  <w:tcW w:w="1106" w:type="dxa"/>
                  <w:vAlign w:val="center"/>
                </w:tcPr>
                <w:p w14:paraId="40CD55AE">
                  <w:pPr>
                    <w:widowControl/>
                    <w:jc w:val="center"/>
                    <w:textAlignment w:val="center"/>
                    <w:rPr>
                      <w:color w:val="auto"/>
                    </w:rPr>
                  </w:pPr>
                  <w:r>
                    <w:rPr>
                      <w:rFonts w:hint="eastAsia"/>
                      <w:color w:val="auto"/>
                    </w:rPr>
                    <w:t>国产</w:t>
                  </w:r>
                </w:p>
              </w:tc>
            </w:tr>
            <w:tr w14:paraId="4AD7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0F0447DB">
                  <w:pPr>
                    <w:widowControl/>
                    <w:jc w:val="center"/>
                    <w:textAlignment w:val="center"/>
                    <w:rPr>
                      <w:color w:val="auto"/>
                    </w:rPr>
                  </w:pPr>
                  <w:r>
                    <w:rPr>
                      <w:rFonts w:hint="eastAsia"/>
                      <w:color w:val="auto"/>
                    </w:rPr>
                    <w:t>10</w:t>
                  </w:r>
                </w:p>
              </w:tc>
              <w:tc>
                <w:tcPr>
                  <w:tcW w:w="2704" w:type="dxa"/>
                  <w:vAlign w:val="center"/>
                </w:tcPr>
                <w:p w14:paraId="3E96FB90">
                  <w:pPr>
                    <w:widowControl/>
                    <w:jc w:val="center"/>
                    <w:textAlignment w:val="center"/>
                    <w:rPr>
                      <w:color w:val="auto"/>
                    </w:rPr>
                  </w:pPr>
                  <w:r>
                    <w:rPr>
                      <w:rFonts w:hint="eastAsia"/>
                      <w:color w:val="auto"/>
                    </w:rPr>
                    <w:t>铆杆机</w:t>
                  </w:r>
                </w:p>
              </w:tc>
              <w:tc>
                <w:tcPr>
                  <w:tcW w:w="1236" w:type="dxa"/>
                  <w:vAlign w:val="center"/>
                </w:tcPr>
                <w:p w14:paraId="1AD398E9">
                  <w:pPr>
                    <w:widowControl/>
                    <w:jc w:val="center"/>
                    <w:textAlignment w:val="center"/>
                    <w:rPr>
                      <w:color w:val="auto"/>
                    </w:rPr>
                  </w:pPr>
                  <w:r>
                    <w:rPr>
                      <w:rFonts w:hint="eastAsia"/>
                      <w:color w:val="auto"/>
                    </w:rPr>
                    <w:t>非标定制</w:t>
                  </w:r>
                </w:p>
              </w:tc>
              <w:tc>
                <w:tcPr>
                  <w:tcW w:w="3145" w:type="dxa"/>
                  <w:vAlign w:val="center"/>
                </w:tcPr>
                <w:p w14:paraId="16D33A13">
                  <w:pPr>
                    <w:widowControl/>
                    <w:jc w:val="center"/>
                    <w:textAlignment w:val="center"/>
                    <w:rPr>
                      <w:color w:val="auto"/>
                    </w:rPr>
                  </w:pPr>
                  <w:r>
                    <w:rPr>
                      <w:rFonts w:hint="eastAsia"/>
                      <w:color w:val="auto"/>
                    </w:rPr>
                    <w:t>13台</w:t>
                  </w:r>
                </w:p>
              </w:tc>
              <w:tc>
                <w:tcPr>
                  <w:tcW w:w="1106" w:type="dxa"/>
                  <w:vAlign w:val="center"/>
                </w:tcPr>
                <w:p w14:paraId="1BDCEB85">
                  <w:pPr>
                    <w:widowControl/>
                    <w:jc w:val="center"/>
                    <w:textAlignment w:val="center"/>
                    <w:rPr>
                      <w:color w:val="auto"/>
                    </w:rPr>
                  </w:pPr>
                  <w:r>
                    <w:rPr>
                      <w:rFonts w:hint="eastAsia"/>
                      <w:color w:val="auto"/>
                    </w:rPr>
                    <w:t>国产</w:t>
                  </w:r>
                </w:p>
              </w:tc>
            </w:tr>
            <w:tr w14:paraId="71F2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184D5FEF">
                  <w:pPr>
                    <w:widowControl/>
                    <w:jc w:val="center"/>
                    <w:textAlignment w:val="center"/>
                    <w:rPr>
                      <w:color w:val="auto"/>
                    </w:rPr>
                  </w:pPr>
                  <w:r>
                    <w:rPr>
                      <w:rFonts w:hint="eastAsia"/>
                      <w:color w:val="auto"/>
                    </w:rPr>
                    <w:t>11</w:t>
                  </w:r>
                </w:p>
              </w:tc>
              <w:tc>
                <w:tcPr>
                  <w:tcW w:w="2704" w:type="dxa"/>
                  <w:vAlign w:val="center"/>
                </w:tcPr>
                <w:p w14:paraId="5784AD1D">
                  <w:pPr>
                    <w:widowControl/>
                    <w:jc w:val="center"/>
                    <w:textAlignment w:val="center"/>
                    <w:rPr>
                      <w:color w:val="auto"/>
                    </w:rPr>
                  </w:pPr>
                  <w:r>
                    <w:rPr>
                      <w:rFonts w:hint="eastAsia"/>
                      <w:color w:val="auto"/>
                    </w:rPr>
                    <w:t>半成品流水线</w:t>
                  </w:r>
                </w:p>
              </w:tc>
              <w:tc>
                <w:tcPr>
                  <w:tcW w:w="1236" w:type="dxa"/>
                  <w:vAlign w:val="center"/>
                </w:tcPr>
                <w:p w14:paraId="0C4FCFC3">
                  <w:pPr>
                    <w:widowControl/>
                    <w:jc w:val="center"/>
                    <w:textAlignment w:val="center"/>
                    <w:rPr>
                      <w:color w:val="auto"/>
                    </w:rPr>
                  </w:pPr>
                  <w:r>
                    <w:rPr>
                      <w:rFonts w:hint="eastAsia"/>
                      <w:color w:val="auto"/>
                    </w:rPr>
                    <w:t>非标定制</w:t>
                  </w:r>
                </w:p>
              </w:tc>
              <w:tc>
                <w:tcPr>
                  <w:tcW w:w="3145" w:type="dxa"/>
                  <w:vAlign w:val="center"/>
                </w:tcPr>
                <w:p w14:paraId="6BAE8753">
                  <w:pPr>
                    <w:widowControl/>
                    <w:jc w:val="center"/>
                    <w:textAlignment w:val="center"/>
                    <w:rPr>
                      <w:color w:val="auto"/>
                    </w:rPr>
                  </w:pPr>
                  <w:r>
                    <w:rPr>
                      <w:rFonts w:hint="eastAsia"/>
                      <w:color w:val="auto"/>
                    </w:rPr>
                    <w:t>13条</w:t>
                  </w:r>
                </w:p>
              </w:tc>
              <w:tc>
                <w:tcPr>
                  <w:tcW w:w="1106" w:type="dxa"/>
                  <w:vAlign w:val="center"/>
                </w:tcPr>
                <w:p w14:paraId="5808D996">
                  <w:pPr>
                    <w:widowControl/>
                    <w:jc w:val="center"/>
                    <w:textAlignment w:val="center"/>
                    <w:rPr>
                      <w:color w:val="auto"/>
                    </w:rPr>
                  </w:pPr>
                  <w:r>
                    <w:rPr>
                      <w:rFonts w:hint="eastAsia"/>
                      <w:color w:val="auto"/>
                    </w:rPr>
                    <w:t>国产</w:t>
                  </w:r>
                </w:p>
              </w:tc>
            </w:tr>
            <w:tr w14:paraId="517C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57049C40">
                  <w:pPr>
                    <w:widowControl/>
                    <w:jc w:val="center"/>
                    <w:textAlignment w:val="center"/>
                    <w:rPr>
                      <w:color w:val="auto"/>
                    </w:rPr>
                  </w:pPr>
                  <w:r>
                    <w:rPr>
                      <w:rFonts w:hint="eastAsia"/>
                      <w:color w:val="auto"/>
                    </w:rPr>
                    <w:t>12</w:t>
                  </w:r>
                </w:p>
              </w:tc>
              <w:tc>
                <w:tcPr>
                  <w:tcW w:w="2704" w:type="dxa"/>
                  <w:vAlign w:val="center"/>
                </w:tcPr>
                <w:p w14:paraId="04ADD3EC">
                  <w:pPr>
                    <w:widowControl/>
                    <w:jc w:val="center"/>
                    <w:textAlignment w:val="center"/>
                    <w:rPr>
                      <w:color w:val="auto"/>
                    </w:rPr>
                  </w:pPr>
                  <w:r>
                    <w:rPr>
                      <w:rFonts w:hint="eastAsia"/>
                      <w:color w:val="auto"/>
                    </w:rPr>
                    <w:t>加油机</w:t>
                  </w:r>
                </w:p>
              </w:tc>
              <w:tc>
                <w:tcPr>
                  <w:tcW w:w="1236" w:type="dxa"/>
                  <w:vAlign w:val="center"/>
                </w:tcPr>
                <w:p w14:paraId="343EEB69">
                  <w:pPr>
                    <w:widowControl/>
                    <w:jc w:val="center"/>
                    <w:textAlignment w:val="center"/>
                    <w:rPr>
                      <w:color w:val="auto"/>
                    </w:rPr>
                  </w:pPr>
                  <w:r>
                    <w:rPr>
                      <w:rFonts w:hint="eastAsia"/>
                      <w:color w:val="auto"/>
                    </w:rPr>
                    <w:t>非标定制</w:t>
                  </w:r>
                </w:p>
              </w:tc>
              <w:tc>
                <w:tcPr>
                  <w:tcW w:w="3145" w:type="dxa"/>
                  <w:vAlign w:val="center"/>
                </w:tcPr>
                <w:p w14:paraId="7BB719D5">
                  <w:pPr>
                    <w:widowControl/>
                    <w:jc w:val="center"/>
                    <w:textAlignment w:val="center"/>
                    <w:rPr>
                      <w:color w:val="auto"/>
                    </w:rPr>
                  </w:pPr>
                  <w:r>
                    <w:rPr>
                      <w:rFonts w:hint="eastAsia"/>
                      <w:color w:val="auto"/>
                    </w:rPr>
                    <w:t>3台</w:t>
                  </w:r>
                </w:p>
              </w:tc>
              <w:tc>
                <w:tcPr>
                  <w:tcW w:w="1106" w:type="dxa"/>
                  <w:vAlign w:val="center"/>
                </w:tcPr>
                <w:p w14:paraId="4F0BDF31">
                  <w:pPr>
                    <w:widowControl/>
                    <w:jc w:val="center"/>
                    <w:textAlignment w:val="center"/>
                    <w:rPr>
                      <w:color w:val="auto"/>
                    </w:rPr>
                  </w:pPr>
                  <w:r>
                    <w:rPr>
                      <w:rFonts w:hint="eastAsia"/>
                      <w:color w:val="auto"/>
                    </w:rPr>
                    <w:t>国产</w:t>
                  </w:r>
                </w:p>
              </w:tc>
            </w:tr>
            <w:tr w14:paraId="0FA0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1C83F425">
                  <w:pPr>
                    <w:widowControl/>
                    <w:jc w:val="center"/>
                    <w:textAlignment w:val="center"/>
                    <w:rPr>
                      <w:color w:val="auto"/>
                    </w:rPr>
                  </w:pPr>
                  <w:r>
                    <w:rPr>
                      <w:rFonts w:hint="eastAsia"/>
                      <w:color w:val="auto"/>
                    </w:rPr>
                    <w:t>13</w:t>
                  </w:r>
                </w:p>
              </w:tc>
              <w:tc>
                <w:tcPr>
                  <w:tcW w:w="2704" w:type="dxa"/>
                  <w:vAlign w:val="center"/>
                </w:tcPr>
                <w:p w14:paraId="7AF10239">
                  <w:pPr>
                    <w:widowControl/>
                    <w:jc w:val="center"/>
                    <w:textAlignment w:val="center"/>
                    <w:rPr>
                      <w:color w:val="auto"/>
                    </w:rPr>
                  </w:pPr>
                  <w:r>
                    <w:rPr>
                      <w:rFonts w:hint="eastAsia"/>
                      <w:color w:val="auto"/>
                    </w:rPr>
                    <w:t>充气机</w:t>
                  </w:r>
                </w:p>
              </w:tc>
              <w:tc>
                <w:tcPr>
                  <w:tcW w:w="1236" w:type="dxa"/>
                  <w:vAlign w:val="center"/>
                </w:tcPr>
                <w:p w14:paraId="6A55C0B1">
                  <w:pPr>
                    <w:widowControl/>
                    <w:jc w:val="center"/>
                    <w:textAlignment w:val="center"/>
                    <w:rPr>
                      <w:color w:val="auto"/>
                    </w:rPr>
                  </w:pPr>
                  <w:r>
                    <w:rPr>
                      <w:rFonts w:hint="eastAsia"/>
                      <w:color w:val="auto"/>
                    </w:rPr>
                    <w:t>非标定制</w:t>
                  </w:r>
                </w:p>
              </w:tc>
              <w:tc>
                <w:tcPr>
                  <w:tcW w:w="3145" w:type="dxa"/>
                  <w:vAlign w:val="center"/>
                </w:tcPr>
                <w:p w14:paraId="411D98C7">
                  <w:pPr>
                    <w:widowControl/>
                    <w:jc w:val="center"/>
                    <w:textAlignment w:val="center"/>
                    <w:rPr>
                      <w:color w:val="auto"/>
                    </w:rPr>
                  </w:pPr>
                  <w:r>
                    <w:rPr>
                      <w:rFonts w:hint="eastAsia"/>
                      <w:color w:val="auto"/>
                    </w:rPr>
                    <w:t>15台</w:t>
                  </w:r>
                </w:p>
              </w:tc>
              <w:tc>
                <w:tcPr>
                  <w:tcW w:w="1106" w:type="dxa"/>
                  <w:vAlign w:val="center"/>
                </w:tcPr>
                <w:p w14:paraId="215B6856">
                  <w:pPr>
                    <w:widowControl/>
                    <w:jc w:val="center"/>
                    <w:textAlignment w:val="center"/>
                    <w:rPr>
                      <w:color w:val="auto"/>
                    </w:rPr>
                  </w:pPr>
                  <w:r>
                    <w:rPr>
                      <w:rFonts w:hint="eastAsia"/>
                      <w:color w:val="auto"/>
                    </w:rPr>
                    <w:t>国产</w:t>
                  </w:r>
                </w:p>
              </w:tc>
            </w:tr>
            <w:tr w14:paraId="7E03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2372ADD6">
                  <w:pPr>
                    <w:widowControl/>
                    <w:jc w:val="center"/>
                    <w:textAlignment w:val="center"/>
                    <w:rPr>
                      <w:color w:val="auto"/>
                    </w:rPr>
                  </w:pPr>
                  <w:r>
                    <w:rPr>
                      <w:rFonts w:hint="eastAsia"/>
                      <w:color w:val="auto"/>
                    </w:rPr>
                    <w:t>14</w:t>
                  </w:r>
                </w:p>
              </w:tc>
              <w:tc>
                <w:tcPr>
                  <w:tcW w:w="2704" w:type="dxa"/>
                  <w:vAlign w:val="center"/>
                </w:tcPr>
                <w:p w14:paraId="1ACF79F3">
                  <w:pPr>
                    <w:widowControl/>
                    <w:jc w:val="center"/>
                    <w:textAlignment w:val="center"/>
                    <w:rPr>
                      <w:color w:val="auto"/>
                    </w:rPr>
                  </w:pPr>
                  <w:r>
                    <w:rPr>
                      <w:rFonts w:hint="eastAsia"/>
                      <w:color w:val="auto"/>
                    </w:rPr>
                    <w:t>刻字测压机</w:t>
                  </w:r>
                </w:p>
              </w:tc>
              <w:tc>
                <w:tcPr>
                  <w:tcW w:w="1236" w:type="dxa"/>
                  <w:vAlign w:val="center"/>
                </w:tcPr>
                <w:p w14:paraId="3B745F20">
                  <w:pPr>
                    <w:widowControl/>
                    <w:jc w:val="center"/>
                    <w:textAlignment w:val="center"/>
                    <w:rPr>
                      <w:color w:val="auto"/>
                    </w:rPr>
                  </w:pPr>
                  <w:r>
                    <w:rPr>
                      <w:rFonts w:hint="eastAsia"/>
                      <w:color w:val="auto"/>
                    </w:rPr>
                    <w:t>非标定制</w:t>
                  </w:r>
                </w:p>
              </w:tc>
              <w:tc>
                <w:tcPr>
                  <w:tcW w:w="3145" w:type="dxa"/>
                  <w:vAlign w:val="center"/>
                </w:tcPr>
                <w:p w14:paraId="4ECD78B7">
                  <w:pPr>
                    <w:widowControl/>
                    <w:jc w:val="center"/>
                    <w:textAlignment w:val="center"/>
                    <w:rPr>
                      <w:color w:val="auto"/>
                    </w:rPr>
                  </w:pPr>
                  <w:r>
                    <w:rPr>
                      <w:rFonts w:hint="eastAsia"/>
                      <w:color w:val="auto"/>
                    </w:rPr>
                    <w:t>15台</w:t>
                  </w:r>
                </w:p>
              </w:tc>
              <w:tc>
                <w:tcPr>
                  <w:tcW w:w="1106" w:type="dxa"/>
                  <w:vAlign w:val="center"/>
                </w:tcPr>
                <w:p w14:paraId="13A94AF6">
                  <w:pPr>
                    <w:widowControl/>
                    <w:jc w:val="center"/>
                    <w:textAlignment w:val="center"/>
                    <w:rPr>
                      <w:color w:val="auto"/>
                    </w:rPr>
                  </w:pPr>
                  <w:r>
                    <w:rPr>
                      <w:rFonts w:hint="eastAsia"/>
                      <w:color w:val="auto"/>
                    </w:rPr>
                    <w:t>国产</w:t>
                  </w:r>
                </w:p>
              </w:tc>
            </w:tr>
            <w:tr w14:paraId="25AE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15488DF4">
                  <w:pPr>
                    <w:widowControl/>
                    <w:jc w:val="center"/>
                    <w:textAlignment w:val="center"/>
                    <w:rPr>
                      <w:color w:val="auto"/>
                    </w:rPr>
                  </w:pPr>
                  <w:r>
                    <w:rPr>
                      <w:rFonts w:hint="eastAsia"/>
                      <w:color w:val="auto"/>
                    </w:rPr>
                    <w:t>15</w:t>
                  </w:r>
                </w:p>
              </w:tc>
              <w:tc>
                <w:tcPr>
                  <w:tcW w:w="2704" w:type="dxa"/>
                  <w:vAlign w:val="center"/>
                </w:tcPr>
                <w:p w14:paraId="331611E9">
                  <w:pPr>
                    <w:widowControl/>
                    <w:jc w:val="center"/>
                    <w:textAlignment w:val="center"/>
                    <w:rPr>
                      <w:color w:val="auto"/>
                    </w:rPr>
                  </w:pPr>
                  <w:r>
                    <w:rPr>
                      <w:rFonts w:hint="eastAsia"/>
                      <w:color w:val="auto"/>
                    </w:rPr>
                    <w:t>压套机</w:t>
                  </w:r>
                </w:p>
              </w:tc>
              <w:tc>
                <w:tcPr>
                  <w:tcW w:w="1236" w:type="dxa"/>
                  <w:vAlign w:val="center"/>
                </w:tcPr>
                <w:p w14:paraId="271A9974">
                  <w:pPr>
                    <w:widowControl/>
                    <w:jc w:val="center"/>
                    <w:textAlignment w:val="center"/>
                    <w:rPr>
                      <w:color w:val="auto"/>
                    </w:rPr>
                  </w:pPr>
                  <w:r>
                    <w:rPr>
                      <w:rFonts w:hint="eastAsia"/>
                      <w:color w:val="auto"/>
                    </w:rPr>
                    <w:t>非标定制</w:t>
                  </w:r>
                </w:p>
              </w:tc>
              <w:tc>
                <w:tcPr>
                  <w:tcW w:w="3145" w:type="dxa"/>
                  <w:vAlign w:val="center"/>
                </w:tcPr>
                <w:p w14:paraId="35E066C7">
                  <w:pPr>
                    <w:widowControl/>
                    <w:jc w:val="center"/>
                    <w:textAlignment w:val="center"/>
                    <w:rPr>
                      <w:color w:val="auto"/>
                    </w:rPr>
                  </w:pPr>
                  <w:r>
                    <w:rPr>
                      <w:rFonts w:hint="eastAsia"/>
                      <w:color w:val="auto"/>
                    </w:rPr>
                    <w:t>10台</w:t>
                  </w:r>
                </w:p>
              </w:tc>
              <w:tc>
                <w:tcPr>
                  <w:tcW w:w="1106" w:type="dxa"/>
                  <w:vAlign w:val="center"/>
                </w:tcPr>
                <w:p w14:paraId="61D07F6D">
                  <w:pPr>
                    <w:widowControl/>
                    <w:jc w:val="center"/>
                    <w:textAlignment w:val="center"/>
                    <w:rPr>
                      <w:color w:val="auto"/>
                    </w:rPr>
                  </w:pPr>
                  <w:r>
                    <w:rPr>
                      <w:rFonts w:hint="eastAsia"/>
                      <w:color w:val="auto"/>
                    </w:rPr>
                    <w:t>国产</w:t>
                  </w:r>
                </w:p>
              </w:tc>
            </w:tr>
            <w:tr w14:paraId="3957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1F284289">
                  <w:pPr>
                    <w:widowControl/>
                    <w:jc w:val="center"/>
                    <w:textAlignment w:val="center"/>
                    <w:rPr>
                      <w:color w:val="auto"/>
                    </w:rPr>
                  </w:pPr>
                  <w:r>
                    <w:rPr>
                      <w:rFonts w:hint="eastAsia"/>
                      <w:color w:val="auto"/>
                    </w:rPr>
                    <w:t>16</w:t>
                  </w:r>
                </w:p>
              </w:tc>
              <w:tc>
                <w:tcPr>
                  <w:tcW w:w="2704" w:type="dxa"/>
                  <w:vAlign w:val="center"/>
                </w:tcPr>
                <w:p w14:paraId="13A501CA">
                  <w:pPr>
                    <w:widowControl/>
                    <w:jc w:val="center"/>
                    <w:textAlignment w:val="center"/>
                    <w:rPr>
                      <w:color w:val="auto"/>
                    </w:rPr>
                  </w:pPr>
                  <w:r>
                    <w:rPr>
                      <w:rFonts w:hint="eastAsia"/>
                      <w:color w:val="auto"/>
                    </w:rPr>
                    <w:t>卧式绞孔机</w:t>
                  </w:r>
                </w:p>
              </w:tc>
              <w:tc>
                <w:tcPr>
                  <w:tcW w:w="1236" w:type="dxa"/>
                  <w:vAlign w:val="center"/>
                </w:tcPr>
                <w:p w14:paraId="52C83A4D">
                  <w:pPr>
                    <w:widowControl/>
                    <w:jc w:val="center"/>
                    <w:textAlignment w:val="center"/>
                    <w:rPr>
                      <w:color w:val="auto"/>
                    </w:rPr>
                  </w:pPr>
                  <w:r>
                    <w:rPr>
                      <w:rFonts w:hint="eastAsia"/>
                      <w:color w:val="auto"/>
                    </w:rPr>
                    <w:t>非标定制</w:t>
                  </w:r>
                </w:p>
              </w:tc>
              <w:tc>
                <w:tcPr>
                  <w:tcW w:w="3145" w:type="dxa"/>
                  <w:vAlign w:val="center"/>
                </w:tcPr>
                <w:p w14:paraId="3875950B">
                  <w:pPr>
                    <w:widowControl/>
                    <w:jc w:val="center"/>
                    <w:textAlignment w:val="center"/>
                    <w:rPr>
                      <w:color w:val="auto"/>
                    </w:rPr>
                  </w:pPr>
                  <w:r>
                    <w:rPr>
                      <w:rFonts w:hint="eastAsia"/>
                      <w:color w:val="auto"/>
                    </w:rPr>
                    <w:t>4台</w:t>
                  </w:r>
                </w:p>
              </w:tc>
              <w:tc>
                <w:tcPr>
                  <w:tcW w:w="1106" w:type="dxa"/>
                  <w:vAlign w:val="center"/>
                </w:tcPr>
                <w:p w14:paraId="747E9778">
                  <w:pPr>
                    <w:widowControl/>
                    <w:jc w:val="center"/>
                    <w:textAlignment w:val="center"/>
                    <w:rPr>
                      <w:color w:val="auto"/>
                    </w:rPr>
                  </w:pPr>
                  <w:r>
                    <w:rPr>
                      <w:rFonts w:hint="eastAsia"/>
                      <w:color w:val="auto"/>
                    </w:rPr>
                    <w:t>国产</w:t>
                  </w:r>
                </w:p>
              </w:tc>
            </w:tr>
            <w:tr w14:paraId="38F7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7F9421AB">
                  <w:pPr>
                    <w:widowControl/>
                    <w:jc w:val="center"/>
                    <w:textAlignment w:val="center"/>
                    <w:rPr>
                      <w:color w:val="auto"/>
                    </w:rPr>
                  </w:pPr>
                  <w:r>
                    <w:rPr>
                      <w:rFonts w:hint="eastAsia"/>
                      <w:color w:val="auto"/>
                    </w:rPr>
                    <w:t>17</w:t>
                  </w:r>
                </w:p>
              </w:tc>
              <w:tc>
                <w:tcPr>
                  <w:tcW w:w="2704" w:type="dxa"/>
                  <w:vAlign w:val="center"/>
                </w:tcPr>
                <w:p w14:paraId="6C6C037C">
                  <w:pPr>
                    <w:widowControl/>
                    <w:jc w:val="center"/>
                    <w:textAlignment w:val="center"/>
                    <w:rPr>
                      <w:color w:val="auto"/>
                    </w:rPr>
                  </w:pPr>
                  <w:r>
                    <w:rPr>
                      <w:rFonts w:hint="eastAsia"/>
                      <w:color w:val="auto"/>
                    </w:rPr>
                    <w:t>立式绞孔机</w:t>
                  </w:r>
                </w:p>
              </w:tc>
              <w:tc>
                <w:tcPr>
                  <w:tcW w:w="1236" w:type="dxa"/>
                  <w:vAlign w:val="center"/>
                </w:tcPr>
                <w:p w14:paraId="08EE5C69">
                  <w:pPr>
                    <w:widowControl/>
                    <w:jc w:val="center"/>
                    <w:textAlignment w:val="center"/>
                    <w:rPr>
                      <w:color w:val="auto"/>
                    </w:rPr>
                  </w:pPr>
                  <w:r>
                    <w:rPr>
                      <w:rFonts w:hint="eastAsia"/>
                      <w:color w:val="auto"/>
                    </w:rPr>
                    <w:t>非标定制</w:t>
                  </w:r>
                </w:p>
              </w:tc>
              <w:tc>
                <w:tcPr>
                  <w:tcW w:w="3145" w:type="dxa"/>
                  <w:vAlign w:val="center"/>
                </w:tcPr>
                <w:p w14:paraId="2822F2E7">
                  <w:pPr>
                    <w:widowControl/>
                    <w:jc w:val="center"/>
                    <w:textAlignment w:val="center"/>
                    <w:rPr>
                      <w:color w:val="auto"/>
                    </w:rPr>
                  </w:pPr>
                  <w:r>
                    <w:rPr>
                      <w:rFonts w:hint="eastAsia"/>
                      <w:color w:val="auto"/>
                    </w:rPr>
                    <w:t>10台</w:t>
                  </w:r>
                </w:p>
              </w:tc>
              <w:tc>
                <w:tcPr>
                  <w:tcW w:w="1106" w:type="dxa"/>
                  <w:vAlign w:val="center"/>
                </w:tcPr>
                <w:p w14:paraId="10B32578">
                  <w:pPr>
                    <w:widowControl/>
                    <w:jc w:val="center"/>
                    <w:textAlignment w:val="center"/>
                    <w:rPr>
                      <w:color w:val="auto"/>
                    </w:rPr>
                  </w:pPr>
                  <w:r>
                    <w:rPr>
                      <w:rFonts w:hint="eastAsia"/>
                      <w:color w:val="auto"/>
                    </w:rPr>
                    <w:t>国产</w:t>
                  </w:r>
                </w:p>
              </w:tc>
            </w:tr>
            <w:tr w14:paraId="3247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80" w:type="dxa"/>
                  <w:vAlign w:val="center"/>
                </w:tcPr>
                <w:p w14:paraId="1F29E30C">
                  <w:pPr>
                    <w:widowControl/>
                    <w:jc w:val="center"/>
                    <w:textAlignment w:val="center"/>
                    <w:rPr>
                      <w:color w:val="auto"/>
                    </w:rPr>
                  </w:pPr>
                  <w:r>
                    <w:rPr>
                      <w:rFonts w:hint="eastAsia"/>
                      <w:color w:val="auto"/>
                    </w:rPr>
                    <w:t>18</w:t>
                  </w:r>
                </w:p>
              </w:tc>
              <w:tc>
                <w:tcPr>
                  <w:tcW w:w="2704" w:type="dxa"/>
                  <w:vAlign w:val="center"/>
                </w:tcPr>
                <w:p w14:paraId="4A2C82E5">
                  <w:pPr>
                    <w:widowControl/>
                    <w:jc w:val="center"/>
                    <w:textAlignment w:val="center"/>
                    <w:rPr>
                      <w:color w:val="auto"/>
                    </w:rPr>
                  </w:pPr>
                  <w:r>
                    <w:rPr>
                      <w:rFonts w:hint="eastAsia"/>
                      <w:color w:val="auto"/>
                    </w:rPr>
                    <w:t>总装流水线</w:t>
                  </w:r>
                </w:p>
              </w:tc>
              <w:tc>
                <w:tcPr>
                  <w:tcW w:w="1236" w:type="dxa"/>
                  <w:vAlign w:val="center"/>
                </w:tcPr>
                <w:p w14:paraId="205C3306">
                  <w:pPr>
                    <w:widowControl/>
                    <w:jc w:val="center"/>
                    <w:textAlignment w:val="center"/>
                    <w:rPr>
                      <w:color w:val="auto"/>
                    </w:rPr>
                  </w:pPr>
                  <w:r>
                    <w:rPr>
                      <w:rFonts w:hint="eastAsia"/>
                      <w:color w:val="auto"/>
                    </w:rPr>
                    <w:t>非标定制</w:t>
                  </w:r>
                </w:p>
              </w:tc>
              <w:tc>
                <w:tcPr>
                  <w:tcW w:w="3145" w:type="dxa"/>
                  <w:vAlign w:val="center"/>
                </w:tcPr>
                <w:p w14:paraId="53982C39">
                  <w:pPr>
                    <w:widowControl/>
                    <w:jc w:val="center"/>
                    <w:textAlignment w:val="center"/>
                    <w:rPr>
                      <w:color w:val="auto"/>
                    </w:rPr>
                  </w:pPr>
                  <w:r>
                    <w:rPr>
                      <w:rFonts w:hint="eastAsia"/>
                      <w:color w:val="auto"/>
                    </w:rPr>
                    <w:t>5条</w:t>
                  </w:r>
                </w:p>
              </w:tc>
              <w:tc>
                <w:tcPr>
                  <w:tcW w:w="1106" w:type="dxa"/>
                  <w:vAlign w:val="center"/>
                </w:tcPr>
                <w:p w14:paraId="51E05A0C">
                  <w:pPr>
                    <w:widowControl/>
                    <w:jc w:val="center"/>
                    <w:textAlignment w:val="center"/>
                    <w:rPr>
                      <w:color w:val="auto"/>
                    </w:rPr>
                  </w:pPr>
                  <w:r>
                    <w:rPr>
                      <w:rFonts w:hint="eastAsia"/>
                      <w:color w:val="auto"/>
                    </w:rPr>
                    <w:t>国产</w:t>
                  </w:r>
                </w:p>
              </w:tc>
            </w:tr>
            <w:tr w14:paraId="1FA9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3E7C64F5">
                  <w:pPr>
                    <w:widowControl/>
                    <w:jc w:val="center"/>
                    <w:textAlignment w:val="center"/>
                    <w:rPr>
                      <w:color w:val="auto"/>
                    </w:rPr>
                  </w:pPr>
                  <w:r>
                    <w:rPr>
                      <w:rFonts w:hint="eastAsia"/>
                      <w:color w:val="auto"/>
                    </w:rPr>
                    <w:t>19</w:t>
                  </w:r>
                </w:p>
              </w:tc>
              <w:tc>
                <w:tcPr>
                  <w:tcW w:w="2704" w:type="dxa"/>
                  <w:vAlign w:val="center"/>
                </w:tcPr>
                <w:p w14:paraId="50200C41">
                  <w:pPr>
                    <w:widowControl/>
                    <w:jc w:val="center"/>
                    <w:textAlignment w:val="center"/>
                    <w:rPr>
                      <w:color w:val="auto"/>
                    </w:rPr>
                  </w:pPr>
                  <w:r>
                    <w:rPr>
                      <w:rFonts w:hint="eastAsia"/>
                      <w:color w:val="auto"/>
                    </w:rPr>
                    <w:t>总装自动线</w:t>
                  </w:r>
                </w:p>
              </w:tc>
              <w:tc>
                <w:tcPr>
                  <w:tcW w:w="1236" w:type="dxa"/>
                  <w:vAlign w:val="center"/>
                </w:tcPr>
                <w:p w14:paraId="754B41A8">
                  <w:pPr>
                    <w:widowControl/>
                    <w:jc w:val="center"/>
                    <w:textAlignment w:val="center"/>
                    <w:rPr>
                      <w:color w:val="auto"/>
                    </w:rPr>
                  </w:pPr>
                  <w:r>
                    <w:rPr>
                      <w:rFonts w:hint="eastAsia"/>
                      <w:color w:val="auto"/>
                    </w:rPr>
                    <w:t>非标定制</w:t>
                  </w:r>
                </w:p>
              </w:tc>
              <w:tc>
                <w:tcPr>
                  <w:tcW w:w="3145" w:type="dxa"/>
                  <w:vAlign w:val="center"/>
                </w:tcPr>
                <w:p w14:paraId="57E960C3">
                  <w:pPr>
                    <w:widowControl/>
                    <w:jc w:val="center"/>
                    <w:textAlignment w:val="center"/>
                    <w:rPr>
                      <w:color w:val="auto"/>
                    </w:rPr>
                  </w:pPr>
                  <w:r>
                    <w:rPr>
                      <w:rFonts w:hint="eastAsia"/>
                      <w:color w:val="auto"/>
                    </w:rPr>
                    <w:t>6台</w:t>
                  </w:r>
                </w:p>
              </w:tc>
              <w:tc>
                <w:tcPr>
                  <w:tcW w:w="1106" w:type="dxa"/>
                  <w:vAlign w:val="center"/>
                </w:tcPr>
                <w:p w14:paraId="5EFEDF8D">
                  <w:pPr>
                    <w:widowControl/>
                    <w:jc w:val="center"/>
                    <w:textAlignment w:val="center"/>
                    <w:rPr>
                      <w:color w:val="auto"/>
                    </w:rPr>
                  </w:pPr>
                  <w:r>
                    <w:rPr>
                      <w:rFonts w:hint="eastAsia"/>
                      <w:color w:val="auto"/>
                    </w:rPr>
                    <w:t>国产</w:t>
                  </w:r>
                </w:p>
              </w:tc>
            </w:tr>
            <w:tr w14:paraId="089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360B485C">
                  <w:pPr>
                    <w:widowControl/>
                    <w:jc w:val="center"/>
                    <w:textAlignment w:val="center"/>
                    <w:rPr>
                      <w:color w:val="auto"/>
                    </w:rPr>
                  </w:pPr>
                  <w:r>
                    <w:rPr>
                      <w:rFonts w:hint="eastAsia"/>
                      <w:color w:val="auto"/>
                    </w:rPr>
                    <w:t>20</w:t>
                  </w:r>
                </w:p>
              </w:tc>
              <w:tc>
                <w:tcPr>
                  <w:tcW w:w="2704" w:type="dxa"/>
                  <w:vAlign w:val="center"/>
                </w:tcPr>
                <w:p w14:paraId="6626D8D5">
                  <w:pPr>
                    <w:widowControl/>
                    <w:jc w:val="center"/>
                    <w:textAlignment w:val="center"/>
                    <w:rPr>
                      <w:color w:val="auto"/>
                    </w:rPr>
                  </w:pPr>
                  <w:r>
                    <w:rPr>
                      <w:rFonts w:hint="eastAsia"/>
                      <w:color w:val="auto"/>
                    </w:rPr>
                    <w:t>空压机</w:t>
                  </w:r>
                </w:p>
              </w:tc>
              <w:tc>
                <w:tcPr>
                  <w:tcW w:w="1236" w:type="dxa"/>
                  <w:vAlign w:val="center"/>
                </w:tcPr>
                <w:p w14:paraId="03315FA3">
                  <w:pPr>
                    <w:widowControl/>
                    <w:jc w:val="center"/>
                    <w:textAlignment w:val="center"/>
                    <w:rPr>
                      <w:color w:val="auto"/>
                    </w:rPr>
                  </w:pPr>
                  <w:r>
                    <w:rPr>
                      <w:rFonts w:hint="eastAsia"/>
                      <w:color w:val="auto"/>
                    </w:rPr>
                    <w:t>/</w:t>
                  </w:r>
                </w:p>
              </w:tc>
              <w:tc>
                <w:tcPr>
                  <w:tcW w:w="3145" w:type="dxa"/>
                  <w:vAlign w:val="center"/>
                </w:tcPr>
                <w:p w14:paraId="71BE9E0D">
                  <w:pPr>
                    <w:widowControl/>
                    <w:jc w:val="center"/>
                    <w:textAlignment w:val="center"/>
                    <w:rPr>
                      <w:color w:val="auto"/>
                    </w:rPr>
                  </w:pPr>
                  <w:r>
                    <w:rPr>
                      <w:rFonts w:hint="eastAsia"/>
                      <w:color w:val="auto"/>
                    </w:rPr>
                    <w:t>8台</w:t>
                  </w:r>
                </w:p>
              </w:tc>
              <w:tc>
                <w:tcPr>
                  <w:tcW w:w="1106" w:type="dxa"/>
                  <w:vAlign w:val="center"/>
                </w:tcPr>
                <w:p w14:paraId="3488AE36">
                  <w:pPr>
                    <w:widowControl/>
                    <w:jc w:val="center"/>
                    <w:textAlignment w:val="center"/>
                    <w:rPr>
                      <w:color w:val="auto"/>
                    </w:rPr>
                  </w:pPr>
                  <w:r>
                    <w:rPr>
                      <w:rFonts w:hint="eastAsia"/>
                      <w:color w:val="auto"/>
                    </w:rPr>
                    <w:t>国产</w:t>
                  </w:r>
                </w:p>
              </w:tc>
            </w:tr>
            <w:tr w14:paraId="4983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80" w:type="dxa"/>
                  <w:vAlign w:val="center"/>
                </w:tcPr>
                <w:p w14:paraId="1384C073">
                  <w:pPr>
                    <w:widowControl/>
                    <w:jc w:val="center"/>
                    <w:textAlignment w:val="center"/>
                    <w:rPr>
                      <w:color w:val="auto"/>
                    </w:rPr>
                  </w:pPr>
                  <w:r>
                    <w:rPr>
                      <w:rFonts w:hint="eastAsia"/>
                      <w:color w:val="auto"/>
                    </w:rPr>
                    <w:t>21</w:t>
                  </w:r>
                </w:p>
              </w:tc>
              <w:tc>
                <w:tcPr>
                  <w:tcW w:w="2704" w:type="dxa"/>
                  <w:vAlign w:val="center"/>
                </w:tcPr>
                <w:p w14:paraId="457EB138">
                  <w:pPr>
                    <w:widowControl/>
                    <w:jc w:val="center"/>
                    <w:textAlignment w:val="center"/>
                    <w:rPr>
                      <w:color w:val="auto"/>
                    </w:rPr>
                  </w:pPr>
                  <w:r>
                    <w:rPr>
                      <w:rFonts w:hint="eastAsia"/>
                      <w:color w:val="auto"/>
                    </w:rPr>
                    <w:t>检测设备</w:t>
                  </w:r>
                </w:p>
              </w:tc>
              <w:tc>
                <w:tcPr>
                  <w:tcW w:w="1236" w:type="dxa"/>
                  <w:vAlign w:val="center"/>
                </w:tcPr>
                <w:p w14:paraId="01DD2C53">
                  <w:pPr>
                    <w:widowControl/>
                    <w:jc w:val="center"/>
                    <w:textAlignment w:val="center"/>
                    <w:rPr>
                      <w:color w:val="auto"/>
                    </w:rPr>
                  </w:pPr>
                  <w:r>
                    <w:rPr>
                      <w:rFonts w:hint="eastAsia"/>
                      <w:color w:val="auto"/>
                    </w:rPr>
                    <w:t>/</w:t>
                  </w:r>
                </w:p>
              </w:tc>
              <w:tc>
                <w:tcPr>
                  <w:tcW w:w="3145" w:type="dxa"/>
                  <w:vAlign w:val="center"/>
                </w:tcPr>
                <w:p w14:paraId="5F18557F">
                  <w:pPr>
                    <w:widowControl/>
                    <w:jc w:val="center"/>
                    <w:textAlignment w:val="center"/>
                    <w:rPr>
                      <w:color w:val="auto"/>
                    </w:rPr>
                  </w:pPr>
                  <w:r>
                    <w:rPr>
                      <w:rFonts w:hint="eastAsia"/>
                      <w:color w:val="auto"/>
                    </w:rPr>
                    <w:t>10台</w:t>
                  </w:r>
                </w:p>
              </w:tc>
              <w:tc>
                <w:tcPr>
                  <w:tcW w:w="1106" w:type="dxa"/>
                  <w:vAlign w:val="center"/>
                </w:tcPr>
                <w:p w14:paraId="3CE76DCF">
                  <w:pPr>
                    <w:widowControl/>
                    <w:jc w:val="center"/>
                    <w:textAlignment w:val="center"/>
                    <w:rPr>
                      <w:color w:val="auto"/>
                    </w:rPr>
                  </w:pPr>
                  <w:r>
                    <w:rPr>
                      <w:rFonts w:hint="eastAsia"/>
                      <w:color w:val="auto"/>
                    </w:rPr>
                    <w:t>国产，不含辐射设备</w:t>
                  </w:r>
                </w:p>
              </w:tc>
            </w:tr>
          </w:tbl>
          <w:p w14:paraId="3B64A996">
            <w:pPr>
              <w:spacing w:line="360" w:lineRule="auto"/>
              <w:ind w:firstLine="480" w:firstLineChars="200"/>
              <w:rPr>
                <w:color w:val="auto"/>
                <w:sz w:val="24"/>
                <w:szCs w:val="24"/>
              </w:rPr>
            </w:pPr>
            <w:r>
              <w:rPr>
                <w:rFonts w:hint="eastAsia"/>
                <w:color w:val="auto"/>
                <w:sz w:val="24"/>
                <w:szCs w:val="24"/>
              </w:rPr>
              <w:t>产能匹配：项目共建设</w:t>
            </w:r>
            <w:r>
              <w:rPr>
                <w:rFonts w:hint="eastAsia"/>
                <w:color w:val="auto"/>
                <w:sz w:val="24"/>
                <w:szCs w:val="24"/>
                <w:lang w:val="en-US" w:eastAsia="zh-CN"/>
              </w:rPr>
              <w:t>5</w:t>
            </w:r>
            <w:r>
              <w:rPr>
                <w:rFonts w:hint="eastAsia"/>
                <w:color w:val="auto"/>
                <w:sz w:val="24"/>
                <w:szCs w:val="24"/>
              </w:rPr>
              <w:t>条产线，每条产线最大设计生产能力为</w:t>
            </w:r>
            <w:r>
              <w:rPr>
                <w:rFonts w:hint="eastAsia"/>
                <w:color w:val="auto"/>
                <w:sz w:val="24"/>
                <w:szCs w:val="24"/>
                <w:lang w:val="en-US" w:eastAsia="zh-CN"/>
              </w:rPr>
              <w:t>1.87</w:t>
            </w:r>
            <w:r>
              <w:rPr>
                <w:rFonts w:hint="eastAsia"/>
                <w:color w:val="auto"/>
                <w:sz w:val="24"/>
                <w:szCs w:val="24"/>
              </w:rPr>
              <w:t>万支/d，年工作300天，因此满足2800万支气弹簧生产的要求。</w:t>
            </w:r>
          </w:p>
          <w:p w14:paraId="4D83EA42">
            <w:pPr>
              <w:spacing w:line="360" w:lineRule="auto"/>
              <w:ind w:firstLine="480" w:firstLineChars="200"/>
              <w:rPr>
                <w:color w:val="auto"/>
                <w:sz w:val="24"/>
                <w:szCs w:val="24"/>
              </w:rPr>
            </w:pPr>
            <w:r>
              <w:rPr>
                <w:color w:val="auto"/>
                <w:sz w:val="24"/>
                <w:szCs w:val="24"/>
              </w:rPr>
              <w:t>主要原辅材料见表</w:t>
            </w:r>
            <w:r>
              <w:rPr>
                <w:rFonts w:hint="eastAsia"/>
                <w:color w:val="auto"/>
                <w:sz w:val="24"/>
                <w:szCs w:val="24"/>
              </w:rPr>
              <w:t>2</w:t>
            </w:r>
            <w:r>
              <w:rPr>
                <w:color w:val="auto"/>
                <w:sz w:val="24"/>
                <w:szCs w:val="24"/>
              </w:rPr>
              <w:t>-</w:t>
            </w:r>
            <w:r>
              <w:rPr>
                <w:rFonts w:hint="eastAsia"/>
                <w:color w:val="auto"/>
                <w:sz w:val="24"/>
                <w:szCs w:val="24"/>
              </w:rPr>
              <w:t>5。</w:t>
            </w:r>
          </w:p>
          <w:p w14:paraId="483AD8AC">
            <w:pPr>
              <w:spacing w:line="360" w:lineRule="auto"/>
              <w:jc w:val="center"/>
              <w:rPr>
                <w:b/>
                <w:bCs/>
                <w:color w:val="auto"/>
                <w:sz w:val="24"/>
                <w:szCs w:val="24"/>
              </w:rPr>
            </w:pPr>
            <w:r>
              <w:rPr>
                <w:rFonts w:hint="eastAsia"/>
                <w:b/>
                <w:bCs/>
                <w:color w:val="auto"/>
                <w:sz w:val="24"/>
                <w:szCs w:val="24"/>
              </w:rPr>
              <w:t>表2-5建设项目原辅材料用料情况一览表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127"/>
              <w:gridCol w:w="1431"/>
              <w:gridCol w:w="1360"/>
              <w:gridCol w:w="1360"/>
              <w:gridCol w:w="1351"/>
              <w:gridCol w:w="1001"/>
              <w:gridCol w:w="820"/>
            </w:tblGrid>
            <w:tr w14:paraId="420E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92" w:type="dxa"/>
                  <w:vAlign w:val="center"/>
                </w:tcPr>
                <w:p w14:paraId="19808003">
                  <w:pPr>
                    <w:jc w:val="center"/>
                    <w:rPr>
                      <w:b/>
                      <w:bCs/>
                      <w:color w:val="auto"/>
                    </w:rPr>
                  </w:pPr>
                  <w:r>
                    <w:rPr>
                      <w:rFonts w:hint="eastAsia"/>
                      <w:b/>
                      <w:bCs/>
                      <w:color w:val="auto"/>
                    </w:rPr>
                    <w:t>序号</w:t>
                  </w:r>
                </w:p>
              </w:tc>
              <w:tc>
                <w:tcPr>
                  <w:tcW w:w="1295" w:type="dxa"/>
                  <w:vAlign w:val="center"/>
                </w:tcPr>
                <w:p w14:paraId="4E73BE63">
                  <w:pPr>
                    <w:jc w:val="center"/>
                    <w:rPr>
                      <w:b/>
                      <w:bCs/>
                      <w:color w:val="auto"/>
                    </w:rPr>
                  </w:pPr>
                  <w:r>
                    <w:rPr>
                      <w:rFonts w:hint="eastAsia"/>
                      <w:b/>
                      <w:bCs/>
                      <w:color w:val="auto"/>
                    </w:rPr>
                    <w:t>名称</w:t>
                  </w:r>
                </w:p>
              </w:tc>
              <w:tc>
                <w:tcPr>
                  <w:tcW w:w="1656" w:type="dxa"/>
                  <w:vAlign w:val="center"/>
                </w:tcPr>
                <w:p w14:paraId="7C46B71A">
                  <w:pPr>
                    <w:jc w:val="center"/>
                    <w:rPr>
                      <w:b/>
                      <w:bCs/>
                      <w:color w:val="auto"/>
                    </w:rPr>
                  </w:pPr>
                  <w:r>
                    <w:rPr>
                      <w:rFonts w:hint="eastAsia"/>
                      <w:b/>
                      <w:bCs/>
                      <w:color w:val="auto"/>
                    </w:rPr>
                    <w:t>规格</w:t>
                  </w:r>
                </w:p>
              </w:tc>
              <w:tc>
                <w:tcPr>
                  <w:tcW w:w="1572" w:type="dxa"/>
                  <w:vAlign w:val="center"/>
                </w:tcPr>
                <w:p w14:paraId="2481DD54">
                  <w:pPr>
                    <w:jc w:val="center"/>
                    <w:rPr>
                      <w:b/>
                      <w:bCs/>
                      <w:color w:val="auto"/>
                    </w:rPr>
                  </w:pPr>
                  <w:r>
                    <w:rPr>
                      <w:rFonts w:hint="eastAsia"/>
                      <w:b/>
                      <w:bCs/>
                      <w:color w:val="auto"/>
                    </w:rPr>
                    <w:t>成分</w:t>
                  </w:r>
                </w:p>
              </w:tc>
              <w:tc>
                <w:tcPr>
                  <w:tcW w:w="1572" w:type="dxa"/>
                  <w:vAlign w:val="center"/>
                </w:tcPr>
                <w:p w14:paraId="68251E1A">
                  <w:pPr>
                    <w:jc w:val="center"/>
                    <w:rPr>
                      <w:b/>
                      <w:bCs/>
                      <w:color w:val="auto"/>
                    </w:rPr>
                  </w:pPr>
                  <w:r>
                    <w:rPr>
                      <w:rFonts w:hint="eastAsia"/>
                      <w:b/>
                      <w:bCs/>
                      <w:color w:val="auto"/>
                    </w:rPr>
                    <w:t>形态</w:t>
                  </w:r>
                </w:p>
              </w:tc>
              <w:tc>
                <w:tcPr>
                  <w:tcW w:w="1561" w:type="dxa"/>
                  <w:vAlign w:val="center"/>
                </w:tcPr>
                <w:p w14:paraId="1C23277C">
                  <w:pPr>
                    <w:jc w:val="center"/>
                    <w:rPr>
                      <w:b/>
                      <w:bCs/>
                      <w:color w:val="auto"/>
                    </w:rPr>
                  </w:pPr>
                  <w:r>
                    <w:rPr>
                      <w:rFonts w:hint="eastAsia"/>
                      <w:b/>
                      <w:bCs/>
                      <w:color w:val="auto"/>
                    </w:rPr>
                    <w:t>年用量</w:t>
                  </w:r>
                </w:p>
              </w:tc>
              <w:tc>
                <w:tcPr>
                  <w:tcW w:w="1145" w:type="dxa"/>
                  <w:vAlign w:val="center"/>
                </w:tcPr>
                <w:p w14:paraId="4C80A14B">
                  <w:pPr>
                    <w:jc w:val="center"/>
                    <w:rPr>
                      <w:b/>
                      <w:bCs/>
                      <w:color w:val="auto"/>
                    </w:rPr>
                  </w:pPr>
                  <w:r>
                    <w:rPr>
                      <w:rFonts w:hint="eastAsia"/>
                      <w:b/>
                      <w:bCs/>
                      <w:color w:val="auto"/>
                    </w:rPr>
                    <w:t>最大存储量</w:t>
                  </w:r>
                </w:p>
              </w:tc>
              <w:tc>
                <w:tcPr>
                  <w:tcW w:w="930" w:type="dxa"/>
                  <w:vAlign w:val="center"/>
                </w:tcPr>
                <w:p w14:paraId="75278E23">
                  <w:pPr>
                    <w:jc w:val="center"/>
                    <w:rPr>
                      <w:b/>
                      <w:bCs/>
                      <w:color w:val="auto"/>
                    </w:rPr>
                  </w:pPr>
                  <w:r>
                    <w:rPr>
                      <w:rFonts w:hint="eastAsia"/>
                      <w:b/>
                      <w:bCs/>
                      <w:color w:val="auto"/>
                    </w:rPr>
                    <w:t>存储位置</w:t>
                  </w:r>
                </w:p>
              </w:tc>
            </w:tr>
            <w:tr w14:paraId="6BB1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2" w:type="dxa"/>
                  <w:vAlign w:val="center"/>
                </w:tcPr>
                <w:p w14:paraId="264AB68F">
                  <w:pPr>
                    <w:jc w:val="center"/>
                    <w:rPr>
                      <w:color w:val="auto"/>
                    </w:rPr>
                  </w:pPr>
                  <w:r>
                    <w:rPr>
                      <w:rFonts w:hint="eastAsia"/>
                      <w:color w:val="auto"/>
                    </w:rPr>
                    <w:t>1</w:t>
                  </w:r>
                </w:p>
              </w:tc>
              <w:tc>
                <w:tcPr>
                  <w:tcW w:w="1295" w:type="dxa"/>
                  <w:vAlign w:val="center"/>
                </w:tcPr>
                <w:p w14:paraId="020A2740">
                  <w:pPr>
                    <w:jc w:val="center"/>
                    <w:rPr>
                      <w:color w:val="auto"/>
                    </w:rPr>
                  </w:pPr>
                  <w:r>
                    <w:rPr>
                      <w:rFonts w:hint="eastAsia"/>
                      <w:color w:val="auto"/>
                    </w:rPr>
                    <w:t>钢管</w:t>
                  </w:r>
                </w:p>
              </w:tc>
              <w:tc>
                <w:tcPr>
                  <w:tcW w:w="1656" w:type="dxa"/>
                  <w:vAlign w:val="center"/>
                </w:tcPr>
                <w:p w14:paraId="2747D0B6">
                  <w:pPr>
                    <w:adjustRightInd w:val="0"/>
                    <w:jc w:val="center"/>
                    <w:rPr>
                      <w:color w:val="auto"/>
                    </w:rPr>
                  </w:pPr>
                  <w:r>
                    <w:rPr>
                      <w:rFonts w:hint="eastAsia"/>
                      <w:color w:val="auto"/>
                    </w:rPr>
                    <w:t>/</w:t>
                  </w:r>
                </w:p>
              </w:tc>
              <w:tc>
                <w:tcPr>
                  <w:tcW w:w="1572" w:type="dxa"/>
                  <w:vAlign w:val="center"/>
                </w:tcPr>
                <w:p w14:paraId="6BF3C609">
                  <w:pPr>
                    <w:adjustRightInd w:val="0"/>
                    <w:jc w:val="center"/>
                    <w:rPr>
                      <w:color w:val="auto"/>
                    </w:rPr>
                  </w:pPr>
                  <w:r>
                    <w:rPr>
                      <w:rFonts w:hint="eastAsia"/>
                      <w:color w:val="auto"/>
                    </w:rPr>
                    <w:t>铁98.32-98.93%</w:t>
                  </w:r>
                </w:p>
              </w:tc>
              <w:tc>
                <w:tcPr>
                  <w:tcW w:w="1572" w:type="dxa"/>
                  <w:vAlign w:val="center"/>
                </w:tcPr>
                <w:p w14:paraId="177634E6">
                  <w:pPr>
                    <w:jc w:val="center"/>
                    <w:rPr>
                      <w:color w:val="auto"/>
                    </w:rPr>
                  </w:pPr>
                  <w:r>
                    <w:rPr>
                      <w:rFonts w:hint="eastAsia"/>
                      <w:color w:val="auto"/>
                    </w:rPr>
                    <w:t>固</w:t>
                  </w:r>
                </w:p>
              </w:tc>
              <w:tc>
                <w:tcPr>
                  <w:tcW w:w="1561" w:type="dxa"/>
                  <w:vAlign w:val="center"/>
                </w:tcPr>
                <w:p w14:paraId="1347F256">
                  <w:pPr>
                    <w:jc w:val="center"/>
                    <w:rPr>
                      <w:color w:val="auto"/>
                    </w:rPr>
                  </w:pPr>
                  <w:r>
                    <w:rPr>
                      <w:rFonts w:hint="eastAsia"/>
                      <w:color w:val="auto"/>
                    </w:rPr>
                    <w:t>13000t/a</w:t>
                  </w:r>
                </w:p>
              </w:tc>
              <w:tc>
                <w:tcPr>
                  <w:tcW w:w="1145" w:type="dxa"/>
                  <w:vAlign w:val="center"/>
                </w:tcPr>
                <w:p w14:paraId="51C3830F">
                  <w:pPr>
                    <w:jc w:val="center"/>
                    <w:rPr>
                      <w:color w:val="auto"/>
                    </w:rPr>
                  </w:pPr>
                  <w:r>
                    <w:rPr>
                      <w:rFonts w:hint="eastAsia"/>
                      <w:color w:val="auto"/>
                    </w:rPr>
                    <w:t>1083t</w:t>
                  </w:r>
                </w:p>
              </w:tc>
              <w:tc>
                <w:tcPr>
                  <w:tcW w:w="930" w:type="dxa"/>
                  <w:vMerge w:val="restart"/>
                  <w:vAlign w:val="center"/>
                </w:tcPr>
                <w:p w14:paraId="62A1B365">
                  <w:pPr>
                    <w:jc w:val="center"/>
                    <w:rPr>
                      <w:b/>
                      <w:bCs/>
                      <w:color w:val="auto"/>
                    </w:rPr>
                  </w:pPr>
                  <w:r>
                    <w:rPr>
                      <w:rFonts w:hint="eastAsia"/>
                      <w:color w:val="auto"/>
                    </w:rPr>
                    <w:t>原辅料仓库</w:t>
                  </w:r>
                </w:p>
              </w:tc>
            </w:tr>
            <w:tr w14:paraId="2BA0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92" w:type="dxa"/>
                  <w:vAlign w:val="center"/>
                </w:tcPr>
                <w:p w14:paraId="23EC5240">
                  <w:pPr>
                    <w:jc w:val="center"/>
                    <w:rPr>
                      <w:color w:val="auto"/>
                    </w:rPr>
                  </w:pPr>
                  <w:r>
                    <w:rPr>
                      <w:rFonts w:hint="eastAsia"/>
                      <w:color w:val="auto"/>
                    </w:rPr>
                    <w:t>2</w:t>
                  </w:r>
                </w:p>
              </w:tc>
              <w:tc>
                <w:tcPr>
                  <w:tcW w:w="1295" w:type="dxa"/>
                  <w:vAlign w:val="center"/>
                </w:tcPr>
                <w:p w14:paraId="7B471700">
                  <w:pPr>
                    <w:jc w:val="center"/>
                    <w:rPr>
                      <w:color w:val="auto"/>
                    </w:rPr>
                  </w:pPr>
                  <w:r>
                    <w:rPr>
                      <w:rFonts w:hint="eastAsia"/>
                      <w:color w:val="auto"/>
                    </w:rPr>
                    <w:t>活塞杆</w:t>
                  </w:r>
                </w:p>
              </w:tc>
              <w:tc>
                <w:tcPr>
                  <w:tcW w:w="1656" w:type="dxa"/>
                  <w:vAlign w:val="center"/>
                </w:tcPr>
                <w:p w14:paraId="0D9424EB">
                  <w:pPr>
                    <w:adjustRightInd w:val="0"/>
                    <w:jc w:val="center"/>
                    <w:rPr>
                      <w:color w:val="auto"/>
                    </w:rPr>
                  </w:pPr>
                  <w:r>
                    <w:rPr>
                      <w:rFonts w:hint="eastAsia"/>
                      <w:color w:val="auto"/>
                    </w:rPr>
                    <w:t>/</w:t>
                  </w:r>
                </w:p>
              </w:tc>
              <w:tc>
                <w:tcPr>
                  <w:tcW w:w="1572" w:type="dxa"/>
                  <w:vAlign w:val="center"/>
                </w:tcPr>
                <w:p w14:paraId="662B09EC">
                  <w:pPr>
                    <w:adjustRightInd w:val="0"/>
                    <w:jc w:val="center"/>
                    <w:rPr>
                      <w:color w:val="auto"/>
                    </w:rPr>
                  </w:pPr>
                  <w:r>
                    <w:rPr>
                      <w:rFonts w:hint="eastAsia"/>
                      <w:color w:val="auto"/>
                    </w:rPr>
                    <w:t>/</w:t>
                  </w:r>
                </w:p>
              </w:tc>
              <w:tc>
                <w:tcPr>
                  <w:tcW w:w="1572" w:type="dxa"/>
                  <w:vAlign w:val="center"/>
                </w:tcPr>
                <w:p w14:paraId="1CA0A7A1">
                  <w:pPr>
                    <w:jc w:val="center"/>
                    <w:rPr>
                      <w:color w:val="auto"/>
                    </w:rPr>
                  </w:pPr>
                  <w:r>
                    <w:rPr>
                      <w:rFonts w:hint="eastAsia"/>
                      <w:color w:val="auto"/>
                    </w:rPr>
                    <w:t>固</w:t>
                  </w:r>
                </w:p>
              </w:tc>
              <w:tc>
                <w:tcPr>
                  <w:tcW w:w="1561" w:type="dxa"/>
                  <w:vAlign w:val="center"/>
                </w:tcPr>
                <w:p w14:paraId="0B24B69D">
                  <w:pPr>
                    <w:jc w:val="center"/>
                    <w:rPr>
                      <w:color w:val="auto"/>
                    </w:rPr>
                  </w:pPr>
                  <w:r>
                    <w:rPr>
                      <w:rFonts w:hint="eastAsia"/>
                      <w:color w:val="auto"/>
                    </w:rPr>
                    <w:t>1000t/a</w:t>
                  </w:r>
                </w:p>
              </w:tc>
              <w:tc>
                <w:tcPr>
                  <w:tcW w:w="1145" w:type="dxa"/>
                  <w:vAlign w:val="center"/>
                </w:tcPr>
                <w:p w14:paraId="135975E3">
                  <w:pPr>
                    <w:jc w:val="center"/>
                    <w:rPr>
                      <w:color w:val="auto"/>
                    </w:rPr>
                  </w:pPr>
                  <w:r>
                    <w:rPr>
                      <w:rFonts w:hint="eastAsia"/>
                      <w:color w:val="auto"/>
                    </w:rPr>
                    <w:t>83t</w:t>
                  </w:r>
                </w:p>
              </w:tc>
              <w:tc>
                <w:tcPr>
                  <w:tcW w:w="930" w:type="dxa"/>
                  <w:vMerge w:val="continue"/>
                  <w:vAlign w:val="center"/>
                </w:tcPr>
                <w:p w14:paraId="1B97AA2A">
                  <w:pPr>
                    <w:jc w:val="center"/>
                    <w:rPr>
                      <w:b/>
                      <w:bCs/>
                      <w:color w:val="auto"/>
                    </w:rPr>
                  </w:pPr>
                </w:p>
              </w:tc>
            </w:tr>
            <w:tr w14:paraId="549E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2" w:type="dxa"/>
                  <w:vAlign w:val="center"/>
                </w:tcPr>
                <w:p w14:paraId="7EE9D646">
                  <w:pPr>
                    <w:jc w:val="center"/>
                    <w:rPr>
                      <w:color w:val="auto"/>
                    </w:rPr>
                  </w:pPr>
                  <w:r>
                    <w:rPr>
                      <w:rFonts w:hint="eastAsia"/>
                      <w:color w:val="auto"/>
                    </w:rPr>
                    <w:t>3</w:t>
                  </w:r>
                </w:p>
              </w:tc>
              <w:tc>
                <w:tcPr>
                  <w:tcW w:w="1295" w:type="dxa"/>
                  <w:vAlign w:val="center"/>
                </w:tcPr>
                <w:p w14:paraId="7013EC02">
                  <w:pPr>
                    <w:jc w:val="center"/>
                    <w:rPr>
                      <w:color w:val="auto"/>
                    </w:rPr>
                  </w:pPr>
                  <w:r>
                    <w:rPr>
                      <w:rFonts w:hint="eastAsia"/>
                      <w:color w:val="auto"/>
                    </w:rPr>
                    <w:t>塑料件</w:t>
                  </w:r>
                </w:p>
              </w:tc>
              <w:tc>
                <w:tcPr>
                  <w:tcW w:w="1656" w:type="dxa"/>
                  <w:vAlign w:val="center"/>
                </w:tcPr>
                <w:p w14:paraId="3E336BB7">
                  <w:pPr>
                    <w:adjustRightInd w:val="0"/>
                    <w:jc w:val="center"/>
                    <w:rPr>
                      <w:color w:val="auto"/>
                    </w:rPr>
                  </w:pPr>
                  <w:r>
                    <w:rPr>
                      <w:rFonts w:hint="eastAsia"/>
                      <w:color w:val="auto"/>
                    </w:rPr>
                    <w:t>/</w:t>
                  </w:r>
                </w:p>
              </w:tc>
              <w:tc>
                <w:tcPr>
                  <w:tcW w:w="1572" w:type="dxa"/>
                  <w:vAlign w:val="center"/>
                </w:tcPr>
                <w:p w14:paraId="79876DC6">
                  <w:pPr>
                    <w:adjustRightInd w:val="0"/>
                    <w:jc w:val="center"/>
                    <w:rPr>
                      <w:color w:val="auto"/>
                    </w:rPr>
                  </w:pPr>
                  <w:r>
                    <w:rPr>
                      <w:rFonts w:hint="eastAsia"/>
                      <w:color w:val="auto"/>
                    </w:rPr>
                    <w:t>POM</w:t>
                  </w:r>
                </w:p>
              </w:tc>
              <w:tc>
                <w:tcPr>
                  <w:tcW w:w="1572" w:type="dxa"/>
                  <w:vAlign w:val="center"/>
                </w:tcPr>
                <w:p w14:paraId="514A6DBB">
                  <w:pPr>
                    <w:jc w:val="center"/>
                    <w:rPr>
                      <w:color w:val="auto"/>
                    </w:rPr>
                  </w:pPr>
                  <w:r>
                    <w:rPr>
                      <w:rFonts w:hint="eastAsia"/>
                      <w:color w:val="auto"/>
                    </w:rPr>
                    <w:t>固</w:t>
                  </w:r>
                </w:p>
              </w:tc>
              <w:tc>
                <w:tcPr>
                  <w:tcW w:w="1561" w:type="dxa"/>
                  <w:vAlign w:val="center"/>
                </w:tcPr>
                <w:p w14:paraId="1B315CCE">
                  <w:pPr>
                    <w:jc w:val="center"/>
                    <w:rPr>
                      <w:color w:val="auto"/>
                    </w:rPr>
                  </w:pPr>
                  <w:r>
                    <w:rPr>
                      <w:rFonts w:hint="eastAsia"/>
                      <w:color w:val="auto"/>
                    </w:rPr>
                    <w:t>2800万套/a</w:t>
                  </w:r>
                </w:p>
              </w:tc>
              <w:tc>
                <w:tcPr>
                  <w:tcW w:w="1145" w:type="dxa"/>
                  <w:vAlign w:val="center"/>
                </w:tcPr>
                <w:p w14:paraId="356E904E">
                  <w:pPr>
                    <w:jc w:val="center"/>
                    <w:rPr>
                      <w:color w:val="auto"/>
                    </w:rPr>
                  </w:pPr>
                  <w:r>
                    <w:rPr>
                      <w:rFonts w:hint="eastAsia"/>
                      <w:color w:val="auto"/>
                    </w:rPr>
                    <w:t>233万套</w:t>
                  </w:r>
                </w:p>
              </w:tc>
              <w:tc>
                <w:tcPr>
                  <w:tcW w:w="930" w:type="dxa"/>
                  <w:vMerge w:val="continue"/>
                  <w:vAlign w:val="center"/>
                </w:tcPr>
                <w:p w14:paraId="08091A44">
                  <w:pPr>
                    <w:jc w:val="center"/>
                    <w:rPr>
                      <w:b/>
                      <w:bCs/>
                      <w:color w:val="auto"/>
                    </w:rPr>
                  </w:pPr>
                </w:p>
              </w:tc>
            </w:tr>
            <w:tr w14:paraId="5778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2" w:type="dxa"/>
                  <w:vAlign w:val="center"/>
                </w:tcPr>
                <w:p w14:paraId="5D90070A">
                  <w:pPr>
                    <w:jc w:val="center"/>
                    <w:rPr>
                      <w:color w:val="auto"/>
                    </w:rPr>
                  </w:pPr>
                  <w:r>
                    <w:rPr>
                      <w:rFonts w:hint="eastAsia"/>
                      <w:color w:val="auto"/>
                    </w:rPr>
                    <w:t>4</w:t>
                  </w:r>
                </w:p>
              </w:tc>
              <w:tc>
                <w:tcPr>
                  <w:tcW w:w="1295" w:type="dxa"/>
                  <w:vAlign w:val="center"/>
                </w:tcPr>
                <w:p w14:paraId="080CD813">
                  <w:pPr>
                    <w:jc w:val="center"/>
                    <w:rPr>
                      <w:color w:val="auto"/>
                    </w:rPr>
                  </w:pPr>
                  <w:r>
                    <w:rPr>
                      <w:rFonts w:hint="eastAsia"/>
                      <w:color w:val="auto"/>
                    </w:rPr>
                    <w:t>密封件</w:t>
                  </w:r>
                </w:p>
              </w:tc>
              <w:tc>
                <w:tcPr>
                  <w:tcW w:w="1656" w:type="dxa"/>
                  <w:vAlign w:val="center"/>
                </w:tcPr>
                <w:p w14:paraId="6D773368">
                  <w:pPr>
                    <w:adjustRightInd w:val="0"/>
                    <w:jc w:val="center"/>
                    <w:rPr>
                      <w:color w:val="auto"/>
                    </w:rPr>
                  </w:pPr>
                  <w:r>
                    <w:rPr>
                      <w:rFonts w:hint="eastAsia"/>
                      <w:color w:val="auto"/>
                    </w:rPr>
                    <w:t>/</w:t>
                  </w:r>
                </w:p>
              </w:tc>
              <w:tc>
                <w:tcPr>
                  <w:tcW w:w="1572" w:type="dxa"/>
                  <w:vAlign w:val="center"/>
                </w:tcPr>
                <w:p w14:paraId="4B3C06AF">
                  <w:pPr>
                    <w:adjustRightInd w:val="0"/>
                    <w:jc w:val="center"/>
                    <w:rPr>
                      <w:color w:val="auto"/>
                    </w:rPr>
                  </w:pPr>
                  <w:r>
                    <w:rPr>
                      <w:rFonts w:hint="eastAsia"/>
                      <w:color w:val="auto"/>
                    </w:rPr>
                    <w:t>橡胶</w:t>
                  </w:r>
                </w:p>
              </w:tc>
              <w:tc>
                <w:tcPr>
                  <w:tcW w:w="1572" w:type="dxa"/>
                  <w:vAlign w:val="center"/>
                </w:tcPr>
                <w:p w14:paraId="271FB8CA">
                  <w:pPr>
                    <w:jc w:val="center"/>
                    <w:rPr>
                      <w:color w:val="auto"/>
                    </w:rPr>
                  </w:pPr>
                  <w:r>
                    <w:rPr>
                      <w:rFonts w:hint="eastAsia"/>
                      <w:color w:val="auto"/>
                    </w:rPr>
                    <w:t>固</w:t>
                  </w:r>
                </w:p>
              </w:tc>
              <w:tc>
                <w:tcPr>
                  <w:tcW w:w="1561" w:type="dxa"/>
                  <w:vAlign w:val="center"/>
                </w:tcPr>
                <w:p w14:paraId="28452091">
                  <w:pPr>
                    <w:jc w:val="center"/>
                    <w:rPr>
                      <w:color w:val="auto"/>
                    </w:rPr>
                  </w:pPr>
                  <w:r>
                    <w:rPr>
                      <w:rFonts w:hint="eastAsia"/>
                      <w:color w:val="auto"/>
                    </w:rPr>
                    <w:t>2800万套/a</w:t>
                  </w:r>
                </w:p>
              </w:tc>
              <w:tc>
                <w:tcPr>
                  <w:tcW w:w="1145" w:type="dxa"/>
                  <w:vAlign w:val="center"/>
                </w:tcPr>
                <w:p w14:paraId="0DB0399E">
                  <w:pPr>
                    <w:jc w:val="center"/>
                    <w:rPr>
                      <w:color w:val="auto"/>
                    </w:rPr>
                  </w:pPr>
                  <w:r>
                    <w:rPr>
                      <w:rFonts w:hint="eastAsia"/>
                      <w:color w:val="auto"/>
                    </w:rPr>
                    <w:t>233万套</w:t>
                  </w:r>
                </w:p>
              </w:tc>
              <w:tc>
                <w:tcPr>
                  <w:tcW w:w="930" w:type="dxa"/>
                  <w:vMerge w:val="continue"/>
                  <w:vAlign w:val="center"/>
                </w:tcPr>
                <w:p w14:paraId="4D3B883C">
                  <w:pPr>
                    <w:jc w:val="center"/>
                    <w:rPr>
                      <w:b/>
                      <w:bCs/>
                      <w:color w:val="auto"/>
                    </w:rPr>
                  </w:pPr>
                </w:p>
              </w:tc>
            </w:tr>
            <w:tr w14:paraId="777B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2" w:type="dxa"/>
                  <w:vAlign w:val="center"/>
                </w:tcPr>
                <w:p w14:paraId="57F504C5">
                  <w:pPr>
                    <w:jc w:val="center"/>
                    <w:rPr>
                      <w:color w:val="auto"/>
                    </w:rPr>
                  </w:pPr>
                  <w:r>
                    <w:rPr>
                      <w:rFonts w:hint="eastAsia"/>
                      <w:color w:val="auto"/>
                    </w:rPr>
                    <w:t>5</w:t>
                  </w:r>
                </w:p>
              </w:tc>
              <w:tc>
                <w:tcPr>
                  <w:tcW w:w="1295" w:type="dxa"/>
                  <w:vAlign w:val="center"/>
                </w:tcPr>
                <w:p w14:paraId="2D58A9DA">
                  <w:pPr>
                    <w:jc w:val="center"/>
                    <w:rPr>
                      <w:color w:val="auto"/>
                    </w:rPr>
                  </w:pPr>
                  <w:r>
                    <w:rPr>
                      <w:rFonts w:hint="eastAsia"/>
                      <w:color w:val="auto"/>
                    </w:rPr>
                    <w:t>白油</w:t>
                  </w:r>
                </w:p>
              </w:tc>
              <w:tc>
                <w:tcPr>
                  <w:tcW w:w="1656" w:type="dxa"/>
                  <w:vAlign w:val="center"/>
                </w:tcPr>
                <w:p w14:paraId="75299601">
                  <w:pPr>
                    <w:adjustRightInd w:val="0"/>
                    <w:jc w:val="center"/>
                    <w:rPr>
                      <w:color w:val="auto"/>
                    </w:rPr>
                  </w:pPr>
                  <w:r>
                    <w:rPr>
                      <w:rFonts w:hint="eastAsia"/>
                      <w:color w:val="auto"/>
                    </w:rPr>
                    <w:t>50L/桶</w:t>
                  </w:r>
                </w:p>
              </w:tc>
              <w:tc>
                <w:tcPr>
                  <w:tcW w:w="1572" w:type="dxa"/>
                  <w:vAlign w:val="center"/>
                </w:tcPr>
                <w:p w14:paraId="026FCBE6">
                  <w:pPr>
                    <w:adjustRightInd w:val="0"/>
                    <w:jc w:val="center"/>
                    <w:rPr>
                      <w:color w:val="auto"/>
                    </w:rPr>
                  </w:pPr>
                  <w:r>
                    <w:rPr>
                      <w:rFonts w:hint="eastAsia"/>
                      <w:color w:val="auto"/>
                    </w:rPr>
                    <w:t>C</w:t>
                  </w:r>
                  <w:r>
                    <w:rPr>
                      <w:rFonts w:hint="eastAsia"/>
                      <w:color w:val="auto"/>
                      <w:vertAlign w:val="subscript"/>
                    </w:rPr>
                    <w:t>14</w:t>
                  </w:r>
                  <w:r>
                    <w:rPr>
                      <w:rFonts w:hint="eastAsia"/>
                      <w:color w:val="auto"/>
                    </w:rPr>
                    <w:t>-C</w:t>
                  </w:r>
                  <w:r>
                    <w:rPr>
                      <w:rFonts w:hint="eastAsia"/>
                      <w:color w:val="auto"/>
                      <w:vertAlign w:val="subscript"/>
                    </w:rPr>
                    <w:t>18</w:t>
                  </w:r>
                  <w:r>
                    <w:rPr>
                      <w:rFonts w:hint="eastAsia"/>
                      <w:color w:val="auto"/>
                    </w:rPr>
                    <w:t>的混合物</w:t>
                  </w:r>
                </w:p>
              </w:tc>
              <w:tc>
                <w:tcPr>
                  <w:tcW w:w="1572" w:type="dxa"/>
                  <w:vAlign w:val="center"/>
                </w:tcPr>
                <w:p w14:paraId="0883C9AD">
                  <w:pPr>
                    <w:jc w:val="center"/>
                    <w:rPr>
                      <w:rFonts w:hint="default" w:eastAsia="宋体"/>
                      <w:color w:val="auto"/>
                      <w:lang w:val="en-US" w:eastAsia="zh-CN"/>
                    </w:rPr>
                  </w:pPr>
                  <w:r>
                    <w:rPr>
                      <w:rFonts w:hint="eastAsia"/>
                      <w:color w:val="auto"/>
                      <w:lang w:val="en-US" w:eastAsia="zh-CN"/>
                    </w:rPr>
                    <w:t>液</w:t>
                  </w:r>
                </w:p>
              </w:tc>
              <w:tc>
                <w:tcPr>
                  <w:tcW w:w="1561" w:type="dxa"/>
                  <w:vAlign w:val="center"/>
                </w:tcPr>
                <w:p w14:paraId="3E6F63FF">
                  <w:pPr>
                    <w:jc w:val="center"/>
                    <w:rPr>
                      <w:color w:val="auto"/>
                    </w:rPr>
                  </w:pPr>
                  <w:r>
                    <w:rPr>
                      <w:rFonts w:hint="eastAsia"/>
                      <w:color w:val="auto"/>
                    </w:rPr>
                    <w:t>2t/a</w:t>
                  </w:r>
                </w:p>
              </w:tc>
              <w:tc>
                <w:tcPr>
                  <w:tcW w:w="1145" w:type="dxa"/>
                  <w:vAlign w:val="center"/>
                </w:tcPr>
                <w:p w14:paraId="00927B2C">
                  <w:pPr>
                    <w:jc w:val="center"/>
                    <w:rPr>
                      <w:color w:val="auto"/>
                    </w:rPr>
                  </w:pPr>
                  <w:r>
                    <w:rPr>
                      <w:rFonts w:hint="eastAsia"/>
                      <w:color w:val="auto"/>
                    </w:rPr>
                    <w:t>0.2t</w:t>
                  </w:r>
                </w:p>
              </w:tc>
              <w:tc>
                <w:tcPr>
                  <w:tcW w:w="930" w:type="dxa"/>
                  <w:vMerge w:val="continue"/>
                  <w:vAlign w:val="center"/>
                </w:tcPr>
                <w:p w14:paraId="5C6FA5C5">
                  <w:pPr>
                    <w:jc w:val="center"/>
                    <w:rPr>
                      <w:b/>
                      <w:bCs/>
                      <w:color w:val="auto"/>
                    </w:rPr>
                  </w:pPr>
                </w:p>
              </w:tc>
            </w:tr>
            <w:tr w14:paraId="021B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2" w:type="dxa"/>
                  <w:vAlign w:val="center"/>
                </w:tcPr>
                <w:p w14:paraId="5DB00397">
                  <w:pPr>
                    <w:jc w:val="center"/>
                    <w:rPr>
                      <w:color w:val="auto"/>
                    </w:rPr>
                  </w:pPr>
                  <w:r>
                    <w:rPr>
                      <w:rFonts w:hint="eastAsia"/>
                      <w:color w:val="auto"/>
                    </w:rPr>
                    <w:t>6</w:t>
                  </w:r>
                </w:p>
              </w:tc>
              <w:tc>
                <w:tcPr>
                  <w:tcW w:w="1295" w:type="dxa"/>
                  <w:vAlign w:val="center"/>
                </w:tcPr>
                <w:p w14:paraId="33B1F146">
                  <w:pPr>
                    <w:jc w:val="center"/>
                    <w:rPr>
                      <w:color w:val="auto"/>
                    </w:rPr>
                  </w:pPr>
                  <w:r>
                    <w:rPr>
                      <w:rFonts w:hint="eastAsia"/>
                      <w:color w:val="auto"/>
                    </w:rPr>
                    <w:t>焊丝</w:t>
                  </w:r>
                </w:p>
              </w:tc>
              <w:tc>
                <w:tcPr>
                  <w:tcW w:w="1656" w:type="dxa"/>
                  <w:vAlign w:val="center"/>
                </w:tcPr>
                <w:p w14:paraId="242A5960">
                  <w:pPr>
                    <w:adjustRightInd w:val="0"/>
                    <w:jc w:val="center"/>
                    <w:rPr>
                      <w:color w:val="auto"/>
                    </w:rPr>
                  </w:pPr>
                  <w:r>
                    <w:rPr>
                      <w:rFonts w:hint="eastAsia"/>
                      <w:color w:val="auto"/>
                    </w:rPr>
                    <w:t>/</w:t>
                  </w:r>
                </w:p>
              </w:tc>
              <w:tc>
                <w:tcPr>
                  <w:tcW w:w="1572" w:type="dxa"/>
                  <w:vAlign w:val="center"/>
                </w:tcPr>
                <w:p w14:paraId="3847F8EE">
                  <w:pPr>
                    <w:adjustRightInd w:val="0"/>
                    <w:jc w:val="center"/>
                    <w:rPr>
                      <w:color w:val="auto"/>
                    </w:rPr>
                  </w:pPr>
                  <w:r>
                    <w:rPr>
                      <w:rFonts w:hint="eastAsia"/>
                      <w:color w:val="auto"/>
                    </w:rPr>
                    <w:t>铜≤0.05</w:t>
                  </w:r>
                  <w:r>
                    <w:rPr>
                      <w:rFonts w:hint="eastAsia"/>
                      <w:color w:val="auto"/>
                      <w:lang w:val="en-US" w:eastAsia="zh-CN"/>
                    </w:rPr>
                    <w:t>%</w:t>
                  </w:r>
                  <w:r>
                    <w:rPr>
                      <w:rFonts w:hint="eastAsia"/>
                      <w:color w:val="auto"/>
                    </w:rPr>
                    <w:t>、铁≥90</w:t>
                  </w:r>
                  <w:r>
                    <w:rPr>
                      <w:rFonts w:hint="eastAsia"/>
                      <w:color w:val="auto"/>
                      <w:lang w:val="en-US" w:eastAsia="zh-CN"/>
                    </w:rPr>
                    <w:t>%</w:t>
                  </w:r>
                  <w:r>
                    <w:rPr>
                      <w:rFonts w:hint="eastAsia"/>
                      <w:color w:val="auto"/>
                    </w:rPr>
                    <w:t>、锰1.4-1.85</w:t>
                  </w:r>
                  <w:r>
                    <w:rPr>
                      <w:rFonts w:hint="eastAsia"/>
                      <w:color w:val="auto"/>
                      <w:lang w:val="en-US" w:eastAsia="zh-CN"/>
                    </w:rPr>
                    <w:t>%</w:t>
                  </w:r>
                  <w:r>
                    <w:rPr>
                      <w:rFonts w:hint="eastAsia"/>
                      <w:color w:val="auto"/>
                    </w:rPr>
                    <w:t>、锡0.8-1.15</w:t>
                  </w:r>
                  <w:r>
                    <w:rPr>
                      <w:rFonts w:hint="eastAsia"/>
                      <w:color w:val="auto"/>
                      <w:lang w:val="en-US" w:eastAsia="zh-CN"/>
                    </w:rPr>
                    <w:t>%</w:t>
                  </w:r>
                </w:p>
              </w:tc>
              <w:tc>
                <w:tcPr>
                  <w:tcW w:w="1572" w:type="dxa"/>
                  <w:vAlign w:val="center"/>
                </w:tcPr>
                <w:p w14:paraId="2E2A7136">
                  <w:pPr>
                    <w:jc w:val="center"/>
                    <w:rPr>
                      <w:color w:val="auto"/>
                    </w:rPr>
                  </w:pPr>
                  <w:r>
                    <w:rPr>
                      <w:rFonts w:hint="eastAsia"/>
                      <w:color w:val="auto"/>
                    </w:rPr>
                    <w:t>固</w:t>
                  </w:r>
                </w:p>
              </w:tc>
              <w:tc>
                <w:tcPr>
                  <w:tcW w:w="1561" w:type="dxa"/>
                  <w:vAlign w:val="center"/>
                </w:tcPr>
                <w:p w14:paraId="0919D298">
                  <w:pPr>
                    <w:jc w:val="center"/>
                    <w:rPr>
                      <w:color w:val="auto"/>
                    </w:rPr>
                  </w:pPr>
                  <w:r>
                    <w:rPr>
                      <w:rFonts w:hint="eastAsia"/>
                      <w:color w:val="auto"/>
                    </w:rPr>
                    <w:t>1</w:t>
                  </w:r>
                  <w:r>
                    <w:rPr>
                      <w:rFonts w:hint="eastAsia"/>
                      <w:color w:val="auto"/>
                      <w:lang w:val="en-US" w:eastAsia="zh-CN"/>
                    </w:rPr>
                    <w:t>.5</w:t>
                  </w:r>
                  <w:r>
                    <w:rPr>
                      <w:rFonts w:hint="eastAsia"/>
                      <w:color w:val="auto"/>
                    </w:rPr>
                    <w:t>t/a</w:t>
                  </w:r>
                </w:p>
              </w:tc>
              <w:tc>
                <w:tcPr>
                  <w:tcW w:w="1145" w:type="dxa"/>
                  <w:vAlign w:val="center"/>
                </w:tcPr>
                <w:p w14:paraId="285B3808">
                  <w:pPr>
                    <w:jc w:val="center"/>
                    <w:rPr>
                      <w:color w:val="auto"/>
                    </w:rPr>
                  </w:pPr>
                  <w:r>
                    <w:rPr>
                      <w:rFonts w:hint="eastAsia"/>
                      <w:color w:val="auto"/>
                    </w:rPr>
                    <w:t>0.08t</w:t>
                  </w:r>
                </w:p>
              </w:tc>
              <w:tc>
                <w:tcPr>
                  <w:tcW w:w="930" w:type="dxa"/>
                  <w:vMerge w:val="continue"/>
                  <w:vAlign w:val="center"/>
                </w:tcPr>
                <w:p w14:paraId="5DC0242C">
                  <w:pPr>
                    <w:jc w:val="center"/>
                    <w:rPr>
                      <w:b/>
                      <w:bCs/>
                      <w:color w:val="auto"/>
                    </w:rPr>
                  </w:pPr>
                </w:p>
              </w:tc>
            </w:tr>
            <w:tr w14:paraId="31E2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2" w:type="dxa"/>
                  <w:vAlign w:val="center"/>
                </w:tcPr>
                <w:p w14:paraId="7E408A35">
                  <w:pPr>
                    <w:jc w:val="center"/>
                    <w:rPr>
                      <w:color w:val="auto"/>
                    </w:rPr>
                  </w:pPr>
                  <w:r>
                    <w:rPr>
                      <w:rFonts w:hint="eastAsia"/>
                      <w:color w:val="auto"/>
                    </w:rPr>
                    <w:t>7</w:t>
                  </w:r>
                </w:p>
              </w:tc>
              <w:tc>
                <w:tcPr>
                  <w:tcW w:w="1295" w:type="dxa"/>
                  <w:vAlign w:val="center"/>
                </w:tcPr>
                <w:p w14:paraId="2CE115B6">
                  <w:pPr>
                    <w:jc w:val="center"/>
                    <w:rPr>
                      <w:color w:val="auto"/>
                    </w:rPr>
                  </w:pPr>
                  <w:r>
                    <w:rPr>
                      <w:rFonts w:hint="eastAsia"/>
                      <w:color w:val="auto"/>
                    </w:rPr>
                    <w:t>液压油</w:t>
                  </w:r>
                </w:p>
              </w:tc>
              <w:tc>
                <w:tcPr>
                  <w:tcW w:w="1656" w:type="dxa"/>
                  <w:vAlign w:val="center"/>
                </w:tcPr>
                <w:p w14:paraId="1899C9E0">
                  <w:pPr>
                    <w:adjustRightInd w:val="0"/>
                    <w:jc w:val="center"/>
                    <w:rPr>
                      <w:color w:val="auto"/>
                    </w:rPr>
                  </w:pPr>
                  <w:r>
                    <w:rPr>
                      <w:rFonts w:hint="eastAsia"/>
                      <w:color w:val="auto"/>
                    </w:rPr>
                    <w:t>150kg/桶</w:t>
                  </w:r>
                </w:p>
              </w:tc>
              <w:tc>
                <w:tcPr>
                  <w:tcW w:w="1572" w:type="dxa"/>
                  <w:vAlign w:val="center"/>
                </w:tcPr>
                <w:p w14:paraId="5DA0F796">
                  <w:pPr>
                    <w:adjustRightInd w:val="0"/>
                    <w:jc w:val="center"/>
                    <w:rPr>
                      <w:color w:val="auto"/>
                    </w:rPr>
                  </w:pPr>
                  <w:r>
                    <w:rPr>
                      <w:rFonts w:hint="eastAsia"/>
                      <w:color w:val="auto"/>
                    </w:rPr>
                    <w:t>/</w:t>
                  </w:r>
                </w:p>
              </w:tc>
              <w:tc>
                <w:tcPr>
                  <w:tcW w:w="1572" w:type="dxa"/>
                  <w:vAlign w:val="center"/>
                </w:tcPr>
                <w:p w14:paraId="61139492">
                  <w:pPr>
                    <w:jc w:val="center"/>
                    <w:rPr>
                      <w:color w:val="auto"/>
                    </w:rPr>
                  </w:pPr>
                  <w:r>
                    <w:rPr>
                      <w:rFonts w:hint="eastAsia"/>
                      <w:color w:val="auto"/>
                    </w:rPr>
                    <w:t>液</w:t>
                  </w:r>
                </w:p>
              </w:tc>
              <w:tc>
                <w:tcPr>
                  <w:tcW w:w="1561" w:type="dxa"/>
                  <w:vAlign w:val="center"/>
                </w:tcPr>
                <w:p w14:paraId="5B2BD773">
                  <w:pPr>
                    <w:jc w:val="center"/>
                    <w:rPr>
                      <w:color w:val="auto"/>
                    </w:rPr>
                  </w:pPr>
                  <w:r>
                    <w:rPr>
                      <w:rFonts w:hint="eastAsia"/>
                      <w:color w:val="auto"/>
                    </w:rPr>
                    <w:t>20t/a</w:t>
                  </w:r>
                </w:p>
              </w:tc>
              <w:tc>
                <w:tcPr>
                  <w:tcW w:w="1145" w:type="dxa"/>
                  <w:vAlign w:val="center"/>
                </w:tcPr>
                <w:p w14:paraId="2384D07F">
                  <w:pPr>
                    <w:jc w:val="center"/>
                    <w:rPr>
                      <w:color w:val="auto"/>
                    </w:rPr>
                  </w:pPr>
                  <w:r>
                    <w:rPr>
                      <w:rFonts w:hint="eastAsia"/>
                      <w:color w:val="auto"/>
                    </w:rPr>
                    <w:t>1.8t</w:t>
                  </w:r>
                </w:p>
              </w:tc>
              <w:tc>
                <w:tcPr>
                  <w:tcW w:w="930" w:type="dxa"/>
                  <w:vMerge w:val="continue"/>
                  <w:vAlign w:val="center"/>
                </w:tcPr>
                <w:p w14:paraId="0665B62B">
                  <w:pPr>
                    <w:jc w:val="center"/>
                    <w:rPr>
                      <w:b/>
                      <w:bCs/>
                      <w:color w:val="auto"/>
                    </w:rPr>
                  </w:pPr>
                </w:p>
              </w:tc>
            </w:tr>
            <w:tr w14:paraId="5948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2" w:type="dxa"/>
                  <w:vAlign w:val="center"/>
                </w:tcPr>
                <w:p w14:paraId="036E50CE">
                  <w:pPr>
                    <w:jc w:val="center"/>
                    <w:rPr>
                      <w:color w:val="auto"/>
                    </w:rPr>
                  </w:pPr>
                  <w:r>
                    <w:rPr>
                      <w:rFonts w:hint="eastAsia"/>
                      <w:color w:val="auto"/>
                    </w:rPr>
                    <w:t>8</w:t>
                  </w:r>
                </w:p>
              </w:tc>
              <w:tc>
                <w:tcPr>
                  <w:tcW w:w="1295" w:type="dxa"/>
                  <w:vAlign w:val="center"/>
                </w:tcPr>
                <w:p w14:paraId="358D7654">
                  <w:pPr>
                    <w:jc w:val="center"/>
                    <w:rPr>
                      <w:color w:val="auto"/>
                    </w:rPr>
                  </w:pPr>
                  <w:r>
                    <w:rPr>
                      <w:rFonts w:hint="eastAsia"/>
                      <w:color w:val="auto"/>
                    </w:rPr>
                    <w:t>氮气</w:t>
                  </w:r>
                </w:p>
              </w:tc>
              <w:tc>
                <w:tcPr>
                  <w:tcW w:w="1656" w:type="dxa"/>
                  <w:vAlign w:val="center"/>
                </w:tcPr>
                <w:p w14:paraId="502CC8E9">
                  <w:pPr>
                    <w:adjustRightInd w:val="0"/>
                    <w:jc w:val="center"/>
                    <w:rPr>
                      <w:color w:val="auto"/>
                    </w:rPr>
                  </w:pPr>
                  <w:r>
                    <w:rPr>
                      <w:rFonts w:hint="eastAsia"/>
                      <w:color w:val="auto"/>
                    </w:rPr>
                    <w:t>80L/瓶</w:t>
                  </w:r>
                </w:p>
              </w:tc>
              <w:tc>
                <w:tcPr>
                  <w:tcW w:w="1572" w:type="dxa"/>
                  <w:vAlign w:val="center"/>
                </w:tcPr>
                <w:p w14:paraId="7D7DEAF8">
                  <w:pPr>
                    <w:adjustRightInd w:val="0"/>
                    <w:jc w:val="center"/>
                    <w:rPr>
                      <w:color w:val="auto"/>
                    </w:rPr>
                  </w:pPr>
                  <w:r>
                    <w:rPr>
                      <w:rFonts w:hint="eastAsia"/>
                      <w:color w:val="auto"/>
                    </w:rPr>
                    <w:t>/</w:t>
                  </w:r>
                </w:p>
              </w:tc>
              <w:tc>
                <w:tcPr>
                  <w:tcW w:w="1572" w:type="dxa"/>
                  <w:vAlign w:val="center"/>
                </w:tcPr>
                <w:p w14:paraId="5433C652">
                  <w:pPr>
                    <w:jc w:val="center"/>
                    <w:rPr>
                      <w:color w:val="auto"/>
                    </w:rPr>
                  </w:pPr>
                  <w:r>
                    <w:rPr>
                      <w:rFonts w:hint="eastAsia"/>
                      <w:color w:val="auto"/>
                    </w:rPr>
                    <w:t>气</w:t>
                  </w:r>
                </w:p>
              </w:tc>
              <w:tc>
                <w:tcPr>
                  <w:tcW w:w="1561" w:type="dxa"/>
                  <w:vAlign w:val="center"/>
                </w:tcPr>
                <w:p w14:paraId="0DC52FB0">
                  <w:pPr>
                    <w:jc w:val="center"/>
                    <w:rPr>
                      <w:color w:val="auto"/>
                    </w:rPr>
                  </w:pPr>
                  <w:r>
                    <w:rPr>
                      <w:rFonts w:hint="eastAsia"/>
                      <w:color w:val="auto"/>
                    </w:rPr>
                    <w:t>200万L/a</w:t>
                  </w:r>
                </w:p>
              </w:tc>
              <w:tc>
                <w:tcPr>
                  <w:tcW w:w="1145" w:type="dxa"/>
                  <w:vAlign w:val="center"/>
                </w:tcPr>
                <w:p w14:paraId="25E2B7E8">
                  <w:pPr>
                    <w:jc w:val="center"/>
                    <w:rPr>
                      <w:color w:val="auto"/>
                    </w:rPr>
                  </w:pPr>
                  <w:r>
                    <w:rPr>
                      <w:rFonts w:hint="eastAsia"/>
                      <w:color w:val="auto"/>
                    </w:rPr>
                    <w:t>200L</w:t>
                  </w:r>
                </w:p>
              </w:tc>
              <w:tc>
                <w:tcPr>
                  <w:tcW w:w="930" w:type="dxa"/>
                  <w:vMerge w:val="continue"/>
                  <w:vAlign w:val="center"/>
                </w:tcPr>
                <w:p w14:paraId="38B79B81">
                  <w:pPr>
                    <w:jc w:val="center"/>
                    <w:rPr>
                      <w:b/>
                      <w:bCs/>
                      <w:color w:val="auto"/>
                    </w:rPr>
                  </w:pPr>
                </w:p>
              </w:tc>
            </w:tr>
            <w:tr w14:paraId="405F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92" w:type="dxa"/>
                  <w:vAlign w:val="center"/>
                </w:tcPr>
                <w:p w14:paraId="3191152B">
                  <w:pPr>
                    <w:jc w:val="center"/>
                    <w:rPr>
                      <w:color w:val="auto"/>
                    </w:rPr>
                  </w:pPr>
                  <w:r>
                    <w:rPr>
                      <w:rFonts w:hint="eastAsia"/>
                      <w:color w:val="auto"/>
                    </w:rPr>
                    <w:t>9</w:t>
                  </w:r>
                </w:p>
              </w:tc>
              <w:tc>
                <w:tcPr>
                  <w:tcW w:w="1295" w:type="dxa"/>
                  <w:vAlign w:val="center"/>
                </w:tcPr>
                <w:p w14:paraId="181F4D1D">
                  <w:pPr>
                    <w:jc w:val="center"/>
                    <w:rPr>
                      <w:color w:val="auto"/>
                    </w:rPr>
                  </w:pPr>
                  <w:r>
                    <w:rPr>
                      <w:rFonts w:hint="eastAsia"/>
                      <w:color w:val="auto"/>
                    </w:rPr>
                    <w:t>磨削液</w:t>
                  </w:r>
                </w:p>
              </w:tc>
              <w:tc>
                <w:tcPr>
                  <w:tcW w:w="1656" w:type="dxa"/>
                  <w:vAlign w:val="center"/>
                </w:tcPr>
                <w:p w14:paraId="0508CC2F">
                  <w:pPr>
                    <w:adjustRightInd w:val="0"/>
                    <w:jc w:val="center"/>
                    <w:rPr>
                      <w:color w:val="auto"/>
                    </w:rPr>
                  </w:pPr>
                  <w:r>
                    <w:rPr>
                      <w:rFonts w:hint="eastAsia"/>
                      <w:color w:val="auto"/>
                    </w:rPr>
                    <w:t>200kg/桶</w:t>
                  </w:r>
                </w:p>
              </w:tc>
              <w:tc>
                <w:tcPr>
                  <w:tcW w:w="1572" w:type="dxa"/>
                  <w:vAlign w:val="center"/>
                </w:tcPr>
                <w:p w14:paraId="43003FFD">
                  <w:pPr>
                    <w:adjustRightInd w:val="0"/>
                    <w:jc w:val="center"/>
                    <w:rPr>
                      <w:color w:val="auto"/>
                    </w:rPr>
                  </w:pPr>
                  <w:r>
                    <w:rPr>
                      <w:rFonts w:hint="eastAsia"/>
                      <w:color w:val="auto"/>
                    </w:rPr>
                    <w:t>20%脂肪酸酯、13%非离子表面活性剂、5%脂肪胺、2%防锈剂、60%水</w:t>
                  </w:r>
                </w:p>
              </w:tc>
              <w:tc>
                <w:tcPr>
                  <w:tcW w:w="1572" w:type="dxa"/>
                  <w:vAlign w:val="center"/>
                </w:tcPr>
                <w:p w14:paraId="1F5590B0">
                  <w:pPr>
                    <w:jc w:val="center"/>
                    <w:rPr>
                      <w:color w:val="auto"/>
                    </w:rPr>
                  </w:pPr>
                  <w:r>
                    <w:rPr>
                      <w:rFonts w:hint="eastAsia"/>
                      <w:color w:val="auto"/>
                    </w:rPr>
                    <w:t>液</w:t>
                  </w:r>
                </w:p>
              </w:tc>
              <w:tc>
                <w:tcPr>
                  <w:tcW w:w="1561" w:type="dxa"/>
                  <w:vAlign w:val="center"/>
                </w:tcPr>
                <w:p w14:paraId="14A5AE61">
                  <w:pPr>
                    <w:jc w:val="center"/>
                    <w:rPr>
                      <w:color w:val="auto"/>
                    </w:rPr>
                  </w:pPr>
                  <w:r>
                    <w:rPr>
                      <w:rFonts w:hint="eastAsia"/>
                      <w:color w:val="auto"/>
                    </w:rPr>
                    <w:t>6t/a</w:t>
                  </w:r>
                </w:p>
              </w:tc>
              <w:tc>
                <w:tcPr>
                  <w:tcW w:w="1145" w:type="dxa"/>
                  <w:vAlign w:val="center"/>
                </w:tcPr>
                <w:p w14:paraId="60C27682">
                  <w:pPr>
                    <w:jc w:val="center"/>
                    <w:rPr>
                      <w:color w:val="auto"/>
                    </w:rPr>
                  </w:pPr>
                  <w:r>
                    <w:rPr>
                      <w:rFonts w:hint="eastAsia"/>
                      <w:color w:val="auto"/>
                    </w:rPr>
                    <w:t>0.36t</w:t>
                  </w:r>
                </w:p>
              </w:tc>
              <w:tc>
                <w:tcPr>
                  <w:tcW w:w="930" w:type="dxa"/>
                  <w:vMerge w:val="continue"/>
                  <w:vAlign w:val="center"/>
                </w:tcPr>
                <w:p w14:paraId="4D54C680">
                  <w:pPr>
                    <w:jc w:val="center"/>
                    <w:rPr>
                      <w:b/>
                      <w:bCs/>
                      <w:color w:val="auto"/>
                    </w:rPr>
                  </w:pPr>
                </w:p>
              </w:tc>
            </w:tr>
            <w:tr w14:paraId="44F8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2" w:type="dxa"/>
                  <w:vAlign w:val="center"/>
                </w:tcPr>
                <w:p w14:paraId="79A39C68">
                  <w:pPr>
                    <w:jc w:val="center"/>
                    <w:rPr>
                      <w:color w:val="auto"/>
                    </w:rPr>
                  </w:pPr>
                  <w:r>
                    <w:rPr>
                      <w:rFonts w:hint="eastAsia"/>
                      <w:color w:val="auto"/>
                    </w:rPr>
                    <w:t>10</w:t>
                  </w:r>
                </w:p>
              </w:tc>
              <w:tc>
                <w:tcPr>
                  <w:tcW w:w="1295" w:type="dxa"/>
                  <w:vAlign w:val="center"/>
                </w:tcPr>
                <w:p w14:paraId="115BBB88">
                  <w:pPr>
                    <w:jc w:val="center"/>
                    <w:rPr>
                      <w:color w:val="auto"/>
                    </w:rPr>
                  </w:pPr>
                  <w:r>
                    <w:rPr>
                      <w:rFonts w:hint="eastAsia"/>
                      <w:color w:val="auto"/>
                    </w:rPr>
                    <w:t>天然气</w:t>
                  </w:r>
                </w:p>
              </w:tc>
              <w:tc>
                <w:tcPr>
                  <w:tcW w:w="1656" w:type="dxa"/>
                  <w:vAlign w:val="center"/>
                </w:tcPr>
                <w:p w14:paraId="1F87903A">
                  <w:pPr>
                    <w:adjustRightInd w:val="0"/>
                    <w:jc w:val="center"/>
                    <w:rPr>
                      <w:color w:val="auto"/>
                    </w:rPr>
                  </w:pPr>
                  <w:r>
                    <w:rPr>
                      <w:rFonts w:hint="eastAsia"/>
                      <w:color w:val="auto"/>
                    </w:rPr>
                    <w:t>/</w:t>
                  </w:r>
                </w:p>
              </w:tc>
              <w:tc>
                <w:tcPr>
                  <w:tcW w:w="1572" w:type="dxa"/>
                  <w:vAlign w:val="center"/>
                </w:tcPr>
                <w:p w14:paraId="02BDE10C">
                  <w:pPr>
                    <w:adjustRightInd w:val="0"/>
                    <w:jc w:val="center"/>
                    <w:rPr>
                      <w:color w:val="auto"/>
                    </w:rPr>
                  </w:pPr>
                  <w:r>
                    <w:rPr>
                      <w:rFonts w:hint="eastAsia"/>
                      <w:color w:val="auto"/>
                    </w:rPr>
                    <w:t>甲烷97%</w:t>
                  </w:r>
                </w:p>
              </w:tc>
              <w:tc>
                <w:tcPr>
                  <w:tcW w:w="1572" w:type="dxa"/>
                  <w:vAlign w:val="center"/>
                </w:tcPr>
                <w:p w14:paraId="1178F44D">
                  <w:pPr>
                    <w:jc w:val="center"/>
                    <w:rPr>
                      <w:color w:val="auto"/>
                    </w:rPr>
                  </w:pPr>
                  <w:r>
                    <w:rPr>
                      <w:rFonts w:hint="eastAsia"/>
                      <w:color w:val="auto"/>
                    </w:rPr>
                    <w:t>气</w:t>
                  </w:r>
                </w:p>
              </w:tc>
              <w:tc>
                <w:tcPr>
                  <w:tcW w:w="1561" w:type="dxa"/>
                  <w:vAlign w:val="center"/>
                </w:tcPr>
                <w:p w14:paraId="3E6F780C">
                  <w:pPr>
                    <w:jc w:val="center"/>
                    <w:rPr>
                      <w:rFonts w:hint="default" w:eastAsia="宋体"/>
                      <w:color w:val="auto"/>
                      <w:lang w:val="en-US" w:eastAsia="zh-CN"/>
                    </w:rPr>
                  </w:pPr>
                  <w:r>
                    <w:rPr>
                      <w:rFonts w:hint="eastAsia"/>
                      <w:color w:val="auto"/>
                    </w:rPr>
                    <w:t>3000m</w:t>
                  </w:r>
                  <w:r>
                    <w:rPr>
                      <w:rFonts w:hint="eastAsia"/>
                      <w:color w:val="auto"/>
                      <w:vertAlign w:val="superscript"/>
                    </w:rPr>
                    <w:t>3</w:t>
                  </w:r>
                  <w:r>
                    <w:rPr>
                      <w:rFonts w:hint="eastAsia"/>
                      <w:color w:val="auto"/>
                      <w:lang w:val="en-US" w:eastAsia="zh-CN"/>
                    </w:rPr>
                    <w:t>/a</w:t>
                  </w:r>
                </w:p>
              </w:tc>
              <w:tc>
                <w:tcPr>
                  <w:tcW w:w="1145" w:type="dxa"/>
                  <w:vAlign w:val="center"/>
                </w:tcPr>
                <w:p w14:paraId="49EA5C30">
                  <w:pPr>
                    <w:jc w:val="center"/>
                    <w:rPr>
                      <w:color w:val="auto"/>
                    </w:rPr>
                  </w:pPr>
                  <w:r>
                    <w:rPr>
                      <w:rFonts w:hint="eastAsia"/>
                      <w:color w:val="auto"/>
                    </w:rPr>
                    <w:t>/</w:t>
                  </w:r>
                </w:p>
              </w:tc>
              <w:tc>
                <w:tcPr>
                  <w:tcW w:w="930" w:type="dxa"/>
                  <w:vAlign w:val="center"/>
                </w:tcPr>
                <w:p w14:paraId="5DBC4ACF">
                  <w:pPr>
                    <w:jc w:val="center"/>
                    <w:rPr>
                      <w:b/>
                      <w:bCs/>
                      <w:color w:val="auto"/>
                    </w:rPr>
                  </w:pPr>
                  <w:r>
                    <w:rPr>
                      <w:rFonts w:hint="eastAsia"/>
                      <w:color w:val="auto"/>
                    </w:rPr>
                    <w:t>仅用于食堂</w:t>
                  </w:r>
                </w:p>
              </w:tc>
            </w:tr>
            <w:tr w14:paraId="6533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2" w:type="dxa"/>
                  <w:vAlign w:val="center"/>
                </w:tcPr>
                <w:p w14:paraId="279D13AB">
                  <w:pPr>
                    <w:jc w:val="center"/>
                    <w:rPr>
                      <w:rFonts w:hint="default" w:eastAsia="宋体"/>
                      <w:color w:val="auto"/>
                      <w:lang w:val="en-US" w:eastAsia="zh-CN"/>
                    </w:rPr>
                  </w:pPr>
                  <w:r>
                    <w:rPr>
                      <w:rFonts w:hint="eastAsia"/>
                      <w:color w:val="auto"/>
                      <w:lang w:val="en-US" w:eastAsia="zh-CN"/>
                    </w:rPr>
                    <w:t>11</w:t>
                  </w:r>
                </w:p>
              </w:tc>
              <w:tc>
                <w:tcPr>
                  <w:tcW w:w="1295" w:type="dxa"/>
                  <w:vAlign w:val="center"/>
                </w:tcPr>
                <w:p w14:paraId="3B1E314F">
                  <w:pPr>
                    <w:jc w:val="center"/>
                    <w:rPr>
                      <w:rFonts w:hint="eastAsia" w:eastAsia="宋体"/>
                      <w:color w:val="auto"/>
                      <w:lang w:val="en-US" w:eastAsia="zh-CN"/>
                    </w:rPr>
                  </w:pPr>
                  <w:r>
                    <w:rPr>
                      <w:rFonts w:hint="eastAsia"/>
                      <w:color w:val="auto"/>
                      <w:lang w:val="en-US" w:eastAsia="zh-CN"/>
                    </w:rPr>
                    <w:t>机油</w:t>
                  </w:r>
                </w:p>
              </w:tc>
              <w:tc>
                <w:tcPr>
                  <w:tcW w:w="1656" w:type="dxa"/>
                  <w:vAlign w:val="center"/>
                </w:tcPr>
                <w:p w14:paraId="4B4BEE9D">
                  <w:pPr>
                    <w:adjustRightInd w:val="0"/>
                    <w:jc w:val="center"/>
                    <w:rPr>
                      <w:rFonts w:hint="default" w:eastAsia="宋体"/>
                      <w:color w:val="auto"/>
                      <w:lang w:val="en-US" w:eastAsia="zh-CN"/>
                    </w:rPr>
                  </w:pPr>
                  <w:r>
                    <w:rPr>
                      <w:rFonts w:hint="eastAsia"/>
                      <w:color w:val="auto"/>
                      <w:lang w:val="en-US" w:eastAsia="zh-CN"/>
                    </w:rPr>
                    <w:t>180kg/桶</w:t>
                  </w:r>
                </w:p>
              </w:tc>
              <w:tc>
                <w:tcPr>
                  <w:tcW w:w="1572" w:type="dxa"/>
                  <w:vAlign w:val="center"/>
                </w:tcPr>
                <w:p w14:paraId="45CD9230">
                  <w:pPr>
                    <w:adjustRightInd w:val="0"/>
                    <w:jc w:val="center"/>
                    <w:rPr>
                      <w:rFonts w:hint="eastAsia"/>
                      <w:color w:val="auto"/>
                    </w:rPr>
                  </w:pPr>
                  <w:r>
                    <w:rPr>
                      <w:rFonts w:hint="eastAsia"/>
                      <w:color w:val="auto"/>
                    </w:rPr>
                    <w:t>/</w:t>
                  </w:r>
                </w:p>
              </w:tc>
              <w:tc>
                <w:tcPr>
                  <w:tcW w:w="1572" w:type="dxa"/>
                  <w:vAlign w:val="center"/>
                </w:tcPr>
                <w:p w14:paraId="221E03F7">
                  <w:pPr>
                    <w:jc w:val="center"/>
                    <w:rPr>
                      <w:rFonts w:hint="eastAsia" w:eastAsia="宋体"/>
                      <w:color w:val="auto"/>
                      <w:lang w:val="en-US" w:eastAsia="zh-CN"/>
                    </w:rPr>
                  </w:pPr>
                  <w:r>
                    <w:rPr>
                      <w:rFonts w:hint="eastAsia"/>
                      <w:color w:val="auto"/>
                      <w:lang w:val="en-US" w:eastAsia="zh-CN"/>
                    </w:rPr>
                    <w:t>液</w:t>
                  </w:r>
                </w:p>
              </w:tc>
              <w:tc>
                <w:tcPr>
                  <w:tcW w:w="1561" w:type="dxa"/>
                  <w:vAlign w:val="center"/>
                </w:tcPr>
                <w:p w14:paraId="3A73379F">
                  <w:pPr>
                    <w:jc w:val="center"/>
                    <w:rPr>
                      <w:rFonts w:hint="default" w:eastAsia="宋体"/>
                      <w:color w:val="auto"/>
                      <w:lang w:val="en-US" w:eastAsia="zh-CN"/>
                    </w:rPr>
                  </w:pPr>
                  <w:r>
                    <w:rPr>
                      <w:rFonts w:hint="eastAsia"/>
                      <w:color w:val="auto"/>
                      <w:lang w:val="en-US" w:eastAsia="zh-CN"/>
                    </w:rPr>
                    <w:t>0.36t/a</w:t>
                  </w:r>
                </w:p>
              </w:tc>
              <w:tc>
                <w:tcPr>
                  <w:tcW w:w="1145" w:type="dxa"/>
                  <w:vAlign w:val="center"/>
                </w:tcPr>
                <w:p w14:paraId="531182A5">
                  <w:pPr>
                    <w:jc w:val="center"/>
                    <w:rPr>
                      <w:rFonts w:hint="default" w:eastAsia="宋体"/>
                      <w:color w:val="auto"/>
                      <w:lang w:val="en-US" w:eastAsia="zh-CN"/>
                    </w:rPr>
                  </w:pPr>
                  <w:r>
                    <w:rPr>
                      <w:rFonts w:hint="eastAsia"/>
                      <w:color w:val="auto"/>
                      <w:lang w:val="en-US" w:eastAsia="zh-CN"/>
                    </w:rPr>
                    <w:t>0.18t</w:t>
                  </w:r>
                </w:p>
              </w:tc>
              <w:tc>
                <w:tcPr>
                  <w:tcW w:w="930" w:type="dxa"/>
                  <w:vAlign w:val="center"/>
                </w:tcPr>
                <w:p w14:paraId="07422700">
                  <w:pPr>
                    <w:jc w:val="center"/>
                    <w:rPr>
                      <w:rFonts w:hint="eastAsia" w:eastAsia="宋体"/>
                      <w:color w:val="auto"/>
                      <w:lang w:val="en-US" w:eastAsia="zh-CN"/>
                    </w:rPr>
                  </w:pPr>
                  <w:r>
                    <w:rPr>
                      <w:rFonts w:hint="eastAsia"/>
                      <w:color w:val="auto"/>
                      <w:lang w:val="en-US" w:eastAsia="zh-CN"/>
                    </w:rPr>
                    <w:t>/</w:t>
                  </w:r>
                </w:p>
              </w:tc>
            </w:tr>
          </w:tbl>
          <w:p w14:paraId="64822AED">
            <w:pPr>
              <w:pStyle w:val="3"/>
              <w:spacing w:line="360" w:lineRule="auto"/>
              <w:ind w:firstLine="480" w:firstLineChars="200"/>
              <w:outlineLvl w:val="2"/>
              <w:rPr>
                <w:b/>
                <w:bCs/>
                <w:color w:val="auto"/>
                <w:sz w:val="24"/>
                <w:szCs w:val="24"/>
              </w:rPr>
            </w:pPr>
            <w:r>
              <w:rPr>
                <w:rFonts w:hint="eastAsia"/>
                <w:color w:val="auto"/>
                <w:sz w:val="24"/>
                <w:szCs w:val="24"/>
              </w:rPr>
              <w:t>建设项目原辅材料理化性质见表2-6。</w:t>
            </w:r>
          </w:p>
          <w:p w14:paraId="7254A4CC">
            <w:pPr>
              <w:spacing w:line="360" w:lineRule="auto"/>
              <w:ind w:firstLine="484" w:firstLineChars="201"/>
              <w:jc w:val="center"/>
              <w:rPr>
                <w:b/>
                <w:bCs/>
                <w:color w:val="auto"/>
                <w:sz w:val="24"/>
                <w:szCs w:val="24"/>
              </w:rPr>
            </w:pPr>
            <w:r>
              <w:rPr>
                <w:b/>
                <w:bCs/>
                <w:color w:val="auto"/>
                <w:sz w:val="24"/>
                <w:szCs w:val="24"/>
              </w:rPr>
              <w:t>表</w:t>
            </w:r>
            <w:r>
              <w:rPr>
                <w:rFonts w:hint="eastAsia"/>
                <w:b/>
                <w:bCs/>
                <w:color w:val="auto"/>
                <w:sz w:val="24"/>
                <w:szCs w:val="24"/>
              </w:rPr>
              <w:t>2</w:t>
            </w:r>
            <w:r>
              <w:rPr>
                <w:b/>
                <w:bCs/>
                <w:color w:val="auto"/>
                <w:sz w:val="24"/>
                <w:szCs w:val="24"/>
              </w:rPr>
              <w:t>-</w:t>
            </w:r>
            <w:r>
              <w:rPr>
                <w:rFonts w:hint="eastAsia"/>
                <w:b/>
                <w:bCs/>
                <w:color w:val="auto"/>
                <w:sz w:val="24"/>
                <w:szCs w:val="24"/>
              </w:rPr>
              <w:t>6</w:t>
            </w:r>
            <w:r>
              <w:rPr>
                <w:b/>
                <w:bCs/>
                <w:color w:val="auto"/>
                <w:sz w:val="24"/>
                <w:szCs w:val="24"/>
              </w:rPr>
              <w:t>建设项目原辅材料理化性质情况表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117"/>
              <w:gridCol w:w="4412"/>
              <w:gridCol w:w="1419"/>
              <w:gridCol w:w="899"/>
            </w:tblGrid>
            <w:tr w14:paraId="74CB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3" w:type="dxa"/>
                  <w:vAlign w:val="center"/>
                </w:tcPr>
                <w:p w14:paraId="44A28EC9">
                  <w:pPr>
                    <w:jc w:val="center"/>
                    <w:rPr>
                      <w:rFonts w:hint="default" w:ascii="Times New Roman" w:hAnsi="Times New Roman" w:cs="Times New Roman"/>
                      <w:b/>
                      <w:bCs/>
                      <w:color w:val="auto"/>
                    </w:rPr>
                  </w:pPr>
                  <w:r>
                    <w:rPr>
                      <w:rFonts w:hint="default" w:ascii="Times New Roman" w:hAnsi="Times New Roman" w:cs="Times New Roman"/>
                      <w:b/>
                      <w:bCs/>
                      <w:color w:val="auto"/>
                    </w:rPr>
                    <w:t>原料名称</w:t>
                  </w:r>
                </w:p>
              </w:tc>
              <w:tc>
                <w:tcPr>
                  <w:tcW w:w="1117" w:type="dxa"/>
                  <w:vAlign w:val="center"/>
                </w:tcPr>
                <w:p w14:paraId="2CBEB353">
                  <w:pPr>
                    <w:jc w:val="center"/>
                    <w:rPr>
                      <w:rFonts w:hint="default" w:ascii="Times New Roman" w:hAnsi="Times New Roman" w:cs="Times New Roman"/>
                      <w:b/>
                      <w:bCs/>
                      <w:color w:val="auto"/>
                    </w:rPr>
                  </w:pPr>
                  <w:r>
                    <w:rPr>
                      <w:rFonts w:hint="default" w:ascii="Times New Roman" w:hAnsi="Times New Roman" w:cs="Times New Roman"/>
                      <w:b/>
                      <w:bCs/>
                      <w:color w:val="auto"/>
                    </w:rPr>
                    <w:t>CAS号</w:t>
                  </w:r>
                </w:p>
              </w:tc>
              <w:tc>
                <w:tcPr>
                  <w:tcW w:w="4412" w:type="dxa"/>
                  <w:vAlign w:val="center"/>
                </w:tcPr>
                <w:p w14:paraId="37463987">
                  <w:pPr>
                    <w:jc w:val="center"/>
                    <w:rPr>
                      <w:rFonts w:hint="default" w:ascii="Times New Roman" w:hAnsi="Times New Roman" w:cs="Times New Roman"/>
                      <w:b/>
                      <w:bCs/>
                      <w:color w:val="auto"/>
                    </w:rPr>
                  </w:pPr>
                  <w:r>
                    <w:rPr>
                      <w:rFonts w:hint="default" w:ascii="Times New Roman" w:hAnsi="Times New Roman" w:cs="Times New Roman"/>
                      <w:b/>
                      <w:bCs/>
                      <w:color w:val="auto"/>
                    </w:rPr>
                    <w:t>理化特性</w:t>
                  </w:r>
                </w:p>
              </w:tc>
              <w:tc>
                <w:tcPr>
                  <w:tcW w:w="1419" w:type="dxa"/>
                  <w:vAlign w:val="center"/>
                </w:tcPr>
                <w:p w14:paraId="79F69572">
                  <w:pPr>
                    <w:jc w:val="center"/>
                    <w:rPr>
                      <w:rFonts w:hint="default" w:ascii="Times New Roman" w:hAnsi="Times New Roman" w:cs="Times New Roman"/>
                      <w:b/>
                      <w:bCs/>
                      <w:color w:val="auto"/>
                    </w:rPr>
                  </w:pPr>
                  <w:r>
                    <w:rPr>
                      <w:rFonts w:hint="default" w:ascii="Times New Roman" w:hAnsi="Times New Roman" w:cs="Times New Roman"/>
                      <w:b/>
                      <w:bCs/>
                      <w:color w:val="auto"/>
                    </w:rPr>
                    <w:t>毒性毒理</w:t>
                  </w:r>
                </w:p>
              </w:tc>
              <w:tc>
                <w:tcPr>
                  <w:tcW w:w="899" w:type="dxa"/>
                  <w:vAlign w:val="center"/>
                </w:tcPr>
                <w:p w14:paraId="69A7A01F">
                  <w:pPr>
                    <w:jc w:val="center"/>
                    <w:rPr>
                      <w:rFonts w:hint="default" w:ascii="Times New Roman" w:hAnsi="Times New Roman" w:cs="Times New Roman"/>
                      <w:b/>
                      <w:bCs/>
                      <w:color w:val="auto"/>
                    </w:rPr>
                  </w:pPr>
                  <w:r>
                    <w:rPr>
                      <w:rFonts w:hint="default" w:ascii="Times New Roman" w:hAnsi="Times New Roman" w:cs="Times New Roman"/>
                      <w:b/>
                      <w:bCs/>
                      <w:color w:val="auto"/>
                    </w:rPr>
                    <w:t>燃烧爆炸性</w:t>
                  </w:r>
                </w:p>
              </w:tc>
            </w:tr>
            <w:tr w14:paraId="40E4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2C17E5E">
                  <w:pPr>
                    <w:widowControl/>
                    <w:jc w:val="center"/>
                    <w:textAlignment w:val="center"/>
                    <w:rPr>
                      <w:rFonts w:hint="default" w:ascii="Times New Roman" w:hAnsi="Times New Roman" w:cs="Times New Roman"/>
                      <w:color w:val="auto"/>
                      <w:kern w:val="0"/>
                    </w:rPr>
                  </w:pPr>
                  <w:r>
                    <w:rPr>
                      <w:rFonts w:hint="default" w:ascii="Times New Roman" w:hAnsi="Times New Roman" w:cs="Times New Roman"/>
                      <w:color w:val="auto"/>
                    </w:rPr>
                    <w:t>白油</w:t>
                  </w:r>
                </w:p>
              </w:tc>
              <w:tc>
                <w:tcPr>
                  <w:tcW w:w="1117" w:type="dxa"/>
                  <w:vAlign w:val="center"/>
                </w:tcPr>
                <w:p w14:paraId="1F189D86">
                  <w:pPr>
                    <w:jc w:val="center"/>
                    <w:rPr>
                      <w:rFonts w:hint="default" w:ascii="Times New Roman" w:hAnsi="Times New Roman" w:cs="Times New Roman"/>
                      <w:color w:val="auto"/>
                    </w:rPr>
                  </w:pPr>
                  <w:r>
                    <w:rPr>
                      <w:rFonts w:hint="default" w:ascii="Times New Roman" w:hAnsi="Times New Roman" w:cs="Times New Roman"/>
                      <w:color w:val="auto"/>
                    </w:rPr>
                    <w:t>8008-20-6</w:t>
                  </w:r>
                </w:p>
              </w:tc>
              <w:tc>
                <w:tcPr>
                  <w:tcW w:w="4412" w:type="dxa"/>
                  <w:vAlign w:val="center"/>
                </w:tcPr>
                <w:p w14:paraId="152F9B6E">
                  <w:pPr>
                    <w:pStyle w:val="52"/>
                    <w:jc w:val="center"/>
                    <w:rPr>
                      <w:rFonts w:hint="default" w:ascii="Times New Roman" w:hAnsi="Times New Roman" w:cs="Times New Roman"/>
                      <w:color w:val="auto"/>
                    </w:rPr>
                  </w:pPr>
                  <w:r>
                    <w:rPr>
                      <w:rFonts w:hint="default" w:ascii="Times New Roman" w:hAnsi="Times New Roman" w:cs="Times New Roman"/>
                      <w:color w:val="auto"/>
                    </w:rPr>
                    <w:t>外观与性状：浅黄色液体；</w:t>
                  </w:r>
                </w:p>
                <w:p w14:paraId="57DC020E">
                  <w:pPr>
                    <w:pStyle w:val="52"/>
                    <w:jc w:val="center"/>
                    <w:rPr>
                      <w:rFonts w:hint="default" w:ascii="Times New Roman" w:hAnsi="Times New Roman" w:cs="Times New Roman"/>
                      <w:color w:val="auto"/>
                    </w:rPr>
                  </w:pPr>
                  <w:r>
                    <w:rPr>
                      <w:rFonts w:hint="default" w:ascii="Times New Roman" w:hAnsi="Times New Roman" w:cs="Times New Roman"/>
                      <w:color w:val="auto"/>
                    </w:rPr>
                    <w:t>熔点：/；</w:t>
                  </w:r>
                </w:p>
                <w:p w14:paraId="4F24F05B">
                  <w:pPr>
                    <w:pStyle w:val="52"/>
                    <w:jc w:val="center"/>
                    <w:rPr>
                      <w:rFonts w:hint="default" w:ascii="Times New Roman" w:hAnsi="Times New Roman" w:cs="Times New Roman"/>
                      <w:color w:val="auto"/>
                    </w:rPr>
                  </w:pPr>
                  <w:r>
                    <w:rPr>
                      <w:rFonts w:hint="default" w:ascii="Times New Roman" w:hAnsi="Times New Roman" w:cs="Times New Roman"/>
                      <w:color w:val="auto"/>
                    </w:rPr>
                    <w:t>沸点：175-325°C；</w:t>
                  </w:r>
                </w:p>
                <w:p w14:paraId="5F5DE1DA">
                  <w:pPr>
                    <w:pStyle w:val="52"/>
                    <w:jc w:val="center"/>
                    <w:rPr>
                      <w:rFonts w:hint="default" w:ascii="Times New Roman" w:hAnsi="Times New Roman" w:cs="Times New Roman"/>
                      <w:color w:val="auto"/>
                    </w:rPr>
                  </w:pPr>
                  <w:r>
                    <w:rPr>
                      <w:rFonts w:hint="default" w:ascii="Times New Roman" w:hAnsi="Times New Roman" w:cs="Times New Roman"/>
                      <w:color w:val="auto"/>
                    </w:rPr>
                    <w:t>闪点：43-72°C；</w:t>
                  </w:r>
                </w:p>
              </w:tc>
              <w:tc>
                <w:tcPr>
                  <w:tcW w:w="1419" w:type="dxa"/>
                  <w:vAlign w:val="center"/>
                </w:tcPr>
                <w:p w14:paraId="60E860D6">
                  <w:pPr>
                    <w:jc w:val="center"/>
                    <w:rPr>
                      <w:rFonts w:hint="default" w:ascii="Times New Roman" w:hAnsi="Times New Roman" w:cs="Times New Roman"/>
                      <w:color w:val="auto"/>
                    </w:rPr>
                  </w:pPr>
                  <w:r>
                    <w:rPr>
                      <w:rFonts w:hint="default" w:ascii="Times New Roman" w:hAnsi="Times New Roman" w:cs="Times New Roman"/>
                      <w:color w:val="auto"/>
                    </w:rPr>
                    <w:t>LD</w:t>
                  </w:r>
                  <w:r>
                    <w:rPr>
                      <w:rFonts w:hint="default" w:ascii="Times New Roman" w:hAnsi="Times New Roman" w:cs="Times New Roman"/>
                      <w:color w:val="auto"/>
                      <w:vertAlign w:val="subscript"/>
                    </w:rPr>
                    <w:t>50</w:t>
                  </w:r>
                  <w:r>
                    <w:rPr>
                      <w:rFonts w:hint="default" w:ascii="Times New Roman" w:hAnsi="Times New Roman" w:cs="Times New Roman"/>
                      <w:color w:val="auto"/>
                    </w:rPr>
                    <w:t>：5000mg/kg（大鼠经口）</w:t>
                  </w:r>
                </w:p>
              </w:tc>
              <w:tc>
                <w:tcPr>
                  <w:tcW w:w="899" w:type="dxa"/>
                  <w:vAlign w:val="center"/>
                </w:tcPr>
                <w:p w14:paraId="225E97F7">
                  <w:pPr>
                    <w:jc w:val="center"/>
                    <w:rPr>
                      <w:rFonts w:hint="default" w:ascii="Times New Roman" w:hAnsi="Times New Roman" w:cs="Times New Roman"/>
                      <w:color w:val="auto"/>
                    </w:rPr>
                  </w:pPr>
                  <w:r>
                    <w:rPr>
                      <w:rFonts w:hint="default" w:ascii="Times New Roman" w:hAnsi="Times New Roman" w:cs="Times New Roman"/>
                      <w:color w:val="auto"/>
                    </w:rPr>
                    <w:t>易燃</w:t>
                  </w:r>
                </w:p>
              </w:tc>
            </w:tr>
            <w:tr w14:paraId="6A44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51CBFE4E">
                  <w:pPr>
                    <w:jc w:val="center"/>
                    <w:rPr>
                      <w:rFonts w:hint="default" w:ascii="Times New Roman" w:hAnsi="Times New Roman" w:cs="Times New Roman"/>
                      <w:color w:val="auto"/>
                    </w:rPr>
                  </w:pPr>
                  <w:r>
                    <w:rPr>
                      <w:rFonts w:hint="default" w:ascii="Times New Roman" w:hAnsi="Times New Roman" w:cs="Times New Roman"/>
                      <w:color w:val="auto"/>
                    </w:rPr>
                    <w:t>氮气</w:t>
                  </w:r>
                </w:p>
              </w:tc>
              <w:tc>
                <w:tcPr>
                  <w:tcW w:w="1117" w:type="dxa"/>
                  <w:vAlign w:val="center"/>
                </w:tcPr>
                <w:p w14:paraId="549ECC5B">
                  <w:pPr>
                    <w:jc w:val="center"/>
                    <w:rPr>
                      <w:rFonts w:hint="default" w:ascii="Times New Roman" w:hAnsi="Times New Roman" w:cs="Times New Roman"/>
                      <w:color w:val="auto"/>
                    </w:rPr>
                  </w:pPr>
                  <w:r>
                    <w:rPr>
                      <w:rFonts w:hint="default" w:ascii="Times New Roman" w:hAnsi="Times New Roman" w:cs="Times New Roman"/>
                      <w:color w:val="auto"/>
                    </w:rPr>
                    <w:t>7727-37-9</w:t>
                  </w:r>
                </w:p>
              </w:tc>
              <w:tc>
                <w:tcPr>
                  <w:tcW w:w="4412" w:type="dxa"/>
                  <w:vAlign w:val="center"/>
                </w:tcPr>
                <w:p w14:paraId="6AA51FD1">
                  <w:pPr>
                    <w:jc w:val="center"/>
                    <w:rPr>
                      <w:rFonts w:hint="default" w:ascii="Times New Roman" w:hAnsi="Times New Roman" w:cs="Times New Roman"/>
                      <w:color w:val="auto"/>
                    </w:rPr>
                  </w:pPr>
                  <w:r>
                    <w:rPr>
                      <w:rFonts w:hint="default" w:ascii="Times New Roman" w:hAnsi="Times New Roman" w:cs="Times New Roman"/>
                      <w:color w:val="auto"/>
                    </w:rPr>
                    <w:t>外观与性状：无色无味压缩气体；</w:t>
                  </w:r>
                </w:p>
                <w:p w14:paraId="2681B6AF">
                  <w:pPr>
                    <w:pStyle w:val="52"/>
                    <w:jc w:val="center"/>
                    <w:rPr>
                      <w:rFonts w:hint="default" w:ascii="Times New Roman" w:hAnsi="Times New Roman" w:cs="Times New Roman"/>
                      <w:color w:val="auto"/>
                    </w:rPr>
                  </w:pPr>
                  <w:r>
                    <w:rPr>
                      <w:rFonts w:hint="default" w:ascii="Times New Roman" w:hAnsi="Times New Roman" w:cs="Times New Roman"/>
                      <w:color w:val="auto"/>
                    </w:rPr>
                    <w:t>沸点：-195.8℃；</w:t>
                  </w:r>
                </w:p>
                <w:p w14:paraId="684CD13C">
                  <w:pPr>
                    <w:jc w:val="center"/>
                    <w:rPr>
                      <w:rFonts w:hint="default" w:ascii="Times New Roman" w:hAnsi="Times New Roman" w:cs="Times New Roman"/>
                      <w:color w:val="auto"/>
                    </w:rPr>
                  </w:pPr>
                  <w:r>
                    <w:rPr>
                      <w:rFonts w:hint="default" w:ascii="Times New Roman" w:hAnsi="Times New Roman" w:cs="Times New Roman"/>
                      <w:color w:val="auto"/>
                    </w:rPr>
                    <w:t>熔点：-209.9°C；</w:t>
                  </w:r>
                </w:p>
                <w:p w14:paraId="034014B7">
                  <w:pPr>
                    <w:jc w:val="center"/>
                    <w:rPr>
                      <w:rFonts w:hint="default" w:ascii="Times New Roman" w:hAnsi="Times New Roman" w:cs="Times New Roman"/>
                      <w:color w:val="auto"/>
                    </w:rPr>
                  </w:pPr>
                  <w:r>
                    <w:rPr>
                      <w:rFonts w:hint="default" w:ascii="Times New Roman" w:hAnsi="Times New Roman" w:cs="Times New Roman"/>
                      <w:color w:val="auto"/>
                    </w:rPr>
                    <w:t>溶解性：微溶于水和乙醇,溶于液氨</w:t>
                  </w:r>
                </w:p>
              </w:tc>
              <w:tc>
                <w:tcPr>
                  <w:tcW w:w="1419" w:type="dxa"/>
                  <w:vAlign w:val="center"/>
                </w:tcPr>
                <w:p w14:paraId="68BFA25A">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99" w:type="dxa"/>
                  <w:vAlign w:val="center"/>
                </w:tcPr>
                <w:p w14:paraId="0A49D287">
                  <w:pPr>
                    <w:jc w:val="center"/>
                    <w:rPr>
                      <w:rFonts w:hint="default" w:ascii="Times New Roman" w:hAnsi="Times New Roman" w:cs="Times New Roman"/>
                      <w:color w:val="auto"/>
                    </w:rPr>
                  </w:pPr>
                  <w:r>
                    <w:rPr>
                      <w:rFonts w:hint="default" w:ascii="Times New Roman" w:hAnsi="Times New Roman" w:cs="Times New Roman"/>
                      <w:color w:val="auto"/>
                    </w:rPr>
                    <w:t>不燃</w:t>
                  </w:r>
                </w:p>
              </w:tc>
            </w:tr>
            <w:tr w14:paraId="704A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56A3AD4">
                  <w:pPr>
                    <w:jc w:val="center"/>
                    <w:rPr>
                      <w:rFonts w:hint="default" w:ascii="Times New Roman" w:hAnsi="Times New Roman" w:cs="Times New Roman"/>
                      <w:color w:val="auto"/>
                    </w:rPr>
                  </w:pPr>
                  <w:r>
                    <w:rPr>
                      <w:rFonts w:hint="default" w:ascii="Times New Roman" w:hAnsi="Times New Roman" w:cs="Times New Roman"/>
                      <w:color w:val="auto"/>
                    </w:rPr>
                    <w:t>天然气</w:t>
                  </w:r>
                </w:p>
              </w:tc>
              <w:tc>
                <w:tcPr>
                  <w:tcW w:w="1117" w:type="dxa"/>
                  <w:vAlign w:val="center"/>
                </w:tcPr>
                <w:p w14:paraId="20740A1D">
                  <w:pPr>
                    <w:jc w:val="center"/>
                    <w:rPr>
                      <w:rFonts w:hint="default" w:ascii="Times New Roman" w:hAnsi="Times New Roman" w:cs="Times New Roman"/>
                      <w:color w:val="auto"/>
                    </w:rPr>
                  </w:pPr>
                  <w:r>
                    <w:rPr>
                      <w:rFonts w:hint="default" w:ascii="Times New Roman" w:hAnsi="Times New Roman" w:cs="Times New Roman"/>
                      <w:color w:val="auto"/>
                    </w:rPr>
                    <w:t>74-82-8</w:t>
                  </w:r>
                </w:p>
              </w:tc>
              <w:tc>
                <w:tcPr>
                  <w:tcW w:w="4412" w:type="dxa"/>
                  <w:vAlign w:val="center"/>
                </w:tcPr>
                <w:p w14:paraId="33C127E1">
                  <w:pPr>
                    <w:jc w:val="center"/>
                    <w:rPr>
                      <w:rFonts w:hint="default" w:ascii="Times New Roman" w:hAnsi="Times New Roman" w:cs="Times New Roman"/>
                      <w:color w:val="auto"/>
                    </w:rPr>
                  </w:pPr>
                  <w:r>
                    <w:rPr>
                      <w:rFonts w:hint="default" w:ascii="Times New Roman" w:hAnsi="Times New Roman" w:cs="Times New Roman"/>
                      <w:color w:val="auto"/>
                    </w:rPr>
                    <w:t>沸点：-160℃，爆炸极限：5-14%（V/V）</w:t>
                  </w:r>
                </w:p>
              </w:tc>
              <w:tc>
                <w:tcPr>
                  <w:tcW w:w="1419" w:type="dxa"/>
                  <w:vAlign w:val="center"/>
                </w:tcPr>
                <w:p w14:paraId="668C1179">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99" w:type="dxa"/>
                  <w:vAlign w:val="center"/>
                </w:tcPr>
                <w:p w14:paraId="51B4CD20">
                  <w:pPr>
                    <w:jc w:val="center"/>
                    <w:rPr>
                      <w:rFonts w:hint="default" w:ascii="Times New Roman" w:hAnsi="Times New Roman" w:cs="Times New Roman"/>
                      <w:color w:val="auto"/>
                    </w:rPr>
                  </w:pPr>
                  <w:r>
                    <w:rPr>
                      <w:rFonts w:hint="default" w:ascii="Times New Roman" w:hAnsi="Times New Roman" w:cs="Times New Roman"/>
                      <w:color w:val="auto"/>
                    </w:rPr>
                    <w:t>易燃</w:t>
                  </w:r>
                </w:p>
              </w:tc>
            </w:tr>
            <w:tr w14:paraId="39BA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1C2F953">
                  <w:pPr>
                    <w:jc w:val="center"/>
                    <w:rPr>
                      <w:rFonts w:hint="default" w:ascii="Times New Roman" w:hAnsi="Times New Roman" w:cs="Times New Roman"/>
                      <w:color w:val="auto"/>
                    </w:rPr>
                  </w:pPr>
                  <w:r>
                    <w:rPr>
                      <w:rFonts w:hint="default" w:ascii="Times New Roman" w:hAnsi="Times New Roman" w:cs="Times New Roman"/>
                      <w:color w:val="auto"/>
                    </w:rPr>
                    <w:t>液压油</w:t>
                  </w:r>
                </w:p>
              </w:tc>
              <w:tc>
                <w:tcPr>
                  <w:tcW w:w="1117" w:type="dxa"/>
                  <w:vAlign w:val="center"/>
                </w:tcPr>
                <w:p w14:paraId="386ABA6C">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4412" w:type="dxa"/>
                  <w:vAlign w:val="center"/>
                </w:tcPr>
                <w:p w14:paraId="30B35861">
                  <w:pPr>
                    <w:jc w:val="center"/>
                    <w:rPr>
                      <w:rFonts w:hint="default" w:ascii="Times New Roman" w:hAnsi="Times New Roman" w:cs="Times New Roman"/>
                      <w:color w:val="auto"/>
                    </w:rPr>
                  </w:pPr>
                  <w:r>
                    <w:rPr>
                      <w:rFonts w:hint="default" w:ascii="Times New Roman" w:hAnsi="Times New Roman" w:cs="Times New Roman"/>
                      <w:color w:val="auto"/>
                    </w:rPr>
                    <w:t>油状液体,淡黄色至褐色；</w:t>
                  </w:r>
                </w:p>
                <w:p w14:paraId="47E637FD">
                  <w:pPr>
                    <w:jc w:val="center"/>
                    <w:rPr>
                      <w:rFonts w:hint="default" w:ascii="Times New Roman" w:hAnsi="Times New Roman" w:cs="Times New Roman"/>
                      <w:color w:val="auto"/>
                    </w:rPr>
                  </w:pPr>
                  <w:r>
                    <w:rPr>
                      <w:rFonts w:hint="default" w:ascii="Times New Roman" w:hAnsi="Times New Roman" w:cs="Times New Roman"/>
                      <w:color w:val="auto"/>
                    </w:rPr>
                    <w:t>无气味或略带异味；</w:t>
                  </w:r>
                </w:p>
                <w:p w14:paraId="4D46CAA5">
                  <w:pPr>
                    <w:jc w:val="center"/>
                    <w:rPr>
                      <w:rFonts w:hint="default" w:ascii="Times New Roman" w:hAnsi="Times New Roman" w:cs="Times New Roman"/>
                      <w:color w:val="auto"/>
                    </w:rPr>
                  </w:pPr>
                  <w:r>
                    <w:rPr>
                      <w:rFonts w:hint="default" w:ascii="Times New Roman" w:hAnsi="Times New Roman" w:cs="Times New Roman"/>
                      <w:color w:val="auto"/>
                    </w:rPr>
                    <w:t>沸点：＞290</w:t>
                  </w:r>
                  <w:bookmarkStart w:id="3" w:name="OLE_LINK2"/>
                  <w:r>
                    <w:rPr>
                      <w:rFonts w:hint="default" w:ascii="Times New Roman" w:hAnsi="Times New Roman" w:cs="Times New Roman"/>
                      <w:color w:val="auto"/>
                    </w:rPr>
                    <w:t>℃</w:t>
                  </w:r>
                  <w:bookmarkEnd w:id="3"/>
                  <w:r>
                    <w:rPr>
                      <w:rFonts w:hint="default" w:ascii="Times New Roman" w:hAnsi="Times New Roman" w:cs="Times New Roman"/>
                      <w:color w:val="auto"/>
                    </w:rPr>
                    <w:t>；</w:t>
                  </w:r>
                </w:p>
                <w:p w14:paraId="4034E2BE">
                  <w:pPr>
                    <w:jc w:val="center"/>
                    <w:rPr>
                      <w:rFonts w:hint="default" w:ascii="Times New Roman" w:hAnsi="Times New Roman" w:cs="Times New Roman"/>
                      <w:color w:val="auto"/>
                    </w:rPr>
                  </w:pPr>
                  <w:r>
                    <w:rPr>
                      <w:rFonts w:hint="default" w:ascii="Times New Roman" w:hAnsi="Times New Roman" w:cs="Times New Roman"/>
                      <w:color w:val="auto"/>
                    </w:rPr>
                    <w:t>闪点：222℃。</w:t>
                  </w:r>
                </w:p>
              </w:tc>
              <w:tc>
                <w:tcPr>
                  <w:tcW w:w="1419" w:type="dxa"/>
                  <w:vAlign w:val="center"/>
                </w:tcPr>
                <w:p w14:paraId="00A08501">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99" w:type="dxa"/>
                  <w:vAlign w:val="center"/>
                </w:tcPr>
                <w:p w14:paraId="11909535">
                  <w:pPr>
                    <w:jc w:val="center"/>
                    <w:rPr>
                      <w:rFonts w:hint="default" w:ascii="Times New Roman" w:hAnsi="Times New Roman" w:cs="Times New Roman"/>
                      <w:color w:val="auto"/>
                    </w:rPr>
                  </w:pPr>
                  <w:r>
                    <w:rPr>
                      <w:rFonts w:hint="default" w:ascii="Times New Roman" w:hAnsi="Times New Roman" w:cs="Times New Roman"/>
                      <w:color w:val="auto"/>
                    </w:rPr>
                    <w:t>/</w:t>
                  </w:r>
                </w:p>
              </w:tc>
            </w:tr>
            <w:tr w14:paraId="602E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6D6024D4">
                  <w:pPr>
                    <w:jc w:val="center"/>
                    <w:rPr>
                      <w:rFonts w:hint="default" w:ascii="Times New Roman" w:hAnsi="Times New Roman" w:cs="Times New Roman"/>
                      <w:color w:val="auto"/>
                    </w:rPr>
                  </w:pPr>
                  <w:r>
                    <w:rPr>
                      <w:rFonts w:hint="default" w:ascii="Times New Roman" w:hAnsi="Times New Roman" w:cs="Times New Roman"/>
                      <w:color w:val="auto"/>
                    </w:rPr>
                    <w:t>脂肪胺</w:t>
                  </w:r>
                </w:p>
              </w:tc>
              <w:tc>
                <w:tcPr>
                  <w:tcW w:w="1117" w:type="dxa"/>
                  <w:vAlign w:val="center"/>
                </w:tcPr>
                <w:p w14:paraId="6D8AB2FD">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4412" w:type="dxa"/>
                  <w:vAlign w:val="center"/>
                </w:tcPr>
                <w:p w14:paraId="1EA466CB">
                  <w:pPr>
                    <w:jc w:val="center"/>
                    <w:rPr>
                      <w:rFonts w:hint="default" w:ascii="Times New Roman" w:hAnsi="Times New Roman" w:cs="Times New Roman"/>
                      <w:color w:val="auto"/>
                    </w:rPr>
                  </w:pPr>
                  <w:r>
                    <w:rPr>
                      <w:rFonts w:hint="default" w:ascii="Times New Roman" w:hAnsi="Times New Roman" w:cs="Times New Roman"/>
                      <w:color w:val="auto"/>
                    </w:rPr>
                    <w:t>脂肪胺是氨的有机衍生物，C8-10短链脂肪胺在水中有一定的溶解度，长链脂肪胺一般不溶于水，常温下呈液态或固态，具有碱性，作为有机碱对皮肤和</w:t>
                  </w:r>
                  <w:r>
                    <w:rPr>
                      <w:rFonts w:hint="default" w:ascii="Times New Roman" w:hAnsi="Times New Roman" w:cs="Times New Roman"/>
                      <w:color w:val="auto"/>
                      <w:lang w:val="en-US" w:eastAsia="zh-CN"/>
                    </w:rPr>
                    <w:t>黏膜</w:t>
                  </w:r>
                  <w:r>
                    <w:rPr>
                      <w:rFonts w:hint="default" w:ascii="Times New Roman" w:hAnsi="Times New Roman" w:cs="Times New Roman"/>
                      <w:color w:val="auto"/>
                    </w:rPr>
                    <w:t>具有刺激和腐蚀作用。</w:t>
                  </w:r>
                </w:p>
              </w:tc>
              <w:tc>
                <w:tcPr>
                  <w:tcW w:w="1419" w:type="dxa"/>
                  <w:vAlign w:val="center"/>
                </w:tcPr>
                <w:p w14:paraId="72161974">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99" w:type="dxa"/>
                  <w:vAlign w:val="center"/>
                </w:tcPr>
                <w:p w14:paraId="394F67F0">
                  <w:pPr>
                    <w:jc w:val="center"/>
                    <w:rPr>
                      <w:rFonts w:hint="default" w:ascii="Times New Roman" w:hAnsi="Times New Roman" w:cs="Times New Roman"/>
                      <w:color w:val="auto"/>
                    </w:rPr>
                  </w:pPr>
                  <w:r>
                    <w:rPr>
                      <w:rFonts w:hint="default" w:ascii="Times New Roman" w:hAnsi="Times New Roman" w:cs="Times New Roman"/>
                      <w:color w:val="auto"/>
                    </w:rPr>
                    <w:t>/</w:t>
                  </w:r>
                </w:p>
              </w:tc>
            </w:tr>
            <w:tr w14:paraId="3CBD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01F30050">
                  <w:pPr>
                    <w:jc w:val="center"/>
                    <w:rPr>
                      <w:rFonts w:hint="default" w:ascii="Times New Roman" w:hAnsi="Times New Roman" w:cs="Times New Roman"/>
                      <w:color w:val="auto"/>
                    </w:rPr>
                  </w:pPr>
                  <w:r>
                    <w:rPr>
                      <w:rFonts w:hint="default" w:ascii="Times New Roman" w:hAnsi="Times New Roman" w:cs="Times New Roman"/>
                      <w:color w:val="auto"/>
                    </w:rPr>
                    <w:t>非离子表面活性剂</w:t>
                  </w:r>
                </w:p>
              </w:tc>
              <w:tc>
                <w:tcPr>
                  <w:tcW w:w="1117" w:type="dxa"/>
                  <w:vAlign w:val="center"/>
                </w:tcPr>
                <w:p w14:paraId="427D6156">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4412" w:type="dxa"/>
                  <w:vAlign w:val="center"/>
                </w:tcPr>
                <w:p w14:paraId="587BBDF9">
                  <w:pPr>
                    <w:jc w:val="center"/>
                    <w:rPr>
                      <w:rFonts w:hint="default" w:ascii="Times New Roman" w:hAnsi="Times New Roman" w:cs="Times New Roman"/>
                      <w:color w:val="auto"/>
                    </w:rPr>
                  </w:pPr>
                  <w:r>
                    <w:rPr>
                      <w:rFonts w:hint="default" w:ascii="Times New Roman" w:hAnsi="Times New Roman" w:cs="Times New Roman"/>
                      <w:color w:val="auto"/>
                    </w:rPr>
                    <w:t>密度：1.10至1.39g/cm³</w:t>
                  </w:r>
                </w:p>
                <w:p w14:paraId="5B10FC04">
                  <w:pPr>
                    <w:jc w:val="center"/>
                    <w:rPr>
                      <w:rFonts w:hint="default" w:ascii="Times New Roman" w:hAnsi="Times New Roman" w:cs="Times New Roman"/>
                      <w:color w:val="auto"/>
                    </w:rPr>
                  </w:pPr>
                  <w:r>
                    <w:rPr>
                      <w:rFonts w:hint="default" w:ascii="Times New Roman" w:hAnsi="Times New Roman" w:cs="Times New Roman"/>
                      <w:color w:val="auto"/>
                    </w:rPr>
                    <w:t>外观：淡黄色透明液体</w:t>
                  </w:r>
                </w:p>
                <w:p w14:paraId="3434995C">
                  <w:pPr>
                    <w:jc w:val="center"/>
                    <w:rPr>
                      <w:rFonts w:hint="default" w:ascii="Times New Roman" w:hAnsi="Times New Roman" w:cs="Times New Roman"/>
                      <w:color w:val="auto"/>
                    </w:rPr>
                  </w:pPr>
                  <w:r>
                    <w:rPr>
                      <w:rFonts w:hint="default" w:ascii="Times New Roman" w:hAnsi="Times New Roman" w:cs="Times New Roman"/>
                      <w:color w:val="auto"/>
                    </w:rPr>
                    <w:t>闪点：93℃</w:t>
                  </w:r>
                </w:p>
                <w:p w14:paraId="2F80D99A">
                  <w:pPr>
                    <w:jc w:val="center"/>
                    <w:rPr>
                      <w:rFonts w:hint="default" w:ascii="Times New Roman" w:hAnsi="Times New Roman" w:cs="Times New Roman"/>
                      <w:color w:val="auto"/>
                    </w:rPr>
                  </w:pPr>
                  <w:r>
                    <w:rPr>
                      <w:rFonts w:hint="default" w:ascii="Times New Roman" w:hAnsi="Times New Roman" w:cs="Times New Roman"/>
                      <w:color w:val="auto"/>
                    </w:rPr>
                    <w:t>沸点：110℃（以上）</w:t>
                  </w:r>
                </w:p>
              </w:tc>
              <w:tc>
                <w:tcPr>
                  <w:tcW w:w="1419" w:type="dxa"/>
                  <w:vAlign w:val="center"/>
                </w:tcPr>
                <w:p w14:paraId="2F4E0C2A">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99" w:type="dxa"/>
                  <w:vAlign w:val="center"/>
                </w:tcPr>
                <w:p w14:paraId="67767AB2">
                  <w:pPr>
                    <w:jc w:val="center"/>
                    <w:rPr>
                      <w:rFonts w:hint="default" w:ascii="Times New Roman" w:hAnsi="Times New Roman" w:cs="Times New Roman"/>
                      <w:color w:val="auto"/>
                    </w:rPr>
                  </w:pPr>
                  <w:r>
                    <w:rPr>
                      <w:rFonts w:hint="default" w:ascii="Times New Roman" w:hAnsi="Times New Roman" w:cs="Times New Roman"/>
                      <w:color w:val="auto"/>
                    </w:rPr>
                    <w:t>/</w:t>
                  </w:r>
                </w:p>
              </w:tc>
            </w:tr>
            <w:tr w14:paraId="7097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0B5A199A">
                  <w:pPr>
                    <w:jc w:val="center"/>
                    <w:rPr>
                      <w:rFonts w:hint="default" w:ascii="Times New Roman" w:hAnsi="Times New Roman" w:cs="Times New Roman"/>
                      <w:color w:val="auto"/>
                    </w:rPr>
                  </w:pPr>
                  <w:r>
                    <w:rPr>
                      <w:rFonts w:hint="default" w:ascii="Times New Roman" w:hAnsi="Times New Roman" w:cs="Times New Roman"/>
                      <w:color w:val="auto"/>
                    </w:rPr>
                    <w:t>锡</w:t>
                  </w:r>
                </w:p>
              </w:tc>
              <w:tc>
                <w:tcPr>
                  <w:tcW w:w="1117" w:type="dxa"/>
                  <w:vAlign w:val="center"/>
                </w:tcPr>
                <w:p w14:paraId="54B88FF7">
                  <w:pPr>
                    <w:jc w:val="center"/>
                    <w:rPr>
                      <w:rFonts w:hint="default" w:ascii="Times New Roman" w:hAnsi="Times New Roman" w:cs="Times New Roman"/>
                      <w:color w:val="auto"/>
                    </w:rPr>
                  </w:pPr>
                  <w:r>
                    <w:rPr>
                      <w:rFonts w:hint="default" w:ascii="Times New Roman" w:hAnsi="Times New Roman" w:cs="Times New Roman"/>
                      <w:color w:val="auto"/>
                    </w:rPr>
                    <w:t>7440-31-5</w:t>
                  </w:r>
                </w:p>
              </w:tc>
              <w:tc>
                <w:tcPr>
                  <w:tcW w:w="4412" w:type="dxa"/>
                  <w:vAlign w:val="center"/>
                </w:tcPr>
                <w:p w14:paraId="0070BBD4">
                  <w:pPr>
                    <w:jc w:val="center"/>
                    <w:rPr>
                      <w:rFonts w:hint="default" w:ascii="Times New Roman" w:hAnsi="Times New Roman" w:cs="Times New Roman"/>
                      <w:color w:val="auto"/>
                    </w:rPr>
                  </w:pPr>
                  <w:r>
                    <w:rPr>
                      <w:rFonts w:hint="default" w:ascii="Times New Roman" w:hAnsi="Times New Roman" w:cs="Times New Roman"/>
                      <w:color w:val="auto"/>
                    </w:rPr>
                    <w:t>分子式：Sn；分子量: 118.71</w:t>
                  </w:r>
                </w:p>
                <w:p w14:paraId="3F775D51">
                  <w:pPr>
                    <w:jc w:val="center"/>
                    <w:rPr>
                      <w:rFonts w:hint="default" w:ascii="Times New Roman" w:hAnsi="Times New Roman" w:cs="Times New Roman"/>
                      <w:color w:val="auto"/>
                    </w:rPr>
                  </w:pPr>
                  <w:r>
                    <w:rPr>
                      <w:rFonts w:hint="default" w:ascii="Times New Roman" w:hAnsi="Times New Roman" w:cs="Times New Roman"/>
                      <w:color w:val="auto"/>
                    </w:rPr>
                    <w:t>燃点:231.9℃；密 度:相对密度(水=1)7.31</w:t>
                  </w:r>
                </w:p>
                <w:p w14:paraId="17E50769">
                  <w:pPr>
                    <w:jc w:val="center"/>
                    <w:rPr>
                      <w:rFonts w:hint="default" w:ascii="Times New Roman" w:hAnsi="Times New Roman" w:cs="Times New Roman"/>
                      <w:color w:val="auto"/>
                    </w:rPr>
                  </w:pPr>
                  <w:r>
                    <w:rPr>
                      <w:rFonts w:hint="default" w:ascii="Times New Roman" w:hAnsi="Times New Roman" w:cs="Times New Roman"/>
                      <w:color w:val="auto"/>
                    </w:rPr>
                    <w:t>蒸汽压:1492℃</w:t>
                  </w:r>
                </w:p>
                <w:p w14:paraId="70370724">
                  <w:pPr>
                    <w:jc w:val="center"/>
                    <w:rPr>
                      <w:rFonts w:hint="default" w:ascii="Times New Roman" w:hAnsi="Times New Roman" w:cs="Times New Roman"/>
                      <w:color w:val="auto"/>
                    </w:rPr>
                  </w:pPr>
                  <w:r>
                    <w:rPr>
                      <w:rFonts w:hint="default" w:ascii="Times New Roman" w:hAnsi="Times New Roman" w:cs="Times New Roman"/>
                      <w:color w:val="auto"/>
                    </w:rPr>
                    <w:t>溶解性:不游于水，</w:t>
                  </w:r>
                  <w:r>
                    <w:rPr>
                      <w:rFonts w:hint="default" w:ascii="Times New Roman" w:hAnsi="Times New Roman" w:cs="Times New Roman"/>
                      <w:color w:val="auto"/>
                      <w:lang w:val="en-US" w:eastAsia="zh-CN"/>
                    </w:rPr>
                    <w:t>溶于</w:t>
                  </w:r>
                  <w:r>
                    <w:rPr>
                      <w:rFonts w:hint="default" w:ascii="Times New Roman" w:hAnsi="Times New Roman" w:cs="Times New Roman"/>
                      <w:color w:val="auto"/>
                    </w:rPr>
                    <w:t>稀盐酸、硫酸、酸</w:t>
                  </w:r>
                </w:p>
                <w:p w14:paraId="0055C6CC">
                  <w:pPr>
                    <w:jc w:val="center"/>
                    <w:rPr>
                      <w:rFonts w:hint="default" w:ascii="Times New Roman" w:hAnsi="Times New Roman" w:cs="Times New Roman"/>
                      <w:color w:val="auto"/>
                    </w:rPr>
                  </w:pPr>
                  <w:r>
                    <w:rPr>
                      <w:rFonts w:hint="default" w:ascii="Times New Roman" w:hAnsi="Times New Roman" w:cs="Times New Roman"/>
                      <w:color w:val="auto"/>
                    </w:rPr>
                    <w:t>外观与性状;灰绿色</w:t>
                  </w:r>
                </w:p>
              </w:tc>
              <w:tc>
                <w:tcPr>
                  <w:tcW w:w="1419" w:type="dxa"/>
                  <w:vAlign w:val="center"/>
                </w:tcPr>
                <w:p w14:paraId="7E953840">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99" w:type="dxa"/>
                  <w:vAlign w:val="center"/>
                </w:tcPr>
                <w:p w14:paraId="45756A80">
                  <w:pPr>
                    <w:jc w:val="center"/>
                    <w:rPr>
                      <w:rFonts w:hint="default" w:ascii="Times New Roman" w:hAnsi="Times New Roman" w:cs="Times New Roman"/>
                      <w:color w:val="auto"/>
                    </w:rPr>
                  </w:pPr>
                  <w:r>
                    <w:rPr>
                      <w:rFonts w:hint="default" w:ascii="Times New Roman" w:hAnsi="Times New Roman" w:cs="Times New Roman"/>
                      <w:color w:val="auto"/>
                    </w:rPr>
                    <w:t>/</w:t>
                  </w:r>
                </w:p>
              </w:tc>
            </w:tr>
            <w:tr w14:paraId="6CAF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C1CE50D">
                  <w:pPr>
                    <w:jc w:val="center"/>
                    <w:rPr>
                      <w:rFonts w:hint="default" w:ascii="Times New Roman" w:hAnsi="Times New Roman" w:cs="Times New Roman"/>
                      <w:color w:val="auto"/>
                    </w:rPr>
                  </w:pPr>
                  <w:r>
                    <w:rPr>
                      <w:rFonts w:hint="default" w:ascii="Times New Roman" w:hAnsi="Times New Roman" w:cs="Times New Roman"/>
                      <w:color w:val="auto"/>
                    </w:rPr>
                    <w:t>铜</w:t>
                  </w:r>
                </w:p>
              </w:tc>
              <w:tc>
                <w:tcPr>
                  <w:tcW w:w="1117" w:type="dxa"/>
                  <w:vAlign w:val="center"/>
                </w:tcPr>
                <w:p w14:paraId="22E463E7">
                  <w:pPr>
                    <w:jc w:val="center"/>
                    <w:rPr>
                      <w:rFonts w:hint="default" w:ascii="Times New Roman" w:hAnsi="Times New Roman" w:cs="Times New Roman"/>
                      <w:color w:val="auto"/>
                    </w:rPr>
                  </w:pPr>
                  <w:r>
                    <w:rPr>
                      <w:rFonts w:hint="default" w:ascii="Times New Roman" w:hAnsi="Times New Roman" w:cs="Times New Roman"/>
                      <w:color w:val="auto"/>
                    </w:rPr>
                    <w:t>7440-50-8</w:t>
                  </w:r>
                </w:p>
              </w:tc>
              <w:tc>
                <w:tcPr>
                  <w:tcW w:w="4412" w:type="dxa"/>
                  <w:vAlign w:val="center"/>
                </w:tcPr>
                <w:p w14:paraId="5632FCEF">
                  <w:pPr>
                    <w:jc w:val="center"/>
                    <w:rPr>
                      <w:rFonts w:hint="default" w:ascii="Times New Roman" w:hAnsi="Times New Roman" w:cs="Times New Roman"/>
                      <w:color w:val="auto"/>
                    </w:rPr>
                  </w:pPr>
                  <w:r>
                    <w:rPr>
                      <w:rFonts w:hint="default" w:ascii="Times New Roman" w:hAnsi="Times New Roman" w:cs="Times New Roman"/>
                      <w:color w:val="auto"/>
                    </w:rPr>
                    <w:t>外观与形状：红棕色金属</w:t>
                  </w:r>
                </w:p>
                <w:p w14:paraId="25BCEF3A">
                  <w:pPr>
                    <w:jc w:val="center"/>
                    <w:rPr>
                      <w:rFonts w:hint="default" w:ascii="Times New Roman" w:hAnsi="Times New Roman" w:cs="Times New Roman"/>
                      <w:color w:val="auto"/>
                    </w:rPr>
                  </w:pPr>
                  <w:r>
                    <w:rPr>
                      <w:rFonts w:hint="default" w:ascii="Times New Roman" w:hAnsi="Times New Roman" w:cs="Times New Roman"/>
                      <w:color w:val="auto"/>
                    </w:rPr>
                    <w:t>熔点：1083℃；沸点：2567℃</w:t>
                  </w:r>
                </w:p>
                <w:p w14:paraId="2F0AFB29">
                  <w:pPr>
                    <w:pStyle w:val="8"/>
                    <w:spacing w:before="0" w:after="0" w:line="240" w:lineRule="auto"/>
                    <w:jc w:val="center"/>
                    <w:rPr>
                      <w:rFonts w:hint="default" w:ascii="Times New Roman" w:hAnsi="Times New Roman" w:cs="Times New Roman"/>
                      <w:color w:val="auto"/>
                    </w:rPr>
                  </w:pPr>
                  <w:r>
                    <w:rPr>
                      <w:rFonts w:hint="default" w:ascii="Times New Roman" w:hAnsi="Times New Roman" w:cs="Times New Roman"/>
                      <w:color w:val="auto"/>
                      <w:kern w:val="2"/>
                      <w:sz w:val="21"/>
                      <w:szCs w:val="21"/>
                    </w:rPr>
                    <w:t>燃烧性：粉末可燃</w:t>
                  </w:r>
                </w:p>
              </w:tc>
              <w:tc>
                <w:tcPr>
                  <w:tcW w:w="1419" w:type="dxa"/>
                  <w:vAlign w:val="center"/>
                </w:tcPr>
                <w:p w14:paraId="3FC5BDB3">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99" w:type="dxa"/>
                  <w:vAlign w:val="center"/>
                </w:tcPr>
                <w:p w14:paraId="1DF53395">
                  <w:pPr>
                    <w:jc w:val="center"/>
                    <w:rPr>
                      <w:rFonts w:hint="default" w:ascii="Times New Roman" w:hAnsi="Times New Roman" w:cs="Times New Roman"/>
                      <w:color w:val="auto"/>
                    </w:rPr>
                  </w:pPr>
                  <w:r>
                    <w:rPr>
                      <w:rFonts w:hint="default" w:ascii="Times New Roman" w:hAnsi="Times New Roman" w:cs="Times New Roman"/>
                      <w:color w:val="auto"/>
                    </w:rPr>
                    <w:t>粉末可燃</w:t>
                  </w:r>
                </w:p>
              </w:tc>
            </w:tr>
            <w:tr w14:paraId="649D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0933E194">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铁</w:t>
                  </w:r>
                </w:p>
              </w:tc>
              <w:tc>
                <w:tcPr>
                  <w:tcW w:w="1117" w:type="dxa"/>
                  <w:vAlign w:val="center"/>
                </w:tcPr>
                <w:p w14:paraId="24046C52">
                  <w:pPr>
                    <w:jc w:val="center"/>
                    <w:rPr>
                      <w:rFonts w:hint="default" w:ascii="Times New Roman" w:hAnsi="Times New Roman" w:cs="Times New Roman"/>
                      <w:color w:val="auto"/>
                    </w:rPr>
                  </w:pPr>
                  <w:r>
                    <w:rPr>
                      <w:rFonts w:hint="default" w:ascii="Times New Roman" w:hAnsi="Times New Roman" w:cs="Times New Roman"/>
                      <w:color w:val="auto"/>
                    </w:rPr>
                    <w:t>7439-89-6</w:t>
                  </w:r>
                </w:p>
              </w:tc>
              <w:tc>
                <w:tcPr>
                  <w:tcW w:w="4412" w:type="dxa"/>
                  <w:vAlign w:val="center"/>
                </w:tcPr>
                <w:p w14:paraId="3ADFD755">
                  <w:pPr>
                    <w:pStyle w:val="8"/>
                    <w:spacing w:before="0" w:after="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分子式：Fe</w:t>
                  </w:r>
                </w:p>
                <w:p w14:paraId="196BF13C">
                  <w:pPr>
                    <w:pStyle w:val="8"/>
                    <w:spacing w:before="0" w:after="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分子量：55.84500</w:t>
                  </w:r>
                </w:p>
                <w:p w14:paraId="07335451">
                  <w:pPr>
                    <w:pStyle w:val="8"/>
                    <w:spacing w:before="0" w:after="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熔点：1535 °C(lit.)</w:t>
                  </w:r>
                </w:p>
                <w:p w14:paraId="78AB8D0E">
                  <w:pPr>
                    <w:pStyle w:val="8"/>
                    <w:spacing w:before="0" w:after="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密度：1.05 g/mL at 20 °C</w:t>
                  </w:r>
                </w:p>
              </w:tc>
              <w:tc>
                <w:tcPr>
                  <w:tcW w:w="1419" w:type="dxa"/>
                  <w:vAlign w:val="center"/>
                </w:tcPr>
                <w:p w14:paraId="03AC666E">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99" w:type="dxa"/>
                  <w:vAlign w:val="center"/>
                </w:tcPr>
                <w:p w14:paraId="0E6DC608">
                  <w:pPr>
                    <w:jc w:val="center"/>
                    <w:rPr>
                      <w:rFonts w:hint="default" w:ascii="Times New Roman" w:hAnsi="Times New Roman" w:cs="Times New Roman"/>
                      <w:color w:val="auto"/>
                    </w:rPr>
                  </w:pPr>
                  <w:r>
                    <w:rPr>
                      <w:rFonts w:hint="default" w:ascii="Times New Roman" w:hAnsi="Times New Roman" w:cs="Times New Roman"/>
                      <w:color w:val="auto"/>
                    </w:rPr>
                    <w:t>/</w:t>
                  </w:r>
                </w:p>
              </w:tc>
            </w:tr>
            <w:tr w14:paraId="6D41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6370F275">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锰</w:t>
                  </w:r>
                </w:p>
              </w:tc>
              <w:tc>
                <w:tcPr>
                  <w:tcW w:w="1117" w:type="dxa"/>
                  <w:vAlign w:val="center"/>
                </w:tcPr>
                <w:p w14:paraId="435B8155">
                  <w:pPr>
                    <w:jc w:val="center"/>
                    <w:rPr>
                      <w:rFonts w:hint="default" w:ascii="Times New Roman" w:hAnsi="Times New Roman" w:cs="Times New Roman"/>
                      <w:color w:val="auto"/>
                    </w:rPr>
                  </w:pPr>
                  <w:r>
                    <w:rPr>
                      <w:rFonts w:hint="default" w:ascii="Times New Roman" w:hAnsi="Times New Roman" w:cs="Times New Roman"/>
                      <w:color w:val="auto"/>
                    </w:rPr>
                    <w:t>7439-96-5</w:t>
                  </w:r>
                </w:p>
              </w:tc>
              <w:tc>
                <w:tcPr>
                  <w:tcW w:w="4412" w:type="dxa"/>
                  <w:vAlign w:val="center"/>
                </w:tcPr>
                <w:p w14:paraId="442CCE21">
                  <w:pPr>
                    <w:pStyle w:val="8"/>
                    <w:spacing w:before="0" w:after="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密度</w:t>
                  </w:r>
                  <w:r>
                    <w:rPr>
                      <w:rFonts w:hint="default" w:ascii="Times New Roman" w:hAnsi="Times New Roman" w:cs="Times New Roman"/>
                      <w:color w:val="auto"/>
                      <w:kern w:val="2"/>
                      <w:sz w:val="21"/>
                      <w:szCs w:val="21"/>
                      <w:lang w:val="en-US" w:eastAsia="zh-CN"/>
                    </w:rPr>
                    <w:t>:</w:t>
                  </w:r>
                  <w:r>
                    <w:rPr>
                      <w:rFonts w:hint="default" w:ascii="Times New Roman" w:hAnsi="Times New Roman" w:cs="Times New Roman"/>
                      <w:color w:val="auto"/>
                      <w:kern w:val="2"/>
                      <w:sz w:val="21"/>
                      <w:szCs w:val="21"/>
                    </w:rPr>
                    <w:t>7.3 g/mL at 25 °C</w:t>
                  </w:r>
                </w:p>
                <w:p w14:paraId="7DC117C6">
                  <w:pPr>
                    <w:pStyle w:val="8"/>
                    <w:spacing w:before="0" w:after="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沸点</w:t>
                  </w:r>
                  <w:r>
                    <w:rPr>
                      <w:rFonts w:hint="default" w:ascii="Times New Roman" w:hAnsi="Times New Roman" w:cs="Times New Roman"/>
                      <w:color w:val="auto"/>
                      <w:kern w:val="2"/>
                      <w:sz w:val="21"/>
                      <w:szCs w:val="21"/>
                      <w:lang w:val="en-US" w:eastAsia="zh-CN"/>
                    </w:rPr>
                    <w:t>:</w:t>
                  </w:r>
                  <w:r>
                    <w:rPr>
                      <w:rFonts w:hint="default" w:ascii="Times New Roman" w:hAnsi="Times New Roman" w:cs="Times New Roman"/>
                      <w:color w:val="auto"/>
                      <w:kern w:val="2"/>
                      <w:sz w:val="21"/>
                      <w:szCs w:val="21"/>
                    </w:rPr>
                    <w:t>1962 °C</w:t>
                  </w:r>
                </w:p>
                <w:p w14:paraId="2E25A992">
                  <w:pPr>
                    <w:pStyle w:val="8"/>
                    <w:spacing w:before="0" w:after="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熔点</w:t>
                  </w:r>
                  <w:r>
                    <w:rPr>
                      <w:rFonts w:hint="default" w:ascii="Times New Roman" w:hAnsi="Times New Roman" w:cs="Times New Roman"/>
                      <w:color w:val="auto"/>
                      <w:kern w:val="2"/>
                      <w:sz w:val="21"/>
                      <w:szCs w:val="21"/>
                      <w:lang w:val="en-US" w:eastAsia="zh-CN"/>
                    </w:rPr>
                    <w:t>:</w:t>
                  </w:r>
                  <w:r>
                    <w:rPr>
                      <w:rFonts w:hint="default" w:ascii="Times New Roman" w:hAnsi="Times New Roman" w:cs="Times New Roman"/>
                      <w:color w:val="auto"/>
                      <w:kern w:val="2"/>
                      <w:sz w:val="21"/>
                      <w:szCs w:val="21"/>
                    </w:rPr>
                    <w:t>1244 °C</w:t>
                  </w:r>
                </w:p>
              </w:tc>
              <w:tc>
                <w:tcPr>
                  <w:tcW w:w="1419" w:type="dxa"/>
                  <w:vAlign w:val="center"/>
                </w:tcPr>
                <w:p w14:paraId="2D181236">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99" w:type="dxa"/>
                  <w:vAlign w:val="center"/>
                </w:tcPr>
                <w:p w14:paraId="586D936C">
                  <w:pPr>
                    <w:jc w:val="center"/>
                    <w:rPr>
                      <w:rFonts w:hint="default" w:ascii="Times New Roman" w:hAnsi="Times New Roman" w:cs="Times New Roman"/>
                      <w:color w:val="auto"/>
                    </w:rPr>
                  </w:pPr>
                  <w:r>
                    <w:rPr>
                      <w:rFonts w:hint="default" w:ascii="Times New Roman" w:hAnsi="Times New Roman" w:cs="Times New Roman"/>
                      <w:color w:val="auto"/>
                    </w:rPr>
                    <w:t>/</w:t>
                  </w:r>
                </w:p>
              </w:tc>
            </w:tr>
          </w:tbl>
          <w:p w14:paraId="59E233A4">
            <w:pPr>
              <w:spacing w:line="360" w:lineRule="auto"/>
              <w:ind w:firstLine="480" w:firstLineChars="200"/>
              <w:rPr>
                <w:color w:val="auto"/>
                <w:sz w:val="24"/>
                <w:szCs w:val="24"/>
              </w:rPr>
            </w:pPr>
            <w:r>
              <w:rPr>
                <w:rFonts w:hint="eastAsia"/>
                <w:color w:val="auto"/>
                <w:sz w:val="24"/>
                <w:szCs w:val="24"/>
              </w:rPr>
              <w:t>6、劳动定员及工作制度</w:t>
            </w:r>
          </w:p>
          <w:p w14:paraId="3FBEFCB0">
            <w:pPr>
              <w:spacing w:line="360" w:lineRule="auto"/>
              <w:ind w:firstLine="480" w:firstLineChars="200"/>
              <w:rPr>
                <w:color w:val="auto"/>
                <w:sz w:val="24"/>
                <w:szCs w:val="24"/>
              </w:rPr>
            </w:pPr>
            <w:r>
              <w:rPr>
                <w:rFonts w:hint="eastAsia"/>
                <w:color w:val="auto"/>
                <w:sz w:val="24"/>
                <w:szCs w:val="24"/>
              </w:rPr>
              <w:t>本项目全厂员工260人，年工作300天，一班制，每班工作8小时，年工作2400小时，</w:t>
            </w:r>
            <w:r>
              <w:rPr>
                <w:rFonts w:hint="eastAsia"/>
                <w:color w:val="auto"/>
                <w:sz w:val="24"/>
                <w:szCs w:val="24"/>
                <w:lang w:val="en-US" w:eastAsia="zh-CN"/>
              </w:rPr>
              <w:t>新建</w:t>
            </w:r>
            <w:r>
              <w:rPr>
                <w:rFonts w:hint="eastAsia"/>
                <w:color w:val="auto"/>
                <w:sz w:val="24"/>
                <w:szCs w:val="24"/>
              </w:rPr>
              <w:t>食堂，不设置宿舍。</w:t>
            </w:r>
          </w:p>
          <w:p w14:paraId="2C7C831F">
            <w:pPr>
              <w:spacing w:line="360" w:lineRule="auto"/>
              <w:ind w:firstLine="480" w:firstLineChars="200"/>
              <w:rPr>
                <w:color w:val="auto"/>
                <w:sz w:val="24"/>
                <w:szCs w:val="24"/>
              </w:rPr>
            </w:pPr>
            <w:r>
              <w:rPr>
                <w:rFonts w:hint="eastAsia"/>
                <w:color w:val="auto"/>
                <w:sz w:val="24"/>
                <w:szCs w:val="24"/>
              </w:rPr>
              <w:t>7、水平衡</w:t>
            </w:r>
          </w:p>
          <w:p w14:paraId="5B0A4446">
            <w:pPr>
              <w:pStyle w:val="32"/>
              <w:widowControl w:val="0"/>
              <w:adjustRightInd/>
              <w:spacing w:line="360" w:lineRule="auto"/>
              <w:jc w:val="center"/>
              <w:rPr>
                <w:rFonts w:ascii="Times New Roman" w:cs="Times New Roman"/>
                <w:color w:val="auto"/>
              </w:rPr>
            </w:pPr>
            <w:r>
              <w:rPr>
                <w:rFonts w:ascii="Times New Roman" w:cs="Times New Roman"/>
                <w:color w:val="auto"/>
              </w:rPr>
              <w:object>
                <v:shape id="_x0000_i1025" o:spt="75" type="#_x0000_t75" style="height:249.6pt;width:432.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14:paraId="578A70A6">
            <w:pPr>
              <w:pStyle w:val="32"/>
              <w:widowControl w:val="0"/>
              <w:adjustRightInd/>
              <w:spacing w:line="360" w:lineRule="auto"/>
              <w:jc w:val="center"/>
              <w:rPr>
                <w:color w:val="auto"/>
              </w:rPr>
            </w:pPr>
            <w:r>
              <w:rPr>
                <w:rFonts w:ascii="Times New Roman" w:eastAsia="宋体" w:cs="Times New Roman"/>
                <w:color w:val="auto"/>
              </w:rPr>
              <w:t>图2-1</w:t>
            </w:r>
            <w:r>
              <w:rPr>
                <w:rFonts w:hint="eastAsia" w:ascii="Times New Roman" w:eastAsia="宋体" w:cs="Times New Roman"/>
                <w:color w:val="auto"/>
              </w:rPr>
              <w:t xml:space="preserve">  </w:t>
            </w:r>
            <w:r>
              <w:rPr>
                <w:rFonts w:ascii="Times New Roman" w:eastAsia="宋体" w:cs="Times New Roman"/>
                <w:color w:val="auto"/>
              </w:rPr>
              <w:t>本项目用排水平衡图（单位</w:t>
            </w:r>
            <w:r>
              <w:rPr>
                <w:rFonts w:hint="eastAsia" w:ascii="Times New Roman" w:eastAsia="宋体" w:cs="Times New Roman"/>
                <w:color w:val="auto"/>
                <w:lang w:val="en-US" w:eastAsia="zh-CN"/>
              </w:rPr>
              <w:t>m</w:t>
            </w:r>
            <w:r>
              <w:rPr>
                <w:rFonts w:hint="eastAsia" w:ascii="Times New Roman" w:eastAsia="宋体" w:cs="Times New Roman"/>
                <w:color w:val="auto"/>
                <w:vertAlign w:val="superscript"/>
                <w:lang w:val="en-US" w:eastAsia="zh-CN"/>
              </w:rPr>
              <w:t>3</w:t>
            </w:r>
            <w:r>
              <w:rPr>
                <w:rFonts w:ascii="Times New Roman" w:eastAsia="宋体" w:cs="Times New Roman"/>
                <w:color w:val="auto"/>
              </w:rPr>
              <w:t>/a）</w:t>
            </w:r>
          </w:p>
          <w:p w14:paraId="413997E2">
            <w:pPr>
              <w:spacing w:line="360" w:lineRule="auto"/>
              <w:rPr>
                <w:rFonts w:hint="eastAsia" w:eastAsia="宋体"/>
                <w:color w:val="auto"/>
                <w:sz w:val="24"/>
                <w:szCs w:val="24"/>
                <w:lang w:eastAsia="zh-CN"/>
              </w:rPr>
            </w:pPr>
            <w:r>
              <w:rPr>
                <w:rFonts w:hint="eastAsia"/>
                <w:color w:val="auto"/>
                <w:sz w:val="24"/>
                <w:szCs w:val="24"/>
                <w:lang w:val="en-US" w:eastAsia="zh-CN"/>
              </w:rPr>
              <w:t>注 ：</w:t>
            </w:r>
            <w:r>
              <w:rPr>
                <w:rFonts w:hint="eastAsia"/>
                <w:color w:val="auto"/>
                <w:sz w:val="24"/>
                <w:szCs w:val="24"/>
              </w:rPr>
              <w:t>项目生产车间地面清洁采用清扫</w:t>
            </w:r>
            <w:r>
              <w:rPr>
                <w:rFonts w:hint="eastAsia"/>
                <w:color w:val="auto"/>
                <w:sz w:val="24"/>
                <w:szCs w:val="24"/>
                <w:lang w:eastAsia="zh-CN"/>
              </w:rPr>
              <w:t>，</w:t>
            </w:r>
            <w:r>
              <w:rPr>
                <w:rFonts w:hint="eastAsia"/>
                <w:color w:val="auto"/>
                <w:sz w:val="24"/>
                <w:szCs w:val="24"/>
              </w:rPr>
              <w:t>不使用水冲洗</w:t>
            </w:r>
            <w:r>
              <w:rPr>
                <w:rFonts w:hint="eastAsia"/>
                <w:color w:val="auto"/>
                <w:sz w:val="24"/>
                <w:szCs w:val="24"/>
                <w:lang w:eastAsia="zh-CN"/>
              </w:rPr>
              <w:t>，</w:t>
            </w:r>
            <w:r>
              <w:rPr>
                <w:rFonts w:hint="eastAsia"/>
                <w:color w:val="auto"/>
                <w:sz w:val="24"/>
                <w:szCs w:val="24"/>
              </w:rPr>
              <w:t>不产生车间地面清洗废水</w:t>
            </w:r>
            <w:r>
              <w:rPr>
                <w:rFonts w:hint="eastAsia"/>
                <w:color w:val="auto"/>
                <w:sz w:val="24"/>
                <w:szCs w:val="24"/>
                <w:lang w:eastAsia="zh-CN"/>
              </w:rPr>
              <w:t>。</w:t>
            </w:r>
          </w:p>
          <w:p w14:paraId="27DE83EE">
            <w:pPr>
              <w:spacing w:line="360" w:lineRule="auto"/>
              <w:ind w:firstLine="480" w:firstLineChars="200"/>
              <w:rPr>
                <w:color w:val="auto"/>
                <w:sz w:val="24"/>
                <w:szCs w:val="24"/>
              </w:rPr>
            </w:pPr>
            <w:r>
              <w:rPr>
                <w:rFonts w:hint="eastAsia"/>
                <w:color w:val="auto"/>
                <w:sz w:val="24"/>
                <w:szCs w:val="24"/>
              </w:rPr>
              <w:t>8</w:t>
            </w:r>
            <w:r>
              <w:rPr>
                <w:color w:val="auto"/>
                <w:sz w:val="24"/>
                <w:szCs w:val="24"/>
              </w:rPr>
              <w:t>、项目周边概况和厂区平面布置情况</w:t>
            </w:r>
          </w:p>
          <w:p w14:paraId="237489DD">
            <w:pPr>
              <w:spacing w:line="360" w:lineRule="auto"/>
              <w:ind w:firstLine="480" w:firstLineChars="200"/>
              <w:rPr>
                <w:color w:val="auto"/>
                <w:sz w:val="24"/>
                <w:szCs w:val="24"/>
              </w:rPr>
            </w:pPr>
            <w:r>
              <w:rPr>
                <w:color w:val="auto"/>
                <w:sz w:val="24"/>
                <w:szCs w:val="24"/>
              </w:rPr>
              <w:t>（1）项目周边概况</w:t>
            </w:r>
          </w:p>
          <w:p w14:paraId="3E36011B">
            <w:pPr>
              <w:spacing w:line="360" w:lineRule="auto"/>
              <w:ind w:firstLine="480" w:firstLineChars="200"/>
              <w:jc w:val="left"/>
              <w:rPr>
                <w:color w:val="auto"/>
                <w:sz w:val="24"/>
                <w:szCs w:val="24"/>
              </w:rPr>
            </w:pPr>
            <w:r>
              <w:rPr>
                <w:rFonts w:hint="eastAsia"/>
                <w:color w:val="auto"/>
                <w:sz w:val="24"/>
                <w:szCs w:val="24"/>
              </w:rPr>
              <w:t>建设项目位于</w:t>
            </w:r>
            <w:r>
              <w:rPr>
                <w:rFonts w:hint="eastAsia"/>
                <w:color w:val="auto"/>
                <w:sz w:val="24"/>
              </w:rPr>
              <w:t>江苏省常州市金坛区直溪镇工业集中区直溪大道16号</w:t>
            </w:r>
            <w:r>
              <w:rPr>
                <w:rFonts w:hint="eastAsia"/>
                <w:color w:val="auto"/>
                <w:sz w:val="24"/>
                <w:szCs w:val="24"/>
              </w:rPr>
              <w:t>，</w:t>
            </w:r>
            <w:r>
              <w:rPr>
                <w:rFonts w:hint="eastAsia"/>
                <w:color w:val="auto"/>
                <w:sz w:val="24"/>
              </w:rPr>
              <w:t>项目</w:t>
            </w:r>
            <w:r>
              <w:rPr>
                <w:color w:val="auto"/>
                <w:sz w:val="24"/>
              </w:rPr>
              <w:t>东侧</w:t>
            </w:r>
            <w:r>
              <w:rPr>
                <w:rFonts w:hint="eastAsia"/>
                <w:color w:val="auto"/>
                <w:sz w:val="24"/>
              </w:rPr>
              <w:t>为直溪大道，项目南侧为江苏长河电子有限公司，项目西侧为空地，项目北</w:t>
            </w:r>
            <w:r>
              <w:rPr>
                <w:color w:val="auto"/>
                <w:sz w:val="24"/>
              </w:rPr>
              <w:t>侧</w:t>
            </w:r>
            <w:r>
              <w:rPr>
                <w:rFonts w:hint="eastAsia"/>
                <w:color w:val="auto"/>
                <w:sz w:val="24"/>
              </w:rPr>
              <w:t>为直东路</w:t>
            </w:r>
            <w:r>
              <w:rPr>
                <w:rFonts w:hint="eastAsia"/>
                <w:bCs/>
                <w:color w:val="auto"/>
                <w:sz w:val="24"/>
              </w:rPr>
              <w:t>。</w:t>
            </w:r>
          </w:p>
          <w:p w14:paraId="57005B05">
            <w:pPr>
              <w:spacing w:line="360" w:lineRule="auto"/>
              <w:ind w:firstLine="480" w:firstLineChars="200"/>
              <w:rPr>
                <w:color w:val="auto"/>
                <w:sz w:val="24"/>
                <w:szCs w:val="24"/>
              </w:rPr>
            </w:pPr>
            <w:r>
              <w:rPr>
                <w:color w:val="auto"/>
                <w:sz w:val="24"/>
                <w:szCs w:val="24"/>
              </w:rPr>
              <w:t>（2）厂区平面布局</w:t>
            </w:r>
          </w:p>
          <w:p w14:paraId="0C236B85">
            <w:pPr>
              <w:spacing w:line="360" w:lineRule="auto"/>
              <w:ind w:firstLine="480" w:firstLineChars="200"/>
              <w:rPr>
                <w:color w:val="auto"/>
              </w:rPr>
            </w:pPr>
            <w:r>
              <w:rPr>
                <w:rFonts w:hint="eastAsia"/>
                <w:color w:val="auto"/>
                <w:sz w:val="24"/>
                <w:szCs w:val="24"/>
              </w:rPr>
              <w:t>建设项目位于</w:t>
            </w:r>
            <w:r>
              <w:rPr>
                <w:rFonts w:hint="eastAsia"/>
                <w:color w:val="auto"/>
                <w:sz w:val="24"/>
              </w:rPr>
              <w:t>江苏省常州市金坛区直溪镇工业集中区直溪大道16号</w:t>
            </w:r>
            <w:r>
              <w:rPr>
                <w:rFonts w:hint="eastAsia"/>
                <w:color w:val="auto"/>
                <w:sz w:val="24"/>
                <w:szCs w:val="24"/>
              </w:rPr>
              <w:t>，车间一1F为成品仓库。2F为办公室、检测区；车间二为5F，1F为成品仓库，2F为半成品装配、刻字、测压区、3F为半成品仓库、4F为半成品装配、充气、测压、刻字、压套、铰孔、总装区等，5F为零件仓库；车间三1F为半成品仓库、成品仓库。2F为测压区、刻字区、压套区、铰孔区、总装区，3F为办公室、半成品装配区、充气区、测压区，4F为零件仓库；车间四1F为机加工区、原材料区、机加工成型区、清洗区；车间五1F为机加工区、原材料区。</w:t>
            </w:r>
          </w:p>
        </w:tc>
      </w:tr>
    </w:tbl>
    <w:p w14:paraId="26E1A867">
      <w:pPr>
        <w:pStyle w:val="11"/>
        <w:numPr>
          <w:ilvl w:val="0"/>
          <w:numId w:val="0"/>
        </w:numPr>
        <w:rPr>
          <w:color w:val="auto"/>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9331"/>
      </w:tblGrid>
      <w:tr w14:paraId="1E47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0" w:hRule="atLeast"/>
          <w:jc w:val="center"/>
        </w:trPr>
        <w:tc>
          <w:tcPr>
            <w:tcW w:w="590" w:type="dxa"/>
          </w:tcPr>
          <w:p w14:paraId="688E3C5C">
            <w:pPr>
              <w:tabs>
                <w:tab w:val="left" w:pos="570"/>
              </w:tabs>
              <w:jc w:val="center"/>
              <w:rPr>
                <w:color w:val="auto"/>
              </w:rPr>
            </w:pPr>
          </w:p>
          <w:p w14:paraId="5DA3A155">
            <w:pPr>
              <w:tabs>
                <w:tab w:val="left" w:pos="570"/>
              </w:tabs>
              <w:jc w:val="center"/>
              <w:rPr>
                <w:color w:val="auto"/>
              </w:rPr>
            </w:pPr>
          </w:p>
          <w:p w14:paraId="5E0885C9">
            <w:pPr>
              <w:tabs>
                <w:tab w:val="left" w:pos="570"/>
              </w:tabs>
              <w:jc w:val="center"/>
              <w:rPr>
                <w:color w:val="auto"/>
              </w:rPr>
            </w:pPr>
          </w:p>
          <w:p w14:paraId="4C48ABCD">
            <w:pPr>
              <w:tabs>
                <w:tab w:val="left" w:pos="570"/>
              </w:tabs>
              <w:jc w:val="center"/>
              <w:rPr>
                <w:color w:val="auto"/>
              </w:rPr>
            </w:pPr>
          </w:p>
          <w:p w14:paraId="3F5CCBF2">
            <w:pPr>
              <w:tabs>
                <w:tab w:val="left" w:pos="570"/>
              </w:tabs>
              <w:jc w:val="center"/>
              <w:rPr>
                <w:color w:val="auto"/>
              </w:rPr>
            </w:pPr>
          </w:p>
          <w:p w14:paraId="52857566">
            <w:pPr>
              <w:tabs>
                <w:tab w:val="left" w:pos="570"/>
              </w:tabs>
              <w:jc w:val="center"/>
              <w:rPr>
                <w:color w:val="auto"/>
              </w:rPr>
            </w:pPr>
          </w:p>
          <w:p w14:paraId="61C50417">
            <w:pPr>
              <w:tabs>
                <w:tab w:val="left" w:pos="570"/>
              </w:tabs>
              <w:jc w:val="center"/>
              <w:rPr>
                <w:color w:val="auto"/>
              </w:rPr>
            </w:pPr>
          </w:p>
          <w:p w14:paraId="5B8F076C">
            <w:pPr>
              <w:tabs>
                <w:tab w:val="left" w:pos="570"/>
              </w:tabs>
              <w:jc w:val="center"/>
              <w:rPr>
                <w:color w:val="auto"/>
              </w:rPr>
            </w:pPr>
          </w:p>
          <w:p w14:paraId="76472D07">
            <w:pPr>
              <w:tabs>
                <w:tab w:val="left" w:pos="570"/>
              </w:tabs>
              <w:jc w:val="center"/>
              <w:rPr>
                <w:color w:val="auto"/>
              </w:rPr>
            </w:pPr>
          </w:p>
          <w:p w14:paraId="377C78F7">
            <w:pPr>
              <w:pStyle w:val="17"/>
              <w:rPr>
                <w:color w:val="auto"/>
              </w:rPr>
            </w:pPr>
          </w:p>
          <w:p w14:paraId="61B3F795">
            <w:pPr>
              <w:rPr>
                <w:color w:val="auto"/>
              </w:rPr>
            </w:pPr>
          </w:p>
          <w:p w14:paraId="0878003B">
            <w:pPr>
              <w:pStyle w:val="17"/>
              <w:rPr>
                <w:color w:val="auto"/>
              </w:rPr>
            </w:pPr>
          </w:p>
          <w:p w14:paraId="32D94671">
            <w:pPr>
              <w:rPr>
                <w:color w:val="auto"/>
              </w:rPr>
            </w:pPr>
          </w:p>
          <w:p w14:paraId="4D10F5F8">
            <w:pPr>
              <w:pStyle w:val="17"/>
              <w:rPr>
                <w:color w:val="auto"/>
              </w:rPr>
            </w:pPr>
          </w:p>
          <w:p w14:paraId="72484A03">
            <w:pPr>
              <w:rPr>
                <w:color w:val="auto"/>
              </w:rPr>
            </w:pPr>
          </w:p>
          <w:p w14:paraId="380D1F41">
            <w:pPr>
              <w:tabs>
                <w:tab w:val="left" w:pos="570"/>
              </w:tabs>
              <w:jc w:val="center"/>
              <w:rPr>
                <w:color w:val="auto"/>
                <w:sz w:val="24"/>
                <w:szCs w:val="24"/>
              </w:rPr>
            </w:pPr>
            <w:r>
              <w:rPr>
                <w:rFonts w:hint="eastAsia"/>
                <w:color w:val="auto"/>
                <w:sz w:val="24"/>
                <w:szCs w:val="24"/>
              </w:rPr>
              <w:t>工</w:t>
            </w:r>
          </w:p>
          <w:p w14:paraId="622A19A9">
            <w:pPr>
              <w:pStyle w:val="17"/>
              <w:rPr>
                <w:color w:val="auto"/>
              </w:rPr>
            </w:pPr>
          </w:p>
          <w:p w14:paraId="16431FA6">
            <w:pPr>
              <w:tabs>
                <w:tab w:val="left" w:pos="570"/>
              </w:tabs>
              <w:jc w:val="center"/>
              <w:rPr>
                <w:color w:val="auto"/>
                <w:sz w:val="24"/>
                <w:szCs w:val="24"/>
              </w:rPr>
            </w:pPr>
            <w:r>
              <w:rPr>
                <w:rFonts w:hint="eastAsia"/>
                <w:color w:val="auto"/>
                <w:sz w:val="24"/>
                <w:szCs w:val="24"/>
              </w:rPr>
              <w:t>艺</w:t>
            </w:r>
          </w:p>
          <w:p w14:paraId="414C8A74">
            <w:pPr>
              <w:pStyle w:val="17"/>
              <w:rPr>
                <w:color w:val="auto"/>
              </w:rPr>
            </w:pPr>
          </w:p>
          <w:p w14:paraId="75213CF7">
            <w:pPr>
              <w:tabs>
                <w:tab w:val="left" w:pos="570"/>
              </w:tabs>
              <w:jc w:val="center"/>
              <w:rPr>
                <w:color w:val="auto"/>
                <w:sz w:val="24"/>
                <w:szCs w:val="24"/>
              </w:rPr>
            </w:pPr>
            <w:r>
              <w:rPr>
                <w:rFonts w:hint="eastAsia"/>
                <w:color w:val="auto"/>
                <w:sz w:val="24"/>
                <w:szCs w:val="24"/>
              </w:rPr>
              <w:t>流</w:t>
            </w:r>
          </w:p>
          <w:p w14:paraId="64D418F6">
            <w:pPr>
              <w:pStyle w:val="17"/>
              <w:rPr>
                <w:color w:val="auto"/>
              </w:rPr>
            </w:pPr>
          </w:p>
          <w:p w14:paraId="7360A7DB">
            <w:pPr>
              <w:tabs>
                <w:tab w:val="left" w:pos="570"/>
              </w:tabs>
              <w:jc w:val="center"/>
              <w:rPr>
                <w:color w:val="auto"/>
                <w:sz w:val="24"/>
                <w:szCs w:val="24"/>
              </w:rPr>
            </w:pPr>
            <w:r>
              <w:rPr>
                <w:rFonts w:hint="eastAsia"/>
                <w:color w:val="auto"/>
                <w:sz w:val="24"/>
                <w:szCs w:val="24"/>
              </w:rPr>
              <w:t>程</w:t>
            </w:r>
          </w:p>
          <w:p w14:paraId="799B551C">
            <w:pPr>
              <w:pStyle w:val="17"/>
              <w:rPr>
                <w:color w:val="auto"/>
              </w:rPr>
            </w:pPr>
          </w:p>
          <w:p w14:paraId="22227644">
            <w:pPr>
              <w:tabs>
                <w:tab w:val="left" w:pos="570"/>
              </w:tabs>
              <w:jc w:val="center"/>
              <w:rPr>
                <w:color w:val="auto"/>
                <w:sz w:val="24"/>
                <w:szCs w:val="24"/>
              </w:rPr>
            </w:pPr>
            <w:r>
              <w:rPr>
                <w:rFonts w:hint="eastAsia"/>
                <w:color w:val="auto"/>
                <w:sz w:val="24"/>
                <w:szCs w:val="24"/>
              </w:rPr>
              <w:t>和</w:t>
            </w:r>
          </w:p>
          <w:p w14:paraId="2582E878">
            <w:pPr>
              <w:pStyle w:val="17"/>
              <w:rPr>
                <w:color w:val="auto"/>
              </w:rPr>
            </w:pPr>
          </w:p>
          <w:p w14:paraId="045401F0">
            <w:pPr>
              <w:tabs>
                <w:tab w:val="left" w:pos="570"/>
              </w:tabs>
              <w:jc w:val="center"/>
              <w:rPr>
                <w:color w:val="auto"/>
                <w:sz w:val="24"/>
                <w:szCs w:val="24"/>
              </w:rPr>
            </w:pPr>
            <w:r>
              <w:rPr>
                <w:rFonts w:hint="eastAsia"/>
                <w:color w:val="auto"/>
                <w:sz w:val="24"/>
                <w:szCs w:val="24"/>
              </w:rPr>
              <w:t>产</w:t>
            </w:r>
          </w:p>
          <w:p w14:paraId="1F9795CD">
            <w:pPr>
              <w:pStyle w:val="17"/>
              <w:rPr>
                <w:color w:val="auto"/>
              </w:rPr>
            </w:pPr>
          </w:p>
          <w:p w14:paraId="01C1412A">
            <w:pPr>
              <w:tabs>
                <w:tab w:val="left" w:pos="570"/>
              </w:tabs>
              <w:jc w:val="center"/>
              <w:rPr>
                <w:color w:val="auto"/>
                <w:sz w:val="24"/>
                <w:szCs w:val="24"/>
              </w:rPr>
            </w:pPr>
            <w:r>
              <w:rPr>
                <w:rFonts w:hint="eastAsia"/>
                <w:color w:val="auto"/>
                <w:sz w:val="24"/>
                <w:szCs w:val="24"/>
              </w:rPr>
              <w:t>排</w:t>
            </w:r>
          </w:p>
          <w:p w14:paraId="7589C58F">
            <w:pPr>
              <w:pStyle w:val="17"/>
              <w:rPr>
                <w:color w:val="auto"/>
              </w:rPr>
            </w:pPr>
          </w:p>
          <w:p w14:paraId="5217D178">
            <w:pPr>
              <w:tabs>
                <w:tab w:val="left" w:pos="570"/>
              </w:tabs>
              <w:jc w:val="center"/>
              <w:rPr>
                <w:color w:val="auto"/>
                <w:sz w:val="24"/>
                <w:szCs w:val="24"/>
              </w:rPr>
            </w:pPr>
            <w:r>
              <w:rPr>
                <w:rFonts w:hint="eastAsia"/>
                <w:color w:val="auto"/>
                <w:sz w:val="24"/>
                <w:szCs w:val="24"/>
              </w:rPr>
              <w:t>污</w:t>
            </w:r>
          </w:p>
          <w:p w14:paraId="794DDE1C">
            <w:pPr>
              <w:pStyle w:val="17"/>
              <w:rPr>
                <w:color w:val="auto"/>
              </w:rPr>
            </w:pPr>
          </w:p>
          <w:p w14:paraId="0CE42171">
            <w:pPr>
              <w:tabs>
                <w:tab w:val="left" w:pos="570"/>
              </w:tabs>
              <w:jc w:val="center"/>
              <w:rPr>
                <w:color w:val="auto"/>
                <w:sz w:val="24"/>
                <w:szCs w:val="24"/>
              </w:rPr>
            </w:pPr>
            <w:r>
              <w:rPr>
                <w:rFonts w:hint="eastAsia"/>
                <w:color w:val="auto"/>
                <w:sz w:val="24"/>
                <w:szCs w:val="24"/>
              </w:rPr>
              <w:t>环</w:t>
            </w:r>
          </w:p>
          <w:p w14:paraId="3A3A1ABC">
            <w:pPr>
              <w:pStyle w:val="17"/>
              <w:rPr>
                <w:color w:val="auto"/>
              </w:rPr>
            </w:pPr>
          </w:p>
          <w:p w14:paraId="221EABB7">
            <w:pPr>
              <w:tabs>
                <w:tab w:val="left" w:pos="570"/>
              </w:tabs>
              <w:jc w:val="center"/>
              <w:rPr>
                <w:color w:val="auto"/>
              </w:rPr>
            </w:pPr>
            <w:r>
              <w:rPr>
                <w:rFonts w:hint="eastAsia"/>
                <w:color w:val="auto"/>
                <w:sz w:val="24"/>
                <w:szCs w:val="24"/>
              </w:rPr>
              <w:t>节</w:t>
            </w:r>
          </w:p>
        </w:tc>
        <w:tc>
          <w:tcPr>
            <w:tcW w:w="9331" w:type="dxa"/>
          </w:tcPr>
          <w:p w14:paraId="5FF621B9">
            <w:pPr>
              <w:spacing w:line="360" w:lineRule="auto"/>
              <w:ind w:firstLine="480" w:firstLineChars="200"/>
              <w:rPr>
                <w:color w:val="auto"/>
                <w:kern w:val="0"/>
                <w:sz w:val="24"/>
                <w:szCs w:val="24"/>
              </w:rPr>
            </w:pPr>
            <w:r>
              <w:rPr>
                <w:rFonts w:hint="eastAsia"/>
                <w:color w:val="auto"/>
                <w:kern w:val="0"/>
                <w:sz w:val="24"/>
                <w:szCs w:val="24"/>
              </w:rPr>
              <w:t>一、施工期工艺流程</w:t>
            </w:r>
          </w:p>
          <w:p w14:paraId="5905051E">
            <w:pPr>
              <w:snapToGrid/>
              <w:spacing w:line="360" w:lineRule="auto"/>
              <w:jc w:val="center"/>
              <w:textAlignment w:val="baseline"/>
              <w:rPr>
                <w:b/>
                <w:bCs/>
                <w:snapToGrid w:val="0"/>
                <w:color w:val="auto"/>
                <w:kern w:val="0"/>
                <w:sz w:val="24"/>
                <w:szCs w:val="24"/>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2931795</wp:posOffset>
                      </wp:positionH>
                      <wp:positionV relativeFrom="paragraph">
                        <wp:posOffset>278130</wp:posOffset>
                      </wp:positionV>
                      <wp:extent cx="1085850" cy="371475"/>
                      <wp:effectExtent l="0" t="0" r="6350" b="9525"/>
                      <wp:wrapNone/>
                      <wp:docPr id="1" name="矩形 1"/>
                      <wp:cNvGraphicFramePr/>
                      <a:graphic xmlns:a="http://schemas.openxmlformats.org/drawingml/2006/main">
                        <a:graphicData uri="http://schemas.microsoft.com/office/word/2010/wordprocessingShape">
                          <wps:wsp>
                            <wps:cNvSpPr/>
                            <wps:spPr>
                              <a:xfrm>
                                <a:off x="0" y="0"/>
                                <a:ext cx="1085850" cy="371475"/>
                              </a:xfrm>
                              <a:prstGeom prst="rect">
                                <a:avLst/>
                              </a:prstGeom>
                              <a:solidFill>
                                <a:srgbClr val="FFFFFF"/>
                              </a:solidFill>
                              <a:ln>
                                <a:noFill/>
                              </a:ln>
                            </wps:spPr>
                            <wps:txbx>
                              <w:txbxContent>
                                <w:p w14:paraId="6672265E"/>
                              </w:txbxContent>
                            </wps:txbx>
                            <wps:bodyPr upright="1"/>
                          </wps:wsp>
                        </a:graphicData>
                      </a:graphic>
                    </wp:anchor>
                  </w:drawing>
                </mc:Choice>
                <mc:Fallback>
                  <w:pict>
                    <v:rect id="_x0000_s1026" o:spid="_x0000_s1026" o:spt="1" style="position:absolute;left:0pt;margin-left:230.85pt;margin-top:21.9pt;height:29.25pt;width:85.5pt;z-index:251662336;mso-width-relative:page;mso-height-relative:page;" fillcolor="#FFFFFF" filled="t" stroked="f" coordsize="21600,21600" o:gfxdata="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rR09jWAAAACgEAAA8AAAAAAAAAAQAgAAAAIgAAAGRycy9kb3ducmV2LnhtbFBLAQIUABQAAAAI&#10;AIdO4kAIoUTqtgEAAGoDAAAOAAAAAAAAAAEAIAAAACUBAABkcnMvZTJvRG9jLnhtbFBLBQYAAAAA&#10;BgAGAFkBAABNBQAAAAA=&#10;">
                      <v:fill on="t" focussize="0,0"/>
                      <v:stroke on="f"/>
                      <v:imagedata o:title=""/>
                      <o:lock v:ext="edit" aspectratio="f"/>
                      <v:textbox>
                        <w:txbxContent>
                          <w:p w14:paraId="6672265E"/>
                        </w:txbxContent>
                      </v:textbox>
                    </v:rect>
                  </w:pict>
                </mc:Fallback>
              </mc:AlternateContent>
            </w:r>
            <w:r>
              <w:rPr>
                <w:color w:val="auto"/>
                <w:kern w:val="0"/>
                <w:sz w:val="24"/>
                <w:szCs w:val="24"/>
              </w:rPr>
              <w:drawing>
                <wp:anchor distT="0" distB="0" distL="114300" distR="114300" simplePos="0" relativeHeight="251661312" behindDoc="0" locked="0" layoutInCell="1" allowOverlap="1">
                  <wp:simplePos x="0" y="0"/>
                  <wp:positionH relativeFrom="column">
                    <wp:posOffset>456565</wp:posOffset>
                  </wp:positionH>
                  <wp:positionV relativeFrom="paragraph">
                    <wp:posOffset>180975</wp:posOffset>
                  </wp:positionV>
                  <wp:extent cx="5041265" cy="2097405"/>
                  <wp:effectExtent l="0" t="0" r="0" b="0"/>
                  <wp:wrapTopAndBottom/>
                  <wp:docPr id="4" name="图片 8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8" descr="图片1"/>
                          <pic:cNvPicPr>
                            <a:picLocks noChangeAspect="1"/>
                          </pic:cNvPicPr>
                        </pic:nvPicPr>
                        <pic:blipFill>
                          <a:blip r:embed="rId12" cstate="print"/>
                          <a:stretch>
                            <a:fillRect/>
                          </a:stretch>
                        </pic:blipFill>
                        <pic:spPr>
                          <a:xfrm>
                            <a:off x="0" y="0"/>
                            <a:ext cx="5041265" cy="2097405"/>
                          </a:xfrm>
                          <a:prstGeom prst="rect">
                            <a:avLst/>
                          </a:prstGeom>
                          <a:noFill/>
                          <a:ln>
                            <a:noFill/>
                          </a:ln>
                        </pic:spPr>
                      </pic:pic>
                    </a:graphicData>
                  </a:graphic>
                </wp:anchor>
              </w:drawing>
            </w:r>
            <w:r>
              <w:rPr>
                <w:rFonts w:hint="eastAsia"/>
                <w:b/>
                <w:bCs/>
                <w:snapToGrid w:val="0"/>
                <w:color w:val="auto"/>
                <w:kern w:val="0"/>
                <w:sz w:val="24"/>
                <w:szCs w:val="24"/>
              </w:rPr>
              <w:t>图2-2  施工期工艺流程</w:t>
            </w:r>
          </w:p>
          <w:p w14:paraId="4E402C30">
            <w:pPr>
              <w:spacing w:line="360" w:lineRule="auto"/>
              <w:ind w:firstLine="482" w:firstLineChars="200"/>
              <w:rPr>
                <w:b/>
                <w:bCs/>
                <w:color w:val="auto"/>
                <w:sz w:val="24"/>
              </w:rPr>
            </w:pPr>
            <w:r>
              <w:rPr>
                <w:rFonts w:hint="eastAsia"/>
                <w:b/>
                <w:bCs/>
                <w:color w:val="auto"/>
                <w:sz w:val="24"/>
              </w:rPr>
              <w:t>（一）</w:t>
            </w:r>
            <w:r>
              <w:rPr>
                <w:b/>
                <w:bCs/>
                <w:color w:val="auto"/>
                <w:sz w:val="24"/>
              </w:rPr>
              <w:t>工艺流程说明：</w:t>
            </w:r>
          </w:p>
          <w:p w14:paraId="3E0D653B">
            <w:pPr>
              <w:spacing w:line="360" w:lineRule="auto"/>
              <w:ind w:firstLine="482" w:firstLineChars="200"/>
              <w:rPr>
                <w:color w:val="auto"/>
                <w:sz w:val="24"/>
              </w:rPr>
            </w:pPr>
            <w:r>
              <w:rPr>
                <w:b/>
                <w:color w:val="auto"/>
                <w:sz w:val="24"/>
              </w:rPr>
              <w:t>基础工程：</w:t>
            </w:r>
            <w:r>
              <w:rPr>
                <w:color w:val="auto"/>
                <w:sz w:val="24"/>
              </w:rPr>
              <w:t>基础工程主要为场地平整、土方开挖等。建筑工人利用挖掘机、推土机等设备施工，基础施工会产生大量的扬尘、建筑垃圾和噪声污染。由于作业时间较短，粉尘和噪声只是对周围局部环境影响，从整个施工期来看，对周围环境影响较小。</w:t>
            </w:r>
          </w:p>
          <w:p w14:paraId="7EC1C392">
            <w:pPr>
              <w:spacing w:line="360" w:lineRule="auto"/>
              <w:ind w:firstLine="482" w:firstLineChars="200"/>
              <w:rPr>
                <w:color w:val="auto"/>
                <w:sz w:val="24"/>
              </w:rPr>
            </w:pPr>
            <w:r>
              <w:rPr>
                <w:b/>
                <w:color w:val="auto"/>
                <w:sz w:val="24"/>
              </w:rPr>
              <w:t>主体工程：</w:t>
            </w:r>
            <w:r>
              <w:rPr>
                <w:color w:val="auto"/>
                <w:sz w:val="24"/>
              </w:rPr>
              <w:t>主体工程主要为钻孔灌注，现浇钢险柱、梁，砖墙砌筑。具体利用钻孔设备进行钻孔后，用钢筋混凝土浇灌。浇灌时注入预先拌制均匀的混凝土，随灌随振，振捣均匀，防止混凝土不实和素浆上浮。然后根据施工图纸，进行钢筋的配料和加工，安装于架好的模板之处，及时连续灌筑混凝土，并捣实使混凝土成型。在砖墙砌筑时，首先进行水泥砂浆的调配，然后再挂线砌筑。该工段工期较长，主要污染物为搅拌机产生的噪声、尾气，搅拌砂浆时的砂浆水，碎砖和废钢等固废。</w:t>
            </w:r>
          </w:p>
          <w:p w14:paraId="22518625">
            <w:pPr>
              <w:spacing w:line="360" w:lineRule="auto"/>
              <w:ind w:firstLine="482" w:firstLineChars="200"/>
              <w:rPr>
                <w:color w:val="auto"/>
                <w:sz w:val="24"/>
              </w:rPr>
            </w:pPr>
            <w:r>
              <w:rPr>
                <w:b/>
                <w:color w:val="auto"/>
                <w:sz w:val="24"/>
              </w:rPr>
              <w:t>装饰工程：</w:t>
            </w:r>
            <w:r>
              <w:rPr>
                <w:color w:val="auto"/>
                <w:sz w:val="24"/>
              </w:rPr>
              <w:t>利用各种加工机械对木材、塑钢等按图进行加工，同时进行屋面制作，然后采用浅色环保型高级涂料和浅灰色仿石涂料喷刷，最后对外露的铁件进行油漆施工，本工段时间较短，且使用的涂料和油漆量较少，有少量的有机废气挥发。为防止减少施工的污染，施工阶段采用砂、石、砖、水泥、商品混凝土、预制构件和新型墙体材料等，其放射性指标限量应符合标准要求，室内用人造木板饰面、人造木板，必须测定游离甲醛含量或游离甲醇释放量达到标准要求。涂料胶粘剂、阻燃剂、防水剂、防腐剂等的总挥发性有机化合物（TVOC）和游离甲醇含量应符合规定的要求。</w:t>
            </w:r>
          </w:p>
          <w:p w14:paraId="2E079223">
            <w:pPr>
              <w:spacing w:line="360" w:lineRule="auto"/>
              <w:ind w:firstLine="480"/>
              <w:rPr>
                <w:color w:val="auto"/>
                <w:sz w:val="24"/>
              </w:rPr>
            </w:pPr>
            <w:r>
              <w:rPr>
                <w:b/>
                <w:color w:val="auto"/>
                <w:sz w:val="24"/>
              </w:rPr>
              <w:t>设备安装：</w:t>
            </w:r>
            <w:r>
              <w:rPr>
                <w:color w:val="auto"/>
                <w:sz w:val="24"/>
              </w:rPr>
              <w:t>本过程主要包括项目区给排水管网铺设、道路建设、消防工程、电气工程、暖通工程、电梯工程、室外工程及绿化等施工，主要污染物是扬尘、施工机械产生的噪声、施工人员生活污水、土方及生活垃圾等。</w:t>
            </w:r>
          </w:p>
          <w:p w14:paraId="54E793F1">
            <w:pPr>
              <w:pStyle w:val="3"/>
              <w:spacing w:line="360" w:lineRule="auto"/>
              <w:ind w:firstLine="480" w:firstLineChars="200"/>
              <w:outlineLvl w:val="2"/>
              <w:rPr>
                <w:color w:val="auto"/>
                <w:sz w:val="24"/>
                <w:szCs w:val="24"/>
              </w:rPr>
            </w:pPr>
            <w:r>
              <w:rPr>
                <w:rFonts w:hint="eastAsia"/>
                <w:color w:val="auto"/>
                <w:sz w:val="24"/>
                <w:szCs w:val="24"/>
              </w:rPr>
              <w:t>二、运营期</w:t>
            </w:r>
            <w:r>
              <w:rPr>
                <w:color w:val="auto"/>
                <w:sz w:val="24"/>
                <w:szCs w:val="24"/>
              </w:rPr>
              <w:t>工艺流程</w:t>
            </w:r>
            <w:r>
              <w:rPr>
                <w:rFonts w:hint="eastAsia"/>
                <w:color w:val="auto"/>
                <w:sz w:val="24"/>
                <w:szCs w:val="24"/>
              </w:rPr>
              <w:t>：</w:t>
            </w:r>
          </w:p>
          <w:p w14:paraId="12E61DD9">
            <w:pPr>
              <w:spacing w:line="360" w:lineRule="auto"/>
              <w:ind w:firstLine="480" w:firstLineChars="200"/>
              <w:jc w:val="left"/>
              <w:rPr>
                <w:color w:val="auto"/>
              </w:rPr>
            </w:pPr>
            <w:r>
              <w:rPr>
                <w:color w:val="auto"/>
                <w:sz w:val="24"/>
              </w:rPr>
              <w:t>1、</w:t>
            </w:r>
            <w:r>
              <w:rPr>
                <w:rFonts w:hint="eastAsia"/>
                <w:color w:val="auto"/>
                <w:sz w:val="24"/>
              </w:rPr>
              <w:t>气弹簧生产</w:t>
            </w:r>
            <w:r>
              <w:rPr>
                <w:color w:val="auto"/>
                <w:sz w:val="24"/>
              </w:rPr>
              <w:t>工艺流程</w:t>
            </w:r>
          </w:p>
          <w:p w14:paraId="45A7A29D">
            <w:pPr>
              <w:spacing w:line="360" w:lineRule="auto"/>
              <w:ind w:firstLine="482" w:firstLineChars="200"/>
              <w:jc w:val="center"/>
              <w:rPr>
                <w:b/>
                <w:bCs/>
                <w:color w:val="auto"/>
                <w:kern w:val="0"/>
                <w:sz w:val="24"/>
                <w:szCs w:val="24"/>
              </w:rPr>
            </w:pPr>
            <w:r>
              <w:rPr>
                <w:b/>
                <w:bCs/>
                <w:color w:val="auto"/>
                <w:kern w:val="0"/>
                <w:sz w:val="24"/>
                <w:szCs w:val="24"/>
              </w:rPr>
              <w:object>
                <v:shape id="_x0000_i1026" o:spt="75" type="#_x0000_t75" style="height:607.7pt;width:305.65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14:paraId="6ED5F3FF">
            <w:pPr>
              <w:spacing w:line="360" w:lineRule="auto"/>
              <w:ind w:firstLine="482" w:firstLineChars="200"/>
              <w:jc w:val="center"/>
              <w:rPr>
                <w:b/>
                <w:bCs/>
                <w:color w:val="auto"/>
                <w:kern w:val="0"/>
                <w:sz w:val="24"/>
                <w:szCs w:val="24"/>
              </w:rPr>
            </w:pPr>
            <w:r>
              <w:rPr>
                <w:rFonts w:hint="eastAsia"/>
                <w:b/>
                <w:bCs/>
                <w:color w:val="auto"/>
                <w:kern w:val="0"/>
                <w:sz w:val="24"/>
                <w:szCs w:val="24"/>
              </w:rPr>
              <w:t>图2-3  气弹簧生产工艺流程图</w:t>
            </w:r>
          </w:p>
          <w:p w14:paraId="725FBB4C">
            <w:pPr>
              <w:adjustRightInd w:val="0"/>
              <w:spacing w:line="360" w:lineRule="auto"/>
              <w:ind w:firstLine="480" w:firstLineChars="200"/>
              <w:rPr>
                <w:color w:val="auto"/>
                <w:sz w:val="24"/>
                <w:szCs w:val="24"/>
              </w:rPr>
            </w:pPr>
            <w:r>
              <w:rPr>
                <w:color w:val="auto"/>
                <w:sz w:val="24"/>
                <w:szCs w:val="24"/>
              </w:rPr>
              <w:t>工艺流程及产污环节说明：</w:t>
            </w:r>
          </w:p>
          <w:p w14:paraId="437CA687">
            <w:pPr>
              <w:adjustRightInd w:val="0"/>
              <w:spacing w:line="360" w:lineRule="auto"/>
              <w:ind w:firstLine="480" w:firstLineChars="200"/>
              <w:rPr>
                <w:color w:val="auto"/>
                <w:sz w:val="24"/>
                <w:szCs w:val="24"/>
              </w:rPr>
            </w:pPr>
            <w:r>
              <w:rPr>
                <w:rFonts w:hint="eastAsia"/>
                <w:color w:val="auto"/>
                <w:sz w:val="24"/>
                <w:szCs w:val="24"/>
              </w:rPr>
              <w:t>下料：外购的钢管进行切割下料，得到所需尺寸。</w:t>
            </w:r>
            <w:r>
              <w:rPr>
                <w:rFonts w:hint="eastAsia"/>
                <w:color w:val="auto"/>
                <w:sz w:val="24"/>
                <w:szCs w:val="24"/>
                <w:lang w:val="en-US" w:eastAsia="zh-CN"/>
              </w:rPr>
              <w:t>采用激光切割，</w:t>
            </w:r>
            <w:r>
              <w:rPr>
                <w:rFonts w:hint="eastAsia"/>
                <w:color w:val="auto"/>
                <w:sz w:val="24"/>
                <w:szCs w:val="24"/>
              </w:rPr>
              <w:t>将激光束照射到工件表面时释放的能量来使工件熔化，以达到切割的目的</w:t>
            </w:r>
            <w:r>
              <w:rPr>
                <w:rFonts w:hint="eastAsia"/>
                <w:color w:val="auto"/>
                <w:sz w:val="24"/>
                <w:szCs w:val="24"/>
                <w:lang w:eastAsia="zh-CN"/>
              </w:rPr>
              <w:t>，</w:t>
            </w:r>
            <w:r>
              <w:rPr>
                <w:rFonts w:hint="eastAsia"/>
                <w:color w:val="auto"/>
                <w:sz w:val="24"/>
                <w:szCs w:val="24"/>
              </w:rPr>
              <w:t>会产生</w:t>
            </w:r>
            <w:r>
              <w:rPr>
                <w:rFonts w:hint="eastAsia"/>
                <w:color w:val="auto"/>
                <w:sz w:val="24"/>
                <w:szCs w:val="24"/>
                <w:lang w:val="en-US" w:eastAsia="zh-CN"/>
              </w:rPr>
              <w:t>少量切割烟尘，不进行定量分析，此过程</w:t>
            </w:r>
            <w:r>
              <w:rPr>
                <w:rFonts w:hint="eastAsia"/>
                <w:color w:val="auto"/>
                <w:sz w:val="24"/>
                <w:szCs w:val="24"/>
              </w:rPr>
              <w:t>金属边角料S1。</w:t>
            </w:r>
          </w:p>
          <w:p w14:paraId="43FCCCE0">
            <w:pPr>
              <w:adjustRightInd w:val="0"/>
              <w:spacing w:line="360" w:lineRule="auto"/>
              <w:ind w:firstLine="480" w:firstLineChars="200"/>
              <w:rPr>
                <w:color w:val="auto"/>
                <w:sz w:val="24"/>
                <w:szCs w:val="24"/>
              </w:rPr>
            </w:pPr>
            <w:r>
              <w:rPr>
                <w:rFonts w:hint="eastAsia"/>
                <w:color w:val="auto"/>
                <w:sz w:val="24"/>
                <w:szCs w:val="24"/>
              </w:rPr>
              <w:t>机加工成型：按照工艺要求，使用倒角机、磨床等设备对钢管进行加工，使其规格满足产品需求。磨床加工过程中采用磨削液（按照1:5的比例进行配水使用），磨削液经设备自带过滤装置过滤后循环使用，定期添加；磨床加工过程基本维持</w:t>
            </w:r>
            <w:r>
              <w:rPr>
                <w:color w:val="auto"/>
                <w:sz w:val="24"/>
                <w:szCs w:val="24"/>
              </w:rPr>
              <w:t>常温</w:t>
            </w:r>
            <w:r>
              <w:rPr>
                <w:rFonts w:hint="eastAsia"/>
                <w:color w:val="auto"/>
                <w:sz w:val="24"/>
                <w:szCs w:val="24"/>
              </w:rPr>
              <w:t>，根据其MSDS，常温状态下磨削液挥发性较小，此过程产生少量油雾因产生量较小，不进行定量分析。此过程会产生</w:t>
            </w:r>
            <w:r>
              <w:rPr>
                <w:rFonts w:hint="eastAsia"/>
                <w:color w:val="auto"/>
                <w:sz w:val="24"/>
                <w:szCs w:val="24"/>
                <w:lang w:val="en-US" w:eastAsia="zh-CN"/>
              </w:rPr>
              <w:t>含油金属边角料与砂轮灰混合物-</w:t>
            </w:r>
            <w:r>
              <w:rPr>
                <w:rFonts w:hint="eastAsia"/>
                <w:color w:val="auto"/>
                <w:sz w:val="24"/>
                <w:szCs w:val="24"/>
                <w:lang w:eastAsia="zh-CN"/>
              </w:rPr>
              <w:t>磨削灰</w:t>
            </w:r>
            <w:r>
              <w:rPr>
                <w:rFonts w:hint="eastAsia"/>
                <w:color w:val="auto"/>
                <w:sz w:val="24"/>
                <w:szCs w:val="24"/>
              </w:rPr>
              <w:t>S2、废油泥S3。</w:t>
            </w:r>
          </w:p>
          <w:p w14:paraId="436B835E">
            <w:pPr>
              <w:pStyle w:val="32"/>
              <w:widowControl w:val="0"/>
              <w:spacing w:line="360" w:lineRule="auto"/>
              <w:ind w:firstLine="480" w:firstLineChars="200"/>
              <w:jc w:val="both"/>
              <w:rPr>
                <w:rFonts w:ascii="Times New Roman" w:eastAsia="宋体" w:cs="Times New Roman"/>
                <w:b w:val="0"/>
                <w:bCs/>
                <w:color w:val="auto"/>
              </w:rPr>
            </w:pPr>
            <w:r>
              <w:rPr>
                <w:rFonts w:hint="eastAsia" w:ascii="Times New Roman" w:eastAsia="宋体" w:cs="Times New Roman"/>
                <w:b w:val="0"/>
                <w:bCs/>
                <w:color w:val="auto"/>
              </w:rPr>
              <w:t>焊接：使用焊丝对半成品工件进行焊接，此过程产生焊接烟尘G1、焊渣S</w:t>
            </w:r>
            <w:r>
              <w:rPr>
                <w:rFonts w:hint="eastAsia" w:ascii="Times New Roman" w:eastAsia="宋体" w:cs="Times New Roman"/>
                <w:b w:val="0"/>
                <w:bCs/>
                <w:color w:val="auto"/>
                <w:lang w:val="en-US" w:eastAsia="zh-CN"/>
              </w:rPr>
              <w:t>4</w:t>
            </w:r>
            <w:r>
              <w:rPr>
                <w:rFonts w:hint="eastAsia" w:ascii="Times New Roman" w:eastAsia="宋体" w:cs="Times New Roman"/>
                <w:b w:val="0"/>
                <w:bCs/>
                <w:color w:val="auto"/>
              </w:rPr>
              <w:t>。</w:t>
            </w:r>
          </w:p>
          <w:p w14:paraId="6625BAFA">
            <w:pPr>
              <w:pStyle w:val="32"/>
              <w:widowControl w:val="0"/>
              <w:spacing w:line="360" w:lineRule="auto"/>
              <w:ind w:firstLine="480" w:firstLineChars="200"/>
              <w:jc w:val="both"/>
              <w:rPr>
                <w:rFonts w:hint="default" w:ascii="Times New Roman" w:eastAsia="宋体" w:cs="Times New Roman"/>
                <w:b w:val="0"/>
                <w:bCs/>
                <w:color w:val="auto"/>
                <w:lang w:val="en-US" w:eastAsia="zh-CN"/>
              </w:rPr>
            </w:pPr>
            <w:r>
              <w:rPr>
                <w:rFonts w:hint="eastAsia" w:ascii="Times New Roman" w:eastAsia="宋体" w:cs="Times New Roman"/>
                <w:b w:val="0"/>
                <w:bCs/>
                <w:color w:val="auto"/>
                <w:lang w:val="en-US" w:eastAsia="zh-CN"/>
              </w:rPr>
              <w:t>根据甲方要求部分产品需进行喷塑处理或电泳处理以满足美观、防腐等要求，因工艺较为复杂，企业已与常州博灵汽车零部件有限公司（喷塑）、常州市金坛雄风五金装饰厂（电泳）签订委外加工合同</w:t>
            </w:r>
            <w:r>
              <w:rPr>
                <w:rFonts w:hint="eastAsia" w:ascii="Times New Roman" w:eastAsia="宋体" w:cs="Times New Roman"/>
                <w:b w:val="0"/>
                <w:bCs/>
                <w:color w:val="auto"/>
              </w:rPr>
              <w:t>。</w:t>
            </w:r>
            <w:r>
              <w:rPr>
                <w:rFonts w:hint="eastAsia" w:ascii="Times New Roman" w:eastAsia="宋体" w:cs="Times New Roman"/>
                <w:b w:val="0"/>
                <w:bCs/>
                <w:color w:val="auto"/>
                <w:lang w:val="en-US" w:eastAsia="zh-CN"/>
              </w:rPr>
              <w:t>剩余部分无需加工半成品经清洗工序后与委外加工半成品一同进入下道工序，</w:t>
            </w:r>
          </w:p>
          <w:p w14:paraId="010C4206">
            <w:pPr>
              <w:pStyle w:val="32"/>
              <w:widowControl w:val="0"/>
              <w:spacing w:line="360" w:lineRule="auto"/>
              <w:ind w:firstLine="480" w:firstLineChars="200"/>
              <w:jc w:val="both"/>
              <w:rPr>
                <w:rFonts w:ascii="Times New Roman" w:eastAsia="宋体" w:cs="Times New Roman"/>
                <w:color w:val="auto"/>
              </w:rPr>
            </w:pPr>
            <w:r>
              <w:rPr>
                <w:rFonts w:hint="eastAsia" w:ascii="Times New Roman" w:eastAsia="宋体" w:cs="Times New Roman"/>
                <w:b w:val="0"/>
                <w:bCs/>
                <w:color w:val="auto"/>
              </w:rPr>
              <w:t>清洗：将部分半成品利用洗管机进行清洗，清洗过程添加白油作为清洗剂，洗管机自带干燥功能，采用电加热，温度控制在40℃，此过程产生清洗废气G2、清洗废液S</w:t>
            </w:r>
            <w:r>
              <w:rPr>
                <w:rFonts w:hint="eastAsia" w:ascii="Times New Roman" w:eastAsia="宋体" w:cs="Times New Roman"/>
                <w:b w:val="0"/>
                <w:bCs/>
                <w:color w:val="auto"/>
                <w:lang w:val="en-US" w:eastAsia="zh-CN"/>
              </w:rPr>
              <w:t>5</w:t>
            </w:r>
            <w:r>
              <w:rPr>
                <w:rFonts w:hint="eastAsia" w:ascii="Times New Roman" w:eastAsia="宋体" w:cs="Times New Roman"/>
                <w:b w:val="0"/>
                <w:bCs/>
                <w:color w:val="auto"/>
              </w:rPr>
              <w:t>。</w:t>
            </w:r>
          </w:p>
          <w:p w14:paraId="0B094678">
            <w:pPr>
              <w:pStyle w:val="32"/>
              <w:widowControl w:val="0"/>
              <w:spacing w:line="360" w:lineRule="auto"/>
              <w:ind w:firstLine="480" w:firstLineChars="200"/>
              <w:jc w:val="both"/>
              <w:rPr>
                <w:rFonts w:cs="Times New Roman"/>
                <w:color w:val="auto"/>
              </w:rPr>
            </w:pPr>
            <w:r>
              <w:rPr>
                <w:rFonts w:hint="eastAsia" w:ascii="Times New Roman" w:eastAsia="宋体" w:cs="Times New Roman"/>
                <w:b w:val="0"/>
                <w:bCs/>
                <w:color w:val="auto"/>
              </w:rPr>
              <w:t>半成品装配：按照工艺要求，将密封件、活塞杆与加工好的工件进行装配，装配完成后将半成品加入液压油，此过程无污染产生。</w:t>
            </w:r>
          </w:p>
          <w:p w14:paraId="77244621">
            <w:pPr>
              <w:pStyle w:val="32"/>
              <w:widowControl w:val="0"/>
              <w:spacing w:line="360" w:lineRule="auto"/>
              <w:ind w:firstLine="480" w:firstLineChars="200"/>
              <w:jc w:val="both"/>
              <w:rPr>
                <w:rFonts w:ascii="Times New Roman" w:eastAsia="宋体" w:cs="Times New Roman"/>
                <w:b w:val="0"/>
                <w:bCs/>
                <w:color w:val="auto"/>
              </w:rPr>
            </w:pPr>
            <w:r>
              <w:rPr>
                <w:rFonts w:hint="eastAsia" w:ascii="Times New Roman" w:eastAsia="宋体" w:cs="Times New Roman"/>
                <w:b w:val="0"/>
                <w:bCs/>
                <w:color w:val="auto"/>
              </w:rPr>
              <w:t>充气、测压：按照工艺要求，使用控阀机向工件腔体内充入适量的氮气，并利用压力测试机进行压力测试，确保不漏气，此过程无污染产生。</w:t>
            </w:r>
          </w:p>
          <w:p w14:paraId="3A5EB6B5">
            <w:pPr>
              <w:pStyle w:val="32"/>
              <w:widowControl w:val="0"/>
              <w:spacing w:line="360" w:lineRule="auto"/>
              <w:ind w:firstLine="480" w:firstLineChars="200"/>
              <w:jc w:val="both"/>
              <w:rPr>
                <w:rFonts w:ascii="Times New Roman" w:eastAsia="宋体" w:cs="Times New Roman"/>
                <w:b w:val="0"/>
                <w:bCs/>
                <w:color w:val="auto"/>
              </w:rPr>
            </w:pPr>
            <w:r>
              <w:rPr>
                <w:rFonts w:hint="eastAsia" w:ascii="Times New Roman" w:eastAsia="宋体" w:cs="Times New Roman"/>
                <w:b w:val="0"/>
                <w:bCs/>
                <w:color w:val="auto"/>
              </w:rPr>
              <w:t>刻字：采用刻字机对半成品进行刻字，</w:t>
            </w:r>
            <w:r>
              <w:rPr>
                <w:rFonts w:hint="eastAsia" w:ascii="Times New Roman" w:eastAsia="宋体" w:cs="Times New Roman"/>
                <w:b w:val="0"/>
                <w:bCs/>
                <w:color w:val="auto"/>
                <w:lang w:val="en-US" w:eastAsia="zh-CN"/>
              </w:rPr>
              <w:t>刻字过程产生少量烟尘，不进行定量分析。</w:t>
            </w:r>
            <w:r>
              <w:rPr>
                <w:rFonts w:hint="eastAsia" w:ascii="Times New Roman" w:eastAsia="宋体" w:cs="Times New Roman"/>
                <w:b w:val="0"/>
                <w:bCs/>
                <w:color w:val="auto"/>
              </w:rPr>
              <w:t>此过程产生少量金属边角料S</w:t>
            </w:r>
            <w:r>
              <w:rPr>
                <w:rFonts w:hint="eastAsia" w:ascii="Times New Roman" w:eastAsia="宋体" w:cs="Times New Roman"/>
                <w:b w:val="0"/>
                <w:bCs/>
                <w:color w:val="auto"/>
                <w:lang w:val="en-US" w:eastAsia="zh-CN"/>
              </w:rPr>
              <w:t>6</w:t>
            </w:r>
            <w:r>
              <w:rPr>
                <w:rFonts w:hint="eastAsia" w:ascii="Times New Roman" w:eastAsia="宋体" w:cs="Times New Roman"/>
                <w:b w:val="0"/>
                <w:bCs/>
                <w:color w:val="auto"/>
              </w:rPr>
              <w:t>。</w:t>
            </w:r>
          </w:p>
          <w:p w14:paraId="2A994173">
            <w:pPr>
              <w:pStyle w:val="32"/>
              <w:widowControl w:val="0"/>
              <w:spacing w:line="360" w:lineRule="auto"/>
              <w:ind w:firstLine="480" w:firstLineChars="200"/>
              <w:jc w:val="both"/>
              <w:rPr>
                <w:rFonts w:ascii="Times New Roman" w:eastAsia="宋体" w:cs="Times New Roman"/>
                <w:b w:val="0"/>
                <w:bCs/>
                <w:color w:val="auto"/>
              </w:rPr>
            </w:pPr>
            <w:r>
              <w:rPr>
                <w:rFonts w:hint="eastAsia" w:ascii="Times New Roman" w:eastAsia="宋体" w:cs="Times New Roman"/>
                <w:b w:val="0"/>
                <w:bCs/>
                <w:color w:val="auto"/>
              </w:rPr>
              <w:t>压套：将塑料件与半成品进行压套，</w:t>
            </w:r>
            <w:r>
              <w:rPr>
                <w:rFonts w:hint="eastAsia" w:ascii="Times New Roman" w:eastAsia="宋体" w:cs="Times New Roman"/>
                <w:b w:val="0"/>
                <w:bCs/>
                <w:color w:val="auto"/>
                <w:lang w:val="en-US" w:eastAsia="zh-CN"/>
              </w:rPr>
              <w:t>压套工艺温度控制在40℃，此过程</w:t>
            </w:r>
            <w:r>
              <w:rPr>
                <w:rFonts w:hint="eastAsia" w:ascii="Times New Roman" w:eastAsia="宋体" w:cs="Times New Roman"/>
                <w:b w:val="0"/>
                <w:bCs/>
                <w:color w:val="auto"/>
              </w:rPr>
              <w:t>产生少量压套废气（以非甲烷总烃计），产生量较少不进行定量分析。</w:t>
            </w:r>
          </w:p>
          <w:p w14:paraId="64D221B0">
            <w:pPr>
              <w:pStyle w:val="32"/>
              <w:widowControl w:val="0"/>
              <w:spacing w:line="360" w:lineRule="auto"/>
              <w:ind w:firstLine="480" w:firstLineChars="200"/>
              <w:jc w:val="both"/>
              <w:rPr>
                <w:rFonts w:ascii="Times New Roman" w:eastAsia="宋体" w:cs="Times New Roman"/>
                <w:b w:val="0"/>
                <w:bCs/>
                <w:color w:val="auto"/>
              </w:rPr>
            </w:pPr>
            <w:r>
              <w:rPr>
                <w:rFonts w:hint="eastAsia" w:ascii="Times New Roman" w:eastAsia="宋体" w:cs="Times New Roman"/>
                <w:b w:val="0"/>
                <w:bCs/>
                <w:color w:val="auto"/>
              </w:rPr>
              <w:t>铰孔：利用铰孔机对工件进行铰孔，此过程产生金属边角料S</w:t>
            </w:r>
            <w:r>
              <w:rPr>
                <w:rFonts w:hint="eastAsia" w:ascii="Times New Roman" w:eastAsia="宋体" w:cs="Times New Roman"/>
                <w:b w:val="0"/>
                <w:bCs/>
                <w:color w:val="auto"/>
                <w:lang w:val="en-US" w:eastAsia="zh-CN"/>
              </w:rPr>
              <w:t>7</w:t>
            </w:r>
            <w:r>
              <w:rPr>
                <w:rFonts w:hint="eastAsia" w:ascii="Times New Roman" w:eastAsia="宋体" w:cs="Times New Roman"/>
                <w:b w:val="0"/>
                <w:bCs/>
                <w:color w:val="auto"/>
              </w:rPr>
              <w:t>。</w:t>
            </w:r>
          </w:p>
          <w:p w14:paraId="50884A9C">
            <w:pPr>
              <w:pStyle w:val="32"/>
              <w:widowControl w:val="0"/>
              <w:spacing w:line="360" w:lineRule="auto"/>
              <w:ind w:firstLine="480" w:firstLineChars="200"/>
              <w:jc w:val="both"/>
              <w:rPr>
                <w:rFonts w:ascii="Times New Roman" w:eastAsia="宋体" w:cs="Times New Roman"/>
                <w:b w:val="0"/>
                <w:bCs/>
                <w:color w:val="auto"/>
              </w:rPr>
            </w:pPr>
            <w:r>
              <w:rPr>
                <w:rFonts w:hint="eastAsia" w:ascii="Times New Roman" w:eastAsia="宋体" w:cs="Times New Roman"/>
                <w:b w:val="0"/>
                <w:bCs/>
                <w:color w:val="auto"/>
              </w:rPr>
              <w:t>总装：将塑料件按照工艺要求与工件进行组装，此过程无污染产生。</w:t>
            </w:r>
          </w:p>
          <w:p w14:paraId="1B005E4E">
            <w:pPr>
              <w:pStyle w:val="32"/>
              <w:widowControl w:val="0"/>
              <w:spacing w:line="360" w:lineRule="auto"/>
              <w:ind w:firstLine="480" w:firstLineChars="200"/>
              <w:jc w:val="both"/>
              <w:rPr>
                <w:color w:val="auto"/>
              </w:rPr>
            </w:pPr>
            <w:r>
              <w:rPr>
                <w:rFonts w:hint="eastAsia" w:ascii="Times New Roman" w:eastAsia="宋体" w:cs="Times New Roman"/>
                <w:b w:val="0"/>
                <w:bCs/>
                <w:color w:val="auto"/>
              </w:rPr>
              <w:t>检测：利用检测设备对成品进行耐久性、耐腐蚀、振动冲击等检测，此过程产生不合格品S</w:t>
            </w:r>
            <w:r>
              <w:rPr>
                <w:rFonts w:hint="eastAsia" w:ascii="Times New Roman" w:eastAsia="宋体" w:cs="Times New Roman"/>
                <w:b w:val="0"/>
                <w:bCs/>
                <w:color w:val="auto"/>
                <w:lang w:val="en-US" w:eastAsia="zh-CN"/>
              </w:rPr>
              <w:t>8，此过程无废水、废气产生</w:t>
            </w:r>
            <w:r>
              <w:rPr>
                <w:rFonts w:hint="eastAsia" w:ascii="Times New Roman" w:eastAsia="宋体" w:cs="Times New Roman"/>
                <w:b w:val="0"/>
                <w:bCs/>
                <w:color w:val="auto"/>
              </w:rPr>
              <w:t>。</w:t>
            </w:r>
          </w:p>
          <w:p w14:paraId="3BA33CF4">
            <w:pPr>
              <w:spacing w:line="360" w:lineRule="auto"/>
              <w:ind w:firstLine="480" w:firstLineChars="200"/>
              <w:rPr>
                <w:color w:val="auto"/>
                <w:sz w:val="24"/>
                <w:szCs w:val="24"/>
              </w:rPr>
            </w:pPr>
            <w:r>
              <w:rPr>
                <w:rFonts w:hint="eastAsia"/>
                <w:color w:val="auto"/>
                <w:sz w:val="24"/>
                <w:szCs w:val="24"/>
              </w:rPr>
              <w:t>二、产污情况分析：</w:t>
            </w:r>
          </w:p>
          <w:p w14:paraId="579FC50D">
            <w:pPr>
              <w:pStyle w:val="11"/>
              <w:numPr>
                <w:ilvl w:val="0"/>
                <w:numId w:val="0"/>
              </w:numPr>
              <w:spacing w:line="360" w:lineRule="auto"/>
              <w:ind w:firstLine="480" w:firstLineChars="200"/>
              <w:rPr>
                <w:rFonts w:hint="eastAsia"/>
                <w:color w:val="auto"/>
                <w:sz w:val="24"/>
                <w:szCs w:val="24"/>
              </w:rPr>
            </w:pPr>
            <w:r>
              <w:rPr>
                <w:rFonts w:hint="eastAsia"/>
                <w:color w:val="auto"/>
                <w:sz w:val="24"/>
                <w:szCs w:val="24"/>
              </w:rPr>
              <w:t>本项目在生产过程中会产生焊接烟尘</w:t>
            </w:r>
            <w:r>
              <w:rPr>
                <w:color w:val="auto"/>
                <w:sz w:val="24"/>
                <w:szCs w:val="24"/>
                <w:lang w:val="zh-CN"/>
              </w:rPr>
              <w:t>（</w:t>
            </w:r>
            <w:r>
              <w:rPr>
                <w:color w:val="auto"/>
                <w:sz w:val="24"/>
                <w:szCs w:val="24"/>
              </w:rPr>
              <w:t>G</w:t>
            </w:r>
            <w:r>
              <w:rPr>
                <w:rFonts w:hint="eastAsia"/>
                <w:color w:val="auto"/>
                <w:sz w:val="24"/>
                <w:szCs w:val="24"/>
              </w:rPr>
              <w:t>1</w:t>
            </w:r>
            <w:r>
              <w:rPr>
                <w:color w:val="auto"/>
                <w:sz w:val="24"/>
                <w:szCs w:val="24"/>
              </w:rPr>
              <w:t>）</w:t>
            </w:r>
            <w:r>
              <w:rPr>
                <w:rFonts w:hint="eastAsia"/>
                <w:color w:val="auto"/>
                <w:sz w:val="24"/>
                <w:szCs w:val="24"/>
              </w:rPr>
              <w:t>、清洗废气</w:t>
            </w:r>
            <w:r>
              <w:rPr>
                <w:color w:val="auto"/>
                <w:sz w:val="24"/>
                <w:szCs w:val="24"/>
                <w:lang w:val="zh-CN"/>
              </w:rPr>
              <w:t>（</w:t>
            </w:r>
            <w:r>
              <w:rPr>
                <w:color w:val="auto"/>
                <w:sz w:val="24"/>
                <w:szCs w:val="24"/>
              </w:rPr>
              <w:t>G</w:t>
            </w:r>
            <w:r>
              <w:rPr>
                <w:rFonts w:hint="eastAsia"/>
                <w:color w:val="auto"/>
                <w:sz w:val="24"/>
                <w:szCs w:val="24"/>
              </w:rPr>
              <w:t>2</w:t>
            </w:r>
            <w:r>
              <w:rPr>
                <w:color w:val="auto"/>
                <w:sz w:val="24"/>
                <w:szCs w:val="24"/>
              </w:rPr>
              <w:t>）</w:t>
            </w:r>
            <w:r>
              <w:rPr>
                <w:rFonts w:hint="eastAsia"/>
                <w:color w:val="auto"/>
                <w:sz w:val="24"/>
                <w:szCs w:val="24"/>
              </w:rPr>
              <w:t>、焊渣</w:t>
            </w:r>
            <w:r>
              <w:rPr>
                <w:color w:val="auto"/>
                <w:sz w:val="24"/>
                <w:szCs w:val="24"/>
                <w:lang w:val="zh-CN"/>
              </w:rPr>
              <w:t>（</w:t>
            </w:r>
            <w:r>
              <w:rPr>
                <w:rFonts w:hint="eastAsia"/>
                <w:color w:val="auto"/>
                <w:sz w:val="24"/>
                <w:szCs w:val="24"/>
              </w:rPr>
              <w:t>S</w:t>
            </w:r>
            <w:r>
              <w:rPr>
                <w:rFonts w:hint="eastAsia"/>
                <w:color w:val="auto"/>
                <w:sz w:val="24"/>
                <w:szCs w:val="24"/>
                <w:lang w:val="en-US" w:eastAsia="zh-CN"/>
              </w:rPr>
              <w:t>4</w:t>
            </w:r>
            <w:r>
              <w:rPr>
                <w:color w:val="auto"/>
                <w:sz w:val="24"/>
                <w:szCs w:val="24"/>
                <w:lang w:val="zh-CN"/>
              </w:rPr>
              <w:t>）</w:t>
            </w:r>
            <w:r>
              <w:rPr>
                <w:rFonts w:hint="eastAsia"/>
                <w:color w:val="auto"/>
                <w:sz w:val="24"/>
                <w:szCs w:val="24"/>
                <w:lang w:val="zh-CN"/>
              </w:rPr>
              <w:t>、</w:t>
            </w:r>
            <w:r>
              <w:rPr>
                <w:rFonts w:hint="eastAsia"/>
                <w:color w:val="auto"/>
                <w:sz w:val="24"/>
                <w:szCs w:val="24"/>
              </w:rPr>
              <w:t>金属边角料（S1、S</w:t>
            </w:r>
            <w:r>
              <w:rPr>
                <w:rFonts w:hint="eastAsia"/>
                <w:color w:val="auto"/>
                <w:sz w:val="24"/>
                <w:szCs w:val="24"/>
                <w:lang w:val="en-US" w:eastAsia="zh-CN"/>
              </w:rPr>
              <w:t>6</w:t>
            </w:r>
            <w:r>
              <w:rPr>
                <w:rFonts w:hint="eastAsia"/>
                <w:color w:val="auto"/>
                <w:sz w:val="24"/>
                <w:szCs w:val="24"/>
              </w:rPr>
              <w:t>、S</w:t>
            </w:r>
            <w:r>
              <w:rPr>
                <w:rFonts w:hint="eastAsia"/>
                <w:color w:val="auto"/>
                <w:sz w:val="24"/>
                <w:szCs w:val="24"/>
                <w:lang w:val="en-US" w:eastAsia="zh-CN"/>
              </w:rPr>
              <w:t>7</w:t>
            </w:r>
            <w:r>
              <w:rPr>
                <w:rFonts w:hint="eastAsia"/>
                <w:color w:val="auto"/>
                <w:sz w:val="24"/>
                <w:szCs w:val="24"/>
              </w:rPr>
              <w:t>）、</w:t>
            </w:r>
            <w:r>
              <w:rPr>
                <w:rFonts w:hint="eastAsia"/>
                <w:color w:val="auto"/>
                <w:sz w:val="24"/>
                <w:szCs w:val="24"/>
                <w:lang w:eastAsia="zh-CN"/>
              </w:rPr>
              <w:t>磨削灰</w:t>
            </w:r>
            <w:r>
              <w:rPr>
                <w:rFonts w:hint="eastAsia"/>
                <w:color w:val="auto"/>
                <w:sz w:val="24"/>
                <w:szCs w:val="24"/>
              </w:rPr>
              <w:t>（S2）、废油泥（S3）、不合格品（S</w:t>
            </w:r>
            <w:r>
              <w:rPr>
                <w:rFonts w:hint="eastAsia"/>
                <w:color w:val="auto"/>
                <w:sz w:val="24"/>
                <w:szCs w:val="24"/>
                <w:lang w:val="en-US" w:eastAsia="zh-CN"/>
              </w:rPr>
              <w:t>8</w:t>
            </w:r>
            <w:r>
              <w:rPr>
                <w:rFonts w:hint="eastAsia"/>
                <w:color w:val="auto"/>
                <w:sz w:val="24"/>
                <w:szCs w:val="24"/>
              </w:rPr>
              <w:t>）、清洗废液（S</w:t>
            </w:r>
            <w:r>
              <w:rPr>
                <w:rFonts w:hint="eastAsia"/>
                <w:color w:val="auto"/>
                <w:sz w:val="24"/>
                <w:szCs w:val="24"/>
                <w:lang w:val="en-US" w:eastAsia="zh-CN"/>
              </w:rPr>
              <w:t>5</w:t>
            </w:r>
            <w:r>
              <w:rPr>
                <w:rFonts w:hint="eastAsia"/>
                <w:color w:val="auto"/>
                <w:sz w:val="24"/>
                <w:szCs w:val="24"/>
              </w:rPr>
              <w:t>）；废气处理过程中会产生废活性炭、废滤芯；原料包装产生废包装桶</w:t>
            </w:r>
            <w:r>
              <w:rPr>
                <w:rFonts w:hint="eastAsia"/>
                <w:color w:val="auto"/>
                <w:sz w:val="24"/>
                <w:szCs w:val="24"/>
                <w:lang w:eastAsia="zh-CN"/>
              </w:rPr>
              <w:t>、</w:t>
            </w:r>
            <w:r>
              <w:rPr>
                <w:rFonts w:hint="eastAsia"/>
                <w:color w:val="auto"/>
                <w:sz w:val="24"/>
                <w:szCs w:val="24"/>
                <w:lang w:val="en-US" w:eastAsia="zh-CN"/>
              </w:rPr>
              <w:t>废包装袋</w:t>
            </w:r>
            <w:r>
              <w:rPr>
                <w:rFonts w:hint="eastAsia"/>
                <w:color w:val="auto"/>
                <w:sz w:val="24"/>
                <w:szCs w:val="24"/>
              </w:rPr>
              <w:t>；食堂产生厨房油烟及食堂废水</w:t>
            </w:r>
            <w:r>
              <w:rPr>
                <w:rFonts w:hint="eastAsia"/>
                <w:color w:val="auto"/>
                <w:sz w:val="24"/>
                <w:szCs w:val="24"/>
                <w:lang w:eastAsia="zh-CN"/>
              </w:rPr>
              <w:t>；</w:t>
            </w:r>
            <w:r>
              <w:rPr>
                <w:rFonts w:hint="eastAsia"/>
                <w:color w:val="auto"/>
                <w:sz w:val="24"/>
                <w:szCs w:val="24"/>
                <w:lang w:val="en-US" w:eastAsia="zh-CN"/>
              </w:rPr>
              <w:t>设备维护产生废机油</w:t>
            </w:r>
            <w:r>
              <w:rPr>
                <w:rFonts w:hint="eastAsia"/>
                <w:color w:val="auto"/>
                <w:sz w:val="24"/>
                <w:szCs w:val="24"/>
              </w:rPr>
              <w:t>。</w:t>
            </w:r>
          </w:p>
          <w:p w14:paraId="5ECC1261">
            <w:pPr>
              <w:spacing w:line="360" w:lineRule="auto"/>
              <w:ind w:firstLine="720" w:firstLineChars="300"/>
              <w:rPr>
                <w:color w:val="auto"/>
                <w:sz w:val="24"/>
                <w:szCs w:val="24"/>
              </w:rPr>
            </w:pPr>
            <w:r>
              <w:rPr>
                <w:rFonts w:hint="eastAsia"/>
                <w:color w:val="auto"/>
                <w:sz w:val="24"/>
                <w:szCs w:val="24"/>
              </w:rPr>
              <w:t>三、主要污染工序汇总</w:t>
            </w:r>
          </w:p>
          <w:p w14:paraId="2E386A3D">
            <w:pPr>
              <w:spacing w:line="360" w:lineRule="auto"/>
              <w:ind w:firstLine="482" w:firstLineChars="200"/>
              <w:jc w:val="center"/>
              <w:rPr>
                <w:b/>
                <w:bCs/>
                <w:color w:val="auto"/>
                <w:sz w:val="24"/>
                <w:szCs w:val="24"/>
              </w:rPr>
            </w:pPr>
            <w:r>
              <w:rPr>
                <w:rFonts w:hint="eastAsia"/>
                <w:b/>
                <w:bCs/>
                <w:color w:val="auto"/>
                <w:sz w:val="24"/>
                <w:szCs w:val="24"/>
              </w:rPr>
              <w:t>表2-</w:t>
            </w:r>
            <w:r>
              <w:rPr>
                <w:b/>
                <w:bCs/>
                <w:color w:val="auto"/>
                <w:sz w:val="24"/>
                <w:szCs w:val="24"/>
              </w:rPr>
              <w:t>6</w:t>
            </w:r>
            <w:r>
              <w:rPr>
                <w:rFonts w:hint="eastAsia"/>
                <w:b/>
                <w:bCs/>
                <w:color w:val="auto"/>
                <w:sz w:val="24"/>
                <w:szCs w:val="24"/>
              </w:rPr>
              <w:t xml:space="preserve">  项目主要污染工序及污染物对照表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36"/>
              <w:gridCol w:w="1239"/>
              <w:gridCol w:w="1160"/>
              <w:gridCol w:w="1526"/>
              <w:gridCol w:w="1398"/>
              <w:gridCol w:w="1739"/>
            </w:tblGrid>
            <w:tr w14:paraId="553E6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13DEC571">
                  <w:pPr>
                    <w:jc w:val="center"/>
                    <w:rPr>
                      <w:b/>
                      <w:bCs/>
                      <w:color w:val="auto"/>
                    </w:rPr>
                  </w:pPr>
                  <w:r>
                    <w:rPr>
                      <w:rFonts w:hint="eastAsia"/>
                      <w:b/>
                      <w:bCs/>
                      <w:color w:val="auto"/>
                    </w:rPr>
                    <w:t>类别</w:t>
                  </w:r>
                </w:p>
              </w:tc>
              <w:tc>
                <w:tcPr>
                  <w:tcW w:w="936" w:type="dxa"/>
                  <w:vAlign w:val="center"/>
                </w:tcPr>
                <w:p w14:paraId="486B1805">
                  <w:pPr>
                    <w:jc w:val="center"/>
                    <w:rPr>
                      <w:b/>
                      <w:bCs/>
                      <w:color w:val="auto"/>
                    </w:rPr>
                  </w:pPr>
                  <w:r>
                    <w:rPr>
                      <w:rFonts w:hint="eastAsia"/>
                      <w:b/>
                      <w:bCs/>
                      <w:color w:val="auto"/>
                    </w:rPr>
                    <w:t>污染物编号</w:t>
                  </w:r>
                </w:p>
              </w:tc>
              <w:tc>
                <w:tcPr>
                  <w:tcW w:w="1239" w:type="dxa"/>
                  <w:vAlign w:val="center"/>
                </w:tcPr>
                <w:p w14:paraId="46BBDA4B">
                  <w:pPr>
                    <w:jc w:val="center"/>
                    <w:rPr>
                      <w:b/>
                      <w:bCs/>
                      <w:color w:val="auto"/>
                    </w:rPr>
                  </w:pPr>
                  <w:r>
                    <w:rPr>
                      <w:rFonts w:hint="eastAsia"/>
                      <w:b/>
                      <w:bCs/>
                      <w:color w:val="auto"/>
                    </w:rPr>
                    <w:t>产生工序</w:t>
                  </w:r>
                </w:p>
              </w:tc>
              <w:tc>
                <w:tcPr>
                  <w:tcW w:w="1160" w:type="dxa"/>
                  <w:vAlign w:val="center"/>
                </w:tcPr>
                <w:p w14:paraId="5F55628C">
                  <w:pPr>
                    <w:jc w:val="center"/>
                    <w:rPr>
                      <w:b/>
                      <w:bCs/>
                      <w:color w:val="auto"/>
                    </w:rPr>
                  </w:pPr>
                  <w:r>
                    <w:rPr>
                      <w:rFonts w:hint="eastAsia"/>
                      <w:b/>
                      <w:bCs/>
                      <w:color w:val="auto"/>
                    </w:rPr>
                    <w:t>性质</w:t>
                  </w:r>
                </w:p>
              </w:tc>
              <w:tc>
                <w:tcPr>
                  <w:tcW w:w="1526" w:type="dxa"/>
                  <w:vAlign w:val="center"/>
                </w:tcPr>
                <w:p w14:paraId="642F0DEE">
                  <w:pPr>
                    <w:jc w:val="center"/>
                    <w:rPr>
                      <w:b/>
                      <w:bCs/>
                      <w:color w:val="auto"/>
                    </w:rPr>
                  </w:pPr>
                  <w:r>
                    <w:rPr>
                      <w:rFonts w:hint="eastAsia"/>
                      <w:b/>
                      <w:bCs/>
                      <w:color w:val="auto"/>
                    </w:rPr>
                    <w:t>污染物</w:t>
                  </w:r>
                </w:p>
              </w:tc>
              <w:tc>
                <w:tcPr>
                  <w:tcW w:w="1398" w:type="dxa"/>
                  <w:vAlign w:val="center"/>
                </w:tcPr>
                <w:p w14:paraId="32FDA752">
                  <w:pPr>
                    <w:jc w:val="center"/>
                    <w:rPr>
                      <w:b/>
                      <w:bCs/>
                      <w:color w:val="auto"/>
                    </w:rPr>
                  </w:pPr>
                  <w:r>
                    <w:rPr>
                      <w:rFonts w:hint="eastAsia"/>
                      <w:b/>
                      <w:bCs/>
                      <w:color w:val="auto"/>
                    </w:rPr>
                    <w:t>治理措施</w:t>
                  </w:r>
                </w:p>
              </w:tc>
              <w:tc>
                <w:tcPr>
                  <w:tcW w:w="1739" w:type="dxa"/>
                  <w:vAlign w:val="center"/>
                </w:tcPr>
                <w:p w14:paraId="4645D560">
                  <w:pPr>
                    <w:jc w:val="center"/>
                    <w:rPr>
                      <w:b/>
                      <w:bCs/>
                      <w:color w:val="auto"/>
                    </w:rPr>
                  </w:pPr>
                  <w:r>
                    <w:rPr>
                      <w:rFonts w:hint="eastAsia"/>
                      <w:b/>
                      <w:bCs/>
                      <w:color w:val="auto"/>
                    </w:rPr>
                    <w:t>排放去向</w:t>
                  </w:r>
                </w:p>
              </w:tc>
            </w:tr>
            <w:tr w14:paraId="391B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53" w:type="dxa"/>
                  <w:vMerge w:val="restart"/>
                  <w:vAlign w:val="center"/>
                </w:tcPr>
                <w:p w14:paraId="352FEDC1">
                  <w:pPr>
                    <w:jc w:val="center"/>
                    <w:rPr>
                      <w:color w:val="auto"/>
                    </w:rPr>
                  </w:pPr>
                  <w:r>
                    <w:rPr>
                      <w:rFonts w:hint="eastAsia"/>
                      <w:color w:val="auto"/>
                    </w:rPr>
                    <w:t>废气</w:t>
                  </w:r>
                </w:p>
              </w:tc>
              <w:tc>
                <w:tcPr>
                  <w:tcW w:w="936" w:type="dxa"/>
                  <w:vAlign w:val="center"/>
                </w:tcPr>
                <w:p w14:paraId="20AC6F68">
                  <w:pPr>
                    <w:jc w:val="center"/>
                    <w:rPr>
                      <w:color w:val="auto"/>
                    </w:rPr>
                  </w:pPr>
                  <w:r>
                    <w:rPr>
                      <w:color w:val="auto"/>
                      <w:kern w:val="0"/>
                      <w:lang w:val="zh-CN"/>
                    </w:rPr>
                    <w:t>G</w:t>
                  </w:r>
                  <w:r>
                    <w:rPr>
                      <w:rFonts w:hint="eastAsia"/>
                      <w:color w:val="auto"/>
                      <w:kern w:val="0"/>
                    </w:rPr>
                    <w:t>2</w:t>
                  </w:r>
                </w:p>
              </w:tc>
              <w:tc>
                <w:tcPr>
                  <w:tcW w:w="1239" w:type="dxa"/>
                  <w:vAlign w:val="center"/>
                </w:tcPr>
                <w:p w14:paraId="4F5B6858">
                  <w:pPr>
                    <w:jc w:val="center"/>
                    <w:rPr>
                      <w:color w:val="auto"/>
                    </w:rPr>
                  </w:pPr>
                  <w:r>
                    <w:rPr>
                      <w:rFonts w:hint="eastAsia"/>
                      <w:color w:val="auto"/>
                    </w:rPr>
                    <w:t>清洗</w:t>
                  </w:r>
                </w:p>
              </w:tc>
              <w:tc>
                <w:tcPr>
                  <w:tcW w:w="1160" w:type="dxa"/>
                  <w:vAlign w:val="center"/>
                </w:tcPr>
                <w:p w14:paraId="33D1EF92">
                  <w:pPr>
                    <w:jc w:val="center"/>
                    <w:rPr>
                      <w:color w:val="auto"/>
                    </w:rPr>
                  </w:pPr>
                  <w:r>
                    <w:rPr>
                      <w:rFonts w:hint="eastAsia"/>
                      <w:color w:val="auto"/>
                    </w:rPr>
                    <w:t>有机废气</w:t>
                  </w:r>
                </w:p>
              </w:tc>
              <w:tc>
                <w:tcPr>
                  <w:tcW w:w="1526" w:type="dxa"/>
                  <w:vAlign w:val="center"/>
                </w:tcPr>
                <w:p w14:paraId="6AD0B33F">
                  <w:pPr>
                    <w:jc w:val="center"/>
                    <w:rPr>
                      <w:color w:val="auto"/>
                    </w:rPr>
                  </w:pPr>
                  <w:r>
                    <w:rPr>
                      <w:rFonts w:hint="eastAsia"/>
                      <w:color w:val="auto"/>
                    </w:rPr>
                    <w:t>非甲烷总烃</w:t>
                  </w:r>
                </w:p>
              </w:tc>
              <w:tc>
                <w:tcPr>
                  <w:tcW w:w="1398" w:type="dxa"/>
                  <w:vAlign w:val="center"/>
                </w:tcPr>
                <w:p w14:paraId="02DE5AF5">
                  <w:pPr>
                    <w:jc w:val="center"/>
                    <w:rPr>
                      <w:color w:val="auto"/>
                    </w:rPr>
                  </w:pPr>
                  <w:r>
                    <w:rPr>
                      <w:rFonts w:hint="eastAsia"/>
                      <w:color w:val="auto"/>
                    </w:rPr>
                    <w:t>2套二级活性炭吸附装置</w:t>
                  </w:r>
                </w:p>
              </w:tc>
              <w:tc>
                <w:tcPr>
                  <w:tcW w:w="1739" w:type="dxa"/>
                  <w:vAlign w:val="center"/>
                </w:tcPr>
                <w:p w14:paraId="4EF23C10">
                  <w:pPr>
                    <w:jc w:val="center"/>
                    <w:rPr>
                      <w:color w:val="auto"/>
                    </w:rPr>
                  </w:pPr>
                  <w:r>
                    <w:rPr>
                      <w:rFonts w:hint="eastAsia"/>
                      <w:color w:val="auto"/>
                    </w:rPr>
                    <w:t>经15米高排气筒FQ-1排放</w:t>
                  </w:r>
                </w:p>
              </w:tc>
            </w:tr>
            <w:tr w14:paraId="79C1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53" w:type="dxa"/>
                  <w:vMerge w:val="continue"/>
                  <w:vAlign w:val="center"/>
                </w:tcPr>
                <w:p w14:paraId="4560E964">
                  <w:pPr>
                    <w:jc w:val="center"/>
                    <w:rPr>
                      <w:color w:val="auto"/>
                    </w:rPr>
                  </w:pPr>
                </w:p>
              </w:tc>
              <w:tc>
                <w:tcPr>
                  <w:tcW w:w="936" w:type="dxa"/>
                  <w:vAlign w:val="center"/>
                </w:tcPr>
                <w:p w14:paraId="1155F3DB">
                  <w:pPr>
                    <w:jc w:val="center"/>
                    <w:rPr>
                      <w:color w:val="auto"/>
                      <w:kern w:val="0"/>
                    </w:rPr>
                  </w:pPr>
                  <w:r>
                    <w:rPr>
                      <w:rFonts w:hint="eastAsia"/>
                      <w:color w:val="auto"/>
                      <w:kern w:val="0"/>
                    </w:rPr>
                    <w:t>/</w:t>
                  </w:r>
                </w:p>
              </w:tc>
              <w:tc>
                <w:tcPr>
                  <w:tcW w:w="1239" w:type="dxa"/>
                  <w:vAlign w:val="center"/>
                </w:tcPr>
                <w:p w14:paraId="591DE96F">
                  <w:pPr>
                    <w:jc w:val="center"/>
                    <w:rPr>
                      <w:color w:val="auto"/>
                    </w:rPr>
                  </w:pPr>
                  <w:r>
                    <w:rPr>
                      <w:rFonts w:hint="eastAsia"/>
                      <w:color w:val="auto"/>
                    </w:rPr>
                    <w:t>食堂</w:t>
                  </w:r>
                </w:p>
              </w:tc>
              <w:tc>
                <w:tcPr>
                  <w:tcW w:w="1160" w:type="dxa"/>
                  <w:vAlign w:val="center"/>
                </w:tcPr>
                <w:p w14:paraId="4CCA6FE8">
                  <w:pPr>
                    <w:jc w:val="center"/>
                    <w:rPr>
                      <w:color w:val="auto"/>
                    </w:rPr>
                  </w:pPr>
                  <w:r>
                    <w:rPr>
                      <w:rFonts w:hint="eastAsia"/>
                      <w:color w:val="auto"/>
                    </w:rPr>
                    <w:t>油烟</w:t>
                  </w:r>
                </w:p>
              </w:tc>
              <w:tc>
                <w:tcPr>
                  <w:tcW w:w="1526" w:type="dxa"/>
                  <w:vAlign w:val="center"/>
                </w:tcPr>
                <w:p w14:paraId="183E29CC">
                  <w:pPr>
                    <w:jc w:val="center"/>
                    <w:rPr>
                      <w:color w:val="auto"/>
                    </w:rPr>
                  </w:pPr>
                  <w:r>
                    <w:rPr>
                      <w:rFonts w:hint="eastAsia"/>
                      <w:color w:val="auto"/>
                    </w:rPr>
                    <w:t>油烟</w:t>
                  </w:r>
                </w:p>
              </w:tc>
              <w:tc>
                <w:tcPr>
                  <w:tcW w:w="1398" w:type="dxa"/>
                  <w:vAlign w:val="center"/>
                </w:tcPr>
                <w:p w14:paraId="39E259DF">
                  <w:pPr>
                    <w:jc w:val="center"/>
                    <w:rPr>
                      <w:color w:val="auto"/>
                    </w:rPr>
                  </w:pPr>
                  <w:r>
                    <w:rPr>
                      <w:rFonts w:hint="eastAsia"/>
                      <w:color w:val="auto"/>
                    </w:rPr>
                    <w:t>油烟净化装置</w:t>
                  </w:r>
                </w:p>
              </w:tc>
              <w:tc>
                <w:tcPr>
                  <w:tcW w:w="1739" w:type="dxa"/>
                  <w:vAlign w:val="center"/>
                </w:tcPr>
                <w:p w14:paraId="2D5154E1">
                  <w:pPr>
                    <w:jc w:val="center"/>
                    <w:rPr>
                      <w:color w:val="auto"/>
                    </w:rPr>
                  </w:pPr>
                  <w:r>
                    <w:rPr>
                      <w:rFonts w:hint="eastAsia"/>
                      <w:color w:val="auto"/>
                    </w:rPr>
                    <w:t>排气筒FQ-2排放</w:t>
                  </w:r>
                </w:p>
              </w:tc>
            </w:tr>
            <w:tr w14:paraId="18B5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53" w:type="dxa"/>
                  <w:vMerge w:val="continue"/>
                  <w:vAlign w:val="center"/>
                </w:tcPr>
                <w:p w14:paraId="77665565">
                  <w:pPr>
                    <w:jc w:val="center"/>
                    <w:rPr>
                      <w:color w:val="auto"/>
                    </w:rPr>
                  </w:pPr>
                </w:p>
              </w:tc>
              <w:tc>
                <w:tcPr>
                  <w:tcW w:w="936" w:type="dxa"/>
                  <w:vAlign w:val="center"/>
                </w:tcPr>
                <w:p w14:paraId="4CCA1E6D">
                  <w:pPr>
                    <w:jc w:val="center"/>
                    <w:rPr>
                      <w:color w:val="auto"/>
                      <w:kern w:val="0"/>
                    </w:rPr>
                  </w:pPr>
                  <w:r>
                    <w:rPr>
                      <w:color w:val="auto"/>
                    </w:rPr>
                    <w:t>G</w:t>
                  </w:r>
                  <w:r>
                    <w:rPr>
                      <w:rFonts w:hint="eastAsia"/>
                      <w:color w:val="auto"/>
                    </w:rPr>
                    <w:t>1</w:t>
                  </w:r>
                </w:p>
              </w:tc>
              <w:tc>
                <w:tcPr>
                  <w:tcW w:w="1239" w:type="dxa"/>
                  <w:vAlign w:val="center"/>
                </w:tcPr>
                <w:p w14:paraId="23384481">
                  <w:pPr>
                    <w:jc w:val="center"/>
                    <w:rPr>
                      <w:color w:val="auto"/>
                    </w:rPr>
                  </w:pPr>
                  <w:r>
                    <w:rPr>
                      <w:rFonts w:hint="eastAsia"/>
                      <w:color w:val="auto"/>
                    </w:rPr>
                    <w:t>焊接</w:t>
                  </w:r>
                </w:p>
              </w:tc>
              <w:tc>
                <w:tcPr>
                  <w:tcW w:w="1160" w:type="dxa"/>
                  <w:vAlign w:val="center"/>
                </w:tcPr>
                <w:p w14:paraId="12EBD57E">
                  <w:pPr>
                    <w:jc w:val="center"/>
                    <w:rPr>
                      <w:color w:val="auto"/>
                    </w:rPr>
                  </w:pPr>
                  <w:r>
                    <w:rPr>
                      <w:rFonts w:hint="eastAsia"/>
                      <w:color w:val="auto"/>
                    </w:rPr>
                    <w:t>烟尘</w:t>
                  </w:r>
                </w:p>
              </w:tc>
              <w:tc>
                <w:tcPr>
                  <w:tcW w:w="1526" w:type="dxa"/>
                  <w:vAlign w:val="center"/>
                </w:tcPr>
                <w:p w14:paraId="34245F82">
                  <w:pPr>
                    <w:jc w:val="center"/>
                    <w:rPr>
                      <w:color w:val="auto"/>
                    </w:rPr>
                  </w:pPr>
                  <w:r>
                    <w:rPr>
                      <w:rFonts w:hint="eastAsia"/>
                      <w:color w:val="auto"/>
                    </w:rPr>
                    <w:t>颗粒物</w:t>
                  </w:r>
                </w:p>
              </w:tc>
              <w:tc>
                <w:tcPr>
                  <w:tcW w:w="1398" w:type="dxa"/>
                  <w:vAlign w:val="center"/>
                </w:tcPr>
                <w:p w14:paraId="16B53E39">
                  <w:pPr>
                    <w:jc w:val="center"/>
                    <w:rPr>
                      <w:color w:val="auto"/>
                    </w:rPr>
                  </w:pPr>
                  <w:r>
                    <w:rPr>
                      <w:rFonts w:hint="eastAsia"/>
                      <w:color w:val="auto"/>
                    </w:rPr>
                    <w:t>焊烟净化装置</w:t>
                  </w:r>
                </w:p>
              </w:tc>
              <w:tc>
                <w:tcPr>
                  <w:tcW w:w="1739" w:type="dxa"/>
                  <w:vAlign w:val="center"/>
                </w:tcPr>
                <w:p w14:paraId="62B97B0B">
                  <w:pPr>
                    <w:jc w:val="center"/>
                    <w:rPr>
                      <w:color w:val="auto"/>
                    </w:rPr>
                  </w:pPr>
                  <w:r>
                    <w:rPr>
                      <w:rFonts w:hint="eastAsia"/>
                      <w:color w:val="auto"/>
                    </w:rPr>
                    <w:t>经15米高排气筒FQ-3排放</w:t>
                  </w:r>
                </w:p>
              </w:tc>
            </w:tr>
            <w:tr w14:paraId="1822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Align w:val="center"/>
                </w:tcPr>
                <w:p w14:paraId="3115DCDC">
                  <w:pPr>
                    <w:jc w:val="center"/>
                    <w:rPr>
                      <w:color w:val="auto"/>
                    </w:rPr>
                  </w:pPr>
                  <w:r>
                    <w:rPr>
                      <w:rFonts w:hint="eastAsia"/>
                      <w:color w:val="auto"/>
                    </w:rPr>
                    <w:t>废水</w:t>
                  </w:r>
                </w:p>
              </w:tc>
              <w:tc>
                <w:tcPr>
                  <w:tcW w:w="936" w:type="dxa"/>
                  <w:vAlign w:val="center"/>
                </w:tcPr>
                <w:p w14:paraId="31B7575F">
                  <w:pPr>
                    <w:jc w:val="center"/>
                    <w:rPr>
                      <w:color w:val="auto"/>
                      <w:kern w:val="0"/>
                    </w:rPr>
                  </w:pPr>
                  <w:r>
                    <w:rPr>
                      <w:rFonts w:hint="eastAsia"/>
                      <w:color w:val="auto"/>
                      <w:kern w:val="0"/>
                    </w:rPr>
                    <w:t>/</w:t>
                  </w:r>
                </w:p>
              </w:tc>
              <w:tc>
                <w:tcPr>
                  <w:tcW w:w="1239" w:type="dxa"/>
                  <w:vAlign w:val="center"/>
                </w:tcPr>
                <w:p w14:paraId="4E6491DE">
                  <w:pPr>
                    <w:jc w:val="center"/>
                    <w:rPr>
                      <w:color w:val="auto"/>
                    </w:rPr>
                  </w:pPr>
                  <w:r>
                    <w:rPr>
                      <w:rFonts w:hint="eastAsia"/>
                      <w:color w:val="auto"/>
                    </w:rPr>
                    <w:t>食堂废水</w:t>
                  </w:r>
                </w:p>
              </w:tc>
              <w:tc>
                <w:tcPr>
                  <w:tcW w:w="1160" w:type="dxa"/>
                  <w:vAlign w:val="center"/>
                </w:tcPr>
                <w:p w14:paraId="2EFCE56A">
                  <w:pPr>
                    <w:jc w:val="center"/>
                    <w:rPr>
                      <w:color w:val="auto"/>
                    </w:rPr>
                  </w:pPr>
                  <w:r>
                    <w:rPr>
                      <w:rFonts w:hint="eastAsia"/>
                      <w:color w:val="auto"/>
                    </w:rPr>
                    <w:t>食堂废水</w:t>
                  </w:r>
                </w:p>
              </w:tc>
              <w:tc>
                <w:tcPr>
                  <w:tcW w:w="1526" w:type="dxa"/>
                  <w:vAlign w:val="center"/>
                </w:tcPr>
                <w:p w14:paraId="1690488C">
                  <w:pPr>
                    <w:widowControl/>
                    <w:jc w:val="left"/>
                    <w:rPr>
                      <w:color w:val="auto"/>
                    </w:rPr>
                  </w:pPr>
                  <w:r>
                    <w:rPr>
                      <w:color w:val="auto"/>
                      <w:kern w:val="0"/>
                      <w:lang w:bidi="ar"/>
                    </w:rPr>
                    <w:t>pH</w:t>
                  </w:r>
                  <w:r>
                    <w:rPr>
                      <w:rFonts w:hint="eastAsia" w:ascii="宋体" w:hAnsi="宋体" w:cs="宋体"/>
                      <w:color w:val="auto"/>
                      <w:kern w:val="0"/>
                      <w:lang w:bidi="ar"/>
                    </w:rPr>
                    <w:t>、</w:t>
                  </w:r>
                  <w:r>
                    <w:rPr>
                      <w:color w:val="auto"/>
                      <w:kern w:val="0"/>
                      <w:lang w:bidi="ar"/>
                    </w:rPr>
                    <w:t>COD</w:t>
                  </w:r>
                  <w:r>
                    <w:rPr>
                      <w:rFonts w:hint="eastAsia" w:ascii="宋体" w:hAnsi="宋体" w:cs="宋体"/>
                      <w:color w:val="auto"/>
                      <w:kern w:val="0"/>
                      <w:lang w:bidi="ar"/>
                    </w:rPr>
                    <w:t>、氨氮、</w:t>
                  </w:r>
                  <w:r>
                    <w:rPr>
                      <w:color w:val="auto"/>
                      <w:kern w:val="0"/>
                      <w:lang w:bidi="ar"/>
                    </w:rPr>
                    <w:t>SS</w:t>
                  </w:r>
                  <w:r>
                    <w:rPr>
                      <w:rFonts w:hint="eastAsia" w:ascii="宋体" w:hAnsi="宋体" w:cs="宋体"/>
                      <w:color w:val="auto"/>
                      <w:kern w:val="0"/>
                      <w:lang w:bidi="ar"/>
                    </w:rPr>
                    <w:t>、</w:t>
                  </w:r>
                  <w:r>
                    <w:rPr>
                      <w:color w:val="auto"/>
                      <w:kern w:val="0"/>
                      <w:lang w:bidi="ar"/>
                    </w:rPr>
                    <w:t>TP</w:t>
                  </w:r>
                  <w:r>
                    <w:rPr>
                      <w:rFonts w:hint="eastAsia" w:ascii="宋体" w:hAnsi="宋体" w:cs="宋体"/>
                      <w:color w:val="auto"/>
                      <w:kern w:val="0"/>
                      <w:lang w:bidi="ar"/>
                    </w:rPr>
                    <w:t>、</w:t>
                  </w:r>
                  <w:r>
                    <w:rPr>
                      <w:color w:val="auto"/>
                      <w:kern w:val="0"/>
                      <w:lang w:bidi="ar"/>
                    </w:rPr>
                    <w:t>TN</w:t>
                  </w:r>
                  <w:r>
                    <w:rPr>
                      <w:rFonts w:hint="eastAsia" w:ascii="宋体" w:hAnsi="宋体" w:cs="宋体"/>
                      <w:color w:val="auto"/>
                      <w:kern w:val="0"/>
                      <w:lang w:bidi="ar"/>
                    </w:rPr>
                    <w:t>、动植物油</w:t>
                  </w:r>
                </w:p>
              </w:tc>
              <w:tc>
                <w:tcPr>
                  <w:tcW w:w="1398" w:type="dxa"/>
                  <w:vAlign w:val="center"/>
                </w:tcPr>
                <w:p w14:paraId="4E5CC17E">
                  <w:pPr>
                    <w:jc w:val="center"/>
                    <w:rPr>
                      <w:color w:val="auto"/>
                    </w:rPr>
                  </w:pPr>
                  <w:r>
                    <w:rPr>
                      <w:rFonts w:hint="eastAsia"/>
                      <w:color w:val="auto"/>
                    </w:rPr>
                    <w:t>隔油池</w:t>
                  </w:r>
                </w:p>
              </w:tc>
              <w:tc>
                <w:tcPr>
                  <w:tcW w:w="1739" w:type="dxa"/>
                  <w:vAlign w:val="center"/>
                </w:tcPr>
                <w:p w14:paraId="7CFAC5FF">
                  <w:pPr>
                    <w:jc w:val="center"/>
                    <w:rPr>
                      <w:color w:val="auto"/>
                    </w:rPr>
                  </w:pPr>
                  <w:r>
                    <w:rPr>
                      <w:rFonts w:hint="eastAsia"/>
                      <w:color w:val="auto"/>
                    </w:rPr>
                    <w:t>接管污水处理厂</w:t>
                  </w:r>
                </w:p>
              </w:tc>
            </w:tr>
            <w:tr w14:paraId="29B5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53" w:type="dxa"/>
                  <w:vMerge w:val="restart"/>
                  <w:vAlign w:val="center"/>
                </w:tcPr>
                <w:p w14:paraId="2E8F1D57">
                  <w:pPr>
                    <w:pStyle w:val="3"/>
                    <w:spacing w:line="240" w:lineRule="auto"/>
                    <w:jc w:val="center"/>
                    <w:outlineLvl w:val="2"/>
                    <w:rPr>
                      <w:color w:val="auto"/>
                      <w:sz w:val="21"/>
                    </w:rPr>
                  </w:pPr>
                  <w:r>
                    <w:rPr>
                      <w:rFonts w:hint="eastAsia"/>
                      <w:color w:val="auto"/>
                      <w:sz w:val="21"/>
                    </w:rPr>
                    <w:t>固废</w:t>
                  </w:r>
                </w:p>
              </w:tc>
              <w:tc>
                <w:tcPr>
                  <w:tcW w:w="936" w:type="dxa"/>
                  <w:vAlign w:val="center"/>
                </w:tcPr>
                <w:p w14:paraId="646CC08A">
                  <w:pPr>
                    <w:jc w:val="center"/>
                    <w:rPr>
                      <w:rFonts w:hint="eastAsia" w:eastAsia="宋体"/>
                      <w:color w:val="auto"/>
                      <w:lang w:eastAsia="zh-CN"/>
                    </w:rPr>
                  </w:pPr>
                  <w:r>
                    <w:rPr>
                      <w:rFonts w:hint="eastAsia"/>
                      <w:color w:val="auto"/>
                    </w:rPr>
                    <w:t>S1、S</w:t>
                  </w:r>
                  <w:r>
                    <w:rPr>
                      <w:rFonts w:hint="eastAsia"/>
                      <w:color w:val="auto"/>
                      <w:lang w:val="en-US" w:eastAsia="zh-CN"/>
                    </w:rPr>
                    <w:t>6</w:t>
                  </w:r>
                  <w:r>
                    <w:rPr>
                      <w:rFonts w:hint="eastAsia"/>
                      <w:color w:val="auto"/>
                    </w:rPr>
                    <w:t>、S</w:t>
                  </w:r>
                  <w:r>
                    <w:rPr>
                      <w:rFonts w:hint="eastAsia"/>
                      <w:color w:val="auto"/>
                      <w:lang w:val="en-US" w:eastAsia="zh-CN"/>
                    </w:rPr>
                    <w:t>7</w:t>
                  </w:r>
                </w:p>
              </w:tc>
              <w:tc>
                <w:tcPr>
                  <w:tcW w:w="1239" w:type="dxa"/>
                  <w:vAlign w:val="center"/>
                </w:tcPr>
                <w:p w14:paraId="5F818611">
                  <w:pPr>
                    <w:jc w:val="center"/>
                    <w:rPr>
                      <w:color w:val="auto"/>
                    </w:rPr>
                  </w:pPr>
                  <w:r>
                    <w:rPr>
                      <w:rFonts w:hint="eastAsia"/>
                      <w:color w:val="auto"/>
                    </w:rPr>
                    <w:t>下料、</w:t>
                  </w:r>
                  <w:r>
                    <w:rPr>
                      <w:rFonts w:hint="eastAsia"/>
                      <w:color w:val="auto"/>
                      <w:lang w:val="en-US" w:eastAsia="zh-CN"/>
                    </w:rPr>
                    <w:t>刻字</w:t>
                  </w:r>
                  <w:r>
                    <w:rPr>
                      <w:rFonts w:hint="eastAsia"/>
                      <w:color w:val="auto"/>
                    </w:rPr>
                    <w:t>、铰孔</w:t>
                  </w:r>
                </w:p>
              </w:tc>
              <w:tc>
                <w:tcPr>
                  <w:tcW w:w="1160" w:type="dxa"/>
                  <w:vAlign w:val="center"/>
                </w:tcPr>
                <w:p w14:paraId="3E3C97C9">
                  <w:pPr>
                    <w:jc w:val="center"/>
                    <w:rPr>
                      <w:color w:val="auto"/>
                    </w:rPr>
                  </w:pPr>
                  <w:r>
                    <w:rPr>
                      <w:rFonts w:hint="eastAsia"/>
                      <w:color w:val="auto"/>
                    </w:rPr>
                    <w:t>金属边角料</w:t>
                  </w:r>
                </w:p>
              </w:tc>
              <w:tc>
                <w:tcPr>
                  <w:tcW w:w="1526" w:type="dxa"/>
                  <w:vAlign w:val="center"/>
                </w:tcPr>
                <w:p w14:paraId="77688CFE">
                  <w:pPr>
                    <w:jc w:val="center"/>
                    <w:rPr>
                      <w:color w:val="auto"/>
                    </w:rPr>
                  </w:pPr>
                  <w:r>
                    <w:rPr>
                      <w:rFonts w:hint="eastAsia"/>
                      <w:color w:val="auto"/>
                    </w:rPr>
                    <w:t>金属</w:t>
                  </w:r>
                </w:p>
              </w:tc>
              <w:tc>
                <w:tcPr>
                  <w:tcW w:w="1398" w:type="dxa"/>
                  <w:vAlign w:val="center"/>
                </w:tcPr>
                <w:p w14:paraId="2DAECA2C">
                  <w:pPr>
                    <w:jc w:val="center"/>
                    <w:rPr>
                      <w:color w:val="auto"/>
                    </w:rPr>
                  </w:pPr>
                  <w:r>
                    <w:rPr>
                      <w:rFonts w:hint="eastAsia"/>
                      <w:color w:val="auto"/>
                    </w:rPr>
                    <w:t>外售综合利用</w:t>
                  </w:r>
                </w:p>
              </w:tc>
              <w:tc>
                <w:tcPr>
                  <w:tcW w:w="1739" w:type="dxa"/>
                  <w:vMerge w:val="restart"/>
                  <w:vAlign w:val="center"/>
                </w:tcPr>
                <w:p w14:paraId="03E68164">
                  <w:pPr>
                    <w:jc w:val="center"/>
                    <w:rPr>
                      <w:color w:val="auto"/>
                    </w:rPr>
                  </w:pPr>
                  <w:r>
                    <w:rPr>
                      <w:rFonts w:hint="eastAsia"/>
                      <w:color w:val="auto"/>
                    </w:rPr>
                    <w:t>有效处置</w:t>
                  </w:r>
                </w:p>
              </w:tc>
            </w:tr>
            <w:tr w14:paraId="298D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53" w:type="dxa"/>
                  <w:vMerge w:val="continue"/>
                  <w:vAlign w:val="center"/>
                </w:tcPr>
                <w:p w14:paraId="2507ABC0">
                  <w:pPr>
                    <w:pStyle w:val="3"/>
                    <w:spacing w:line="240" w:lineRule="auto"/>
                    <w:jc w:val="center"/>
                    <w:outlineLvl w:val="2"/>
                    <w:rPr>
                      <w:color w:val="auto"/>
                      <w:sz w:val="21"/>
                    </w:rPr>
                  </w:pPr>
                </w:p>
              </w:tc>
              <w:tc>
                <w:tcPr>
                  <w:tcW w:w="936" w:type="dxa"/>
                  <w:vAlign w:val="center"/>
                </w:tcPr>
                <w:p w14:paraId="1AC8A4E4">
                  <w:pPr>
                    <w:jc w:val="center"/>
                    <w:rPr>
                      <w:color w:val="auto"/>
                    </w:rPr>
                  </w:pPr>
                  <w:r>
                    <w:rPr>
                      <w:rFonts w:hint="eastAsia"/>
                      <w:color w:val="auto"/>
                    </w:rPr>
                    <w:t>S2</w:t>
                  </w:r>
                </w:p>
              </w:tc>
              <w:tc>
                <w:tcPr>
                  <w:tcW w:w="1239" w:type="dxa"/>
                  <w:vAlign w:val="center"/>
                </w:tcPr>
                <w:p w14:paraId="5326E119">
                  <w:pPr>
                    <w:jc w:val="center"/>
                    <w:rPr>
                      <w:rFonts w:hint="eastAsia" w:eastAsia="宋体"/>
                      <w:color w:val="auto"/>
                      <w:lang w:val="en-US" w:eastAsia="zh-CN"/>
                    </w:rPr>
                  </w:pPr>
                  <w:r>
                    <w:rPr>
                      <w:rFonts w:hint="eastAsia"/>
                      <w:color w:val="auto"/>
                      <w:lang w:val="en-US" w:eastAsia="zh-CN"/>
                    </w:rPr>
                    <w:t>机加工</w:t>
                  </w:r>
                </w:p>
              </w:tc>
              <w:tc>
                <w:tcPr>
                  <w:tcW w:w="1160" w:type="dxa"/>
                  <w:vAlign w:val="center"/>
                </w:tcPr>
                <w:p w14:paraId="3DEE5F77">
                  <w:pPr>
                    <w:jc w:val="center"/>
                    <w:rPr>
                      <w:rFonts w:hint="eastAsia" w:eastAsia="宋体"/>
                      <w:color w:val="auto"/>
                      <w:lang w:eastAsia="zh-CN"/>
                    </w:rPr>
                  </w:pPr>
                  <w:r>
                    <w:rPr>
                      <w:rFonts w:hint="eastAsia"/>
                      <w:color w:val="auto"/>
                      <w:lang w:eastAsia="zh-CN"/>
                    </w:rPr>
                    <w:t>磨削灰</w:t>
                  </w:r>
                </w:p>
              </w:tc>
              <w:tc>
                <w:tcPr>
                  <w:tcW w:w="1526" w:type="dxa"/>
                  <w:vAlign w:val="center"/>
                </w:tcPr>
                <w:p w14:paraId="21888EBD">
                  <w:pPr>
                    <w:jc w:val="center"/>
                    <w:rPr>
                      <w:rFonts w:hint="default" w:eastAsia="宋体"/>
                      <w:color w:val="auto"/>
                      <w:lang w:val="en-US" w:eastAsia="zh-CN"/>
                    </w:rPr>
                  </w:pPr>
                  <w:r>
                    <w:rPr>
                      <w:rFonts w:hint="default" w:eastAsia="宋体"/>
                      <w:color w:val="auto"/>
                      <w:lang w:val="en-US" w:eastAsia="zh-CN"/>
                    </w:rPr>
                    <w:t>含油金属边角料与砂轮灰混合物</w:t>
                  </w:r>
                </w:p>
              </w:tc>
              <w:tc>
                <w:tcPr>
                  <w:tcW w:w="1398" w:type="dxa"/>
                  <w:vAlign w:val="center"/>
                </w:tcPr>
                <w:p w14:paraId="445B60FB">
                  <w:pPr>
                    <w:jc w:val="center"/>
                    <w:rPr>
                      <w:color w:val="auto"/>
                    </w:rPr>
                  </w:pPr>
                  <w:r>
                    <w:rPr>
                      <w:rFonts w:hint="eastAsia"/>
                      <w:color w:val="auto"/>
                    </w:rPr>
                    <w:t>委托有资质单位处置</w:t>
                  </w:r>
                </w:p>
              </w:tc>
              <w:tc>
                <w:tcPr>
                  <w:tcW w:w="1739" w:type="dxa"/>
                  <w:vMerge w:val="continue"/>
                  <w:vAlign w:val="center"/>
                </w:tcPr>
                <w:p w14:paraId="3EBEABDD">
                  <w:pPr>
                    <w:jc w:val="center"/>
                    <w:rPr>
                      <w:color w:val="auto"/>
                    </w:rPr>
                  </w:pPr>
                </w:p>
              </w:tc>
            </w:tr>
            <w:tr w14:paraId="52EC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53" w:type="dxa"/>
                  <w:vMerge w:val="continue"/>
                  <w:vAlign w:val="center"/>
                </w:tcPr>
                <w:p w14:paraId="6C5CC264">
                  <w:pPr>
                    <w:pStyle w:val="3"/>
                    <w:spacing w:line="240" w:lineRule="auto"/>
                    <w:jc w:val="center"/>
                    <w:outlineLvl w:val="2"/>
                    <w:rPr>
                      <w:color w:val="auto"/>
                      <w:sz w:val="21"/>
                    </w:rPr>
                  </w:pPr>
                </w:p>
              </w:tc>
              <w:tc>
                <w:tcPr>
                  <w:tcW w:w="936" w:type="dxa"/>
                  <w:vAlign w:val="center"/>
                </w:tcPr>
                <w:p w14:paraId="18D69E82">
                  <w:pPr>
                    <w:jc w:val="center"/>
                    <w:rPr>
                      <w:rFonts w:hint="eastAsia" w:eastAsia="宋体"/>
                      <w:color w:val="auto"/>
                      <w:lang w:val="en-US" w:eastAsia="zh-CN"/>
                    </w:rPr>
                  </w:pPr>
                  <w:r>
                    <w:rPr>
                      <w:rFonts w:hint="eastAsia"/>
                      <w:color w:val="auto"/>
                    </w:rPr>
                    <w:t>S</w:t>
                  </w:r>
                  <w:r>
                    <w:rPr>
                      <w:rFonts w:hint="eastAsia"/>
                      <w:color w:val="auto"/>
                      <w:lang w:val="en-US" w:eastAsia="zh-CN"/>
                    </w:rPr>
                    <w:t>4</w:t>
                  </w:r>
                </w:p>
              </w:tc>
              <w:tc>
                <w:tcPr>
                  <w:tcW w:w="1239" w:type="dxa"/>
                  <w:vAlign w:val="center"/>
                </w:tcPr>
                <w:p w14:paraId="0717C7AB">
                  <w:pPr>
                    <w:jc w:val="center"/>
                    <w:rPr>
                      <w:color w:val="auto"/>
                    </w:rPr>
                  </w:pPr>
                  <w:r>
                    <w:rPr>
                      <w:rFonts w:hint="eastAsia"/>
                      <w:color w:val="auto"/>
                    </w:rPr>
                    <w:t>焊接</w:t>
                  </w:r>
                </w:p>
              </w:tc>
              <w:tc>
                <w:tcPr>
                  <w:tcW w:w="1160" w:type="dxa"/>
                  <w:vAlign w:val="center"/>
                </w:tcPr>
                <w:p w14:paraId="7745E592">
                  <w:pPr>
                    <w:jc w:val="center"/>
                    <w:rPr>
                      <w:color w:val="auto"/>
                    </w:rPr>
                  </w:pPr>
                  <w:r>
                    <w:rPr>
                      <w:rFonts w:hint="eastAsia"/>
                      <w:color w:val="auto"/>
                    </w:rPr>
                    <w:t>焊渣</w:t>
                  </w:r>
                </w:p>
              </w:tc>
              <w:tc>
                <w:tcPr>
                  <w:tcW w:w="1526" w:type="dxa"/>
                  <w:vAlign w:val="center"/>
                </w:tcPr>
                <w:p w14:paraId="2F7E468E">
                  <w:pPr>
                    <w:jc w:val="center"/>
                    <w:rPr>
                      <w:color w:val="auto"/>
                    </w:rPr>
                  </w:pPr>
                  <w:r>
                    <w:rPr>
                      <w:rFonts w:hint="eastAsia"/>
                      <w:color w:val="auto"/>
                    </w:rPr>
                    <w:t>焊渣</w:t>
                  </w:r>
                </w:p>
              </w:tc>
              <w:tc>
                <w:tcPr>
                  <w:tcW w:w="1398" w:type="dxa"/>
                  <w:vMerge w:val="restart"/>
                  <w:vAlign w:val="center"/>
                </w:tcPr>
                <w:p w14:paraId="1BD9005A">
                  <w:pPr>
                    <w:jc w:val="center"/>
                    <w:rPr>
                      <w:color w:val="auto"/>
                    </w:rPr>
                  </w:pPr>
                  <w:r>
                    <w:rPr>
                      <w:rFonts w:hint="eastAsia"/>
                      <w:color w:val="auto"/>
                    </w:rPr>
                    <w:t>外售综合利用</w:t>
                  </w:r>
                </w:p>
              </w:tc>
              <w:tc>
                <w:tcPr>
                  <w:tcW w:w="1739" w:type="dxa"/>
                  <w:vMerge w:val="continue"/>
                  <w:vAlign w:val="center"/>
                </w:tcPr>
                <w:p w14:paraId="1D311A83">
                  <w:pPr>
                    <w:jc w:val="center"/>
                    <w:rPr>
                      <w:color w:val="auto"/>
                    </w:rPr>
                  </w:pPr>
                </w:p>
              </w:tc>
            </w:tr>
            <w:tr w14:paraId="6192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Merge w:val="continue"/>
                  <w:vAlign w:val="center"/>
                </w:tcPr>
                <w:p w14:paraId="0AC78E78">
                  <w:pPr>
                    <w:pStyle w:val="3"/>
                    <w:spacing w:line="240" w:lineRule="auto"/>
                    <w:jc w:val="center"/>
                    <w:outlineLvl w:val="2"/>
                    <w:rPr>
                      <w:color w:val="auto"/>
                      <w:sz w:val="21"/>
                    </w:rPr>
                  </w:pPr>
                </w:p>
              </w:tc>
              <w:tc>
                <w:tcPr>
                  <w:tcW w:w="936" w:type="dxa"/>
                  <w:vAlign w:val="center"/>
                </w:tcPr>
                <w:p w14:paraId="31046814">
                  <w:pPr>
                    <w:jc w:val="center"/>
                    <w:rPr>
                      <w:rFonts w:hint="eastAsia" w:eastAsia="宋体"/>
                      <w:color w:val="auto"/>
                      <w:lang w:eastAsia="zh-CN"/>
                    </w:rPr>
                  </w:pPr>
                  <w:r>
                    <w:rPr>
                      <w:rFonts w:hint="eastAsia"/>
                      <w:color w:val="auto"/>
                    </w:rPr>
                    <w:t>S</w:t>
                  </w:r>
                  <w:r>
                    <w:rPr>
                      <w:rFonts w:hint="eastAsia"/>
                      <w:color w:val="auto"/>
                      <w:lang w:val="en-US" w:eastAsia="zh-CN"/>
                    </w:rPr>
                    <w:t>8</w:t>
                  </w:r>
                </w:p>
              </w:tc>
              <w:tc>
                <w:tcPr>
                  <w:tcW w:w="1239" w:type="dxa"/>
                  <w:vAlign w:val="center"/>
                </w:tcPr>
                <w:p w14:paraId="067712C0">
                  <w:pPr>
                    <w:jc w:val="center"/>
                    <w:rPr>
                      <w:color w:val="auto"/>
                    </w:rPr>
                  </w:pPr>
                  <w:r>
                    <w:rPr>
                      <w:rFonts w:hint="eastAsia"/>
                      <w:color w:val="auto"/>
                    </w:rPr>
                    <w:t>检验</w:t>
                  </w:r>
                </w:p>
              </w:tc>
              <w:tc>
                <w:tcPr>
                  <w:tcW w:w="1160" w:type="dxa"/>
                  <w:vAlign w:val="center"/>
                </w:tcPr>
                <w:p w14:paraId="405EB76D">
                  <w:pPr>
                    <w:jc w:val="center"/>
                    <w:rPr>
                      <w:color w:val="auto"/>
                    </w:rPr>
                  </w:pPr>
                  <w:r>
                    <w:rPr>
                      <w:rFonts w:hint="eastAsia"/>
                      <w:color w:val="auto"/>
                    </w:rPr>
                    <w:t>不合格品</w:t>
                  </w:r>
                </w:p>
              </w:tc>
              <w:tc>
                <w:tcPr>
                  <w:tcW w:w="1526" w:type="dxa"/>
                  <w:vAlign w:val="center"/>
                </w:tcPr>
                <w:p w14:paraId="4C893865">
                  <w:pPr>
                    <w:jc w:val="center"/>
                    <w:rPr>
                      <w:color w:val="auto"/>
                    </w:rPr>
                  </w:pPr>
                  <w:r>
                    <w:rPr>
                      <w:rFonts w:hint="eastAsia"/>
                      <w:color w:val="auto"/>
                    </w:rPr>
                    <w:t>不合格品</w:t>
                  </w:r>
                </w:p>
              </w:tc>
              <w:tc>
                <w:tcPr>
                  <w:tcW w:w="1398" w:type="dxa"/>
                  <w:vMerge w:val="continue"/>
                  <w:vAlign w:val="center"/>
                </w:tcPr>
                <w:p w14:paraId="60402B61">
                  <w:pPr>
                    <w:jc w:val="center"/>
                    <w:rPr>
                      <w:color w:val="auto"/>
                    </w:rPr>
                  </w:pPr>
                </w:p>
              </w:tc>
              <w:tc>
                <w:tcPr>
                  <w:tcW w:w="1739" w:type="dxa"/>
                  <w:vMerge w:val="continue"/>
                  <w:vAlign w:val="center"/>
                </w:tcPr>
                <w:p w14:paraId="2C17EDFA">
                  <w:pPr>
                    <w:jc w:val="center"/>
                    <w:rPr>
                      <w:color w:val="auto"/>
                    </w:rPr>
                  </w:pPr>
                </w:p>
              </w:tc>
            </w:tr>
            <w:tr w14:paraId="75FF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vMerge w:val="continue"/>
                  <w:vAlign w:val="center"/>
                </w:tcPr>
                <w:p w14:paraId="009CDC13">
                  <w:pPr>
                    <w:pStyle w:val="3"/>
                    <w:spacing w:line="240" w:lineRule="auto"/>
                    <w:jc w:val="center"/>
                    <w:outlineLvl w:val="2"/>
                    <w:rPr>
                      <w:color w:val="auto"/>
                      <w:sz w:val="21"/>
                    </w:rPr>
                  </w:pPr>
                </w:p>
              </w:tc>
              <w:tc>
                <w:tcPr>
                  <w:tcW w:w="936" w:type="dxa"/>
                  <w:vAlign w:val="center"/>
                </w:tcPr>
                <w:p w14:paraId="2636376C">
                  <w:pPr>
                    <w:jc w:val="center"/>
                    <w:rPr>
                      <w:rFonts w:hint="eastAsia"/>
                      <w:color w:val="auto"/>
                    </w:rPr>
                  </w:pPr>
                  <w:r>
                    <w:rPr>
                      <w:rFonts w:hint="eastAsia"/>
                      <w:color w:val="auto"/>
                    </w:rPr>
                    <w:t>S3</w:t>
                  </w:r>
                </w:p>
              </w:tc>
              <w:tc>
                <w:tcPr>
                  <w:tcW w:w="1239" w:type="dxa"/>
                  <w:vAlign w:val="center"/>
                </w:tcPr>
                <w:p w14:paraId="471DD4C1">
                  <w:pPr>
                    <w:jc w:val="center"/>
                    <w:rPr>
                      <w:rFonts w:hint="eastAsia"/>
                      <w:color w:val="auto"/>
                    </w:rPr>
                  </w:pPr>
                  <w:r>
                    <w:rPr>
                      <w:rFonts w:hint="eastAsia"/>
                      <w:color w:val="auto"/>
                    </w:rPr>
                    <w:t>机加工</w:t>
                  </w:r>
                </w:p>
              </w:tc>
              <w:tc>
                <w:tcPr>
                  <w:tcW w:w="1160" w:type="dxa"/>
                  <w:vAlign w:val="center"/>
                </w:tcPr>
                <w:p w14:paraId="6FD2BC67">
                  <w:pPr>
                    <w:jc w:val="center"/>
                    <w:rPr>
                      <w:rFonts w:hint="default" w:eastAsia="宋体"/>
                      <w:color w:val="auto"/>
                      <w:lang w:val="en-US" w:eastAsia="zh-CN"/>
                    </w:rPr>
                  </w:pPr>
                  <w:r>
                    <w:rPr>
                      <w:rFonts w:hint="eastAsia"/>
                      <w:color w:val="auto"/>
                    </w:rPr>
                    <w:t>废油泥</w:t>
                  </w:r>
                </w:p>
              </w:tc>
              <w:tc>
                <w:tcPr>
                  <w:tcW w:w="1526" w:type="dxa"/>
                  <w:vAlign w:val="center"/>
                </w:tcPr>
                <w:p w14:paraId="4BF1D5A1">
                  <w:pPr>
                    <w:jc w:val="center"/>
                    <w:rPr>
                      <w:rFonts w:hint="default" w:eastAsia="宋体"/>
                      <w:color w:val="auto"/>
                      <w:lang w:val="en-US" w:eastAsia="zh-CN"/>
                    </w:rPr>
                  </w:pPr>
                  <w:r>
                    <w:rPr>
                      <w:rFonts w:hint="eastAsia"/>
                      <w:color w:val="auto"/>
                    </w:rPr>
                    <w:t>废油泥</w:t>
                  </w:r>
                </w:p>
              </w:tc>
              <w:tc>
                <w:tcPr>
                  <w:tcW w:w="1398" w:type="dxa"/>
                  <w:vMerge w:val="restart"/>
                  <w:vAlign w:val="center"/>
                </w:tcPr>
                <w:p w14:paraId="4B6D034F">
                  <w:pPr>
                    <w:jc w:val="center"/>
                    <w:rPr>
                      <w:color w:val="auto"/>
                    </w:rPr>
                  </w:pPr>
                  <w:r>
                    <w:rPr>
                      <w:rFonts w:hint="eastAsia"/>
                      <w:color w:val="auto"/>
                    </w:rPr>
                    <w:t>委托有资质单位处置</w:t>
                  </w:r>
                </w:p>
              </w:tc>
              <w:tc>
                <w:tcPr>
                  <w:tcW w:w="1739" w:type="dxa"/>
                  <w:vMerge w:val="restart"/>
                  <w:vAlign w:val="center"/>
                </w:tcPr>
                <w:p w14:paraId="08F9741E">
                  <w:pPr>
                    <w:jc w:val="center"/>
                    <w:rPr>
                      <w:color w:val="auto"/>
                    </w:rPr>
                  </w:pPr>
                  <w:r>
                    <w:rPr>
                      <w:rFonts w:hint="eastAsia"/>
                      <w:color w:val="auto"/>
                    </w:rPr>
                    <w:t>有效处置</w:t>
                  </w:r>
                </w:p>
              </w:tc>
            </w:tr>
            <w:tr w14:paraId="4203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53" w:type="dxa"/>
                  <w:vMerge w:val="continue"/>
                  <w:vAlign w:val="center"/>
                </w:tcPr>
                <w:p w14:paraId="116FA59F">
                  <w:pPr>
                    <w:pStyle w:val="3"/>
                    <w:spacing w:line="240" w:lineRule="auto"/>
                    <w:jc w:val="center"/>
                    <w:outlineLvl w:val="2"/>
                    <w:rPr>
                      <w:color w:val="auto"/>
                      <w:sz w:val="21"/>
                    </w:rPr>
                  </w:pPr>
                </w:p>
              </w:tc>
              <w:tc>
                <w:tcPr>
                  <w:tcW w:w="936" w:type="dxa"/>
                  <w:vAlign w:val="center"/>
                </w:tcPr>
                <w:p w14:paraId="3AB535EC">
                  <w:pPr>
                    <w:jc w:val="center"/>
                    <w:rPr>
                      <w:rFonts w:hint="eastAsia" w:eastAsia="宋体"/>
                      <w:color w:val="auto"/>
                      <w:lang w:eastAsia="zh-CN"/>
                    </w:rPr>
                  </w:pPr>
                  <w:r>
                    <w:rPr>
                      <w:rFonts w:hint="eastAsia"/>
                      <w:color w:val="auto"/>
                    </w:rPr>
                    <w:t>S</w:t>
                  </w:r>
                  <w:r>
                    <w:rPr>
                      <w:rFonts w:hint="eastAsia"/>
                      <w:color w:val="auto"/>
                      <w:lang w:val="en-US" w:eastAsia="zh-CN"/>
                    </w:rPr>
                    <w:t>5</w:t>
                  </w:r>
                </w:p>
              </w:tc>
              <w:tc>
                <w:tcPr>
                  <w:tcW w:w="1239" w:type="dxa"/>
                  <w:vAlign w:val="center"/>
                </w:tcPr>
                <w:p w14:paraId="107735C9">
                  <w:pPr>
                    <w:jc w:val="center"/>
                    <w:rPr>
                      <w:color w:val="auto"/>
                    </w:rPr>
                  </w:pPr>
                  <w:r>
                    <w:rPr>
                      <w:rFonts w:hint="eastAsia"/>
                      <w:color w:val="auto"/>
                    </w:rPr>
                    <w:t>清洗</w:t>
                  </w:r>
                </w:p>
              </w:tc>
              <w:tc>
                <w:tcPr>
                  <w:tcW w:w="1160" w:type="dxa"/>
                  <w:vAlign w:val="center"/>
                </w:tcPr>
                <w:p w14:paraId="4E00C9D0">
                  <w:pPr>
                    <w:jc w:val="center"/>
                    <w:rPr>
                      <w:color w:val="auto"/>
                    </w:rPr>
                  </w:pPr>
                  <w:r>
                    <w:rPr>
                      <w:rFonts w:hint="eastAsia"/>
                      <w:color w:val="auto"/>
                    </w:rPr>
                    <w:t>清洗废液</w:t>
                  </w:r>
                </w:p>
              </w:tc>
              <w:tc>
                <w:tcPr>
                  <w:tcW w:w="1526" w:type="dxa"/>
                  <w:vAlign w:val="center"/>
                </w:tcPr>
                <w:p w14:paraId="0AE9FF93">
                  <w:pPr>
                    <w:jc w:val="center"/>
                    <w:rPr>
                      <w:color w:val="auto"/>
                    </w:rPr>
                  </w:pPr>
                  <w:r>
                    <w:rPr>
                      <w:rFonts w:hint="eastAsia"/>
                      <w:color w:val="auto"/>
                    </w:rPr>
                    <w:t>清洗废液</w:t>
                  </w:r>
                </w:p>
              </w:tc>
              <w:tc>
                <w:tcPr>
                  <w:tcW w:w="1398" w:type="dxa"/>
                  <w:vMerge w:val="continue"/>
                  <w:vAlign w:val="center"/>
                </w:tcPr>
                <w:p w14:paraId="1382C249">
                  <w:pPr>
                    <w:jc w:val="center"/>
                    <w:rPr>
                      <w:color w:val="auto"/>
                    </w:rPr>
                  </w:pPr>
                </w:p>
              </w:tc>
              <w:tc>
                <w:tcPr>
                  <w:tcW w:w="1739" w:type="dxa"/>
                  <w:vMerge w:val="continue"/>
                  <w:vAlign w:val="center"/>
                </w:tcPr>
                <w:p w14:paraId="3AE9DC12">
                  <w:pPr>
                    <w:jc w:val="center"/>
                    <w:rPr>
                      <w:color w:val="auto"/>
                    </w:rPr>
                  </w:pPr>
                </w:p>
              </w:tc>
            </w:tr>
            <w:tr w14:paraId="3AE6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64779FA8">
                  <w:pPr>
                    <w:pStyle w:val="3"/>
                    <w:spacing w:line="240" w:lineRule="auto"/>
                    <w:jc w:val="center"/>
                    <w:outlineLvl w:val="2"/>
                    <w:rPr>
                      <w:color w:val="auto"/>
                      <w:sz w:val="21"/>
                    </w:rPr>
                  </w:pPr>
                </w:p>
              </w:tc>
              <w:tc>
                <w:tcPr>
                  <w:tcW w:w="936" w:type="dxa"/>
                  <w:vAlign w:val="center"/>
                </w:tcPr>
                <w:p w14:paraId="3A3B5B48">
                  <w:pPr>
                    <w:jc w:val="center"/>
                    <w:rPr>
                      <w:color w:val="auto"/>
                    </w:rPr>
                  </w:pPr>
                  <w:r>
                    <w:rPr>
                      <w:rFonts w:hint="eastAsia"/>
                      <w:color w:val="auto"/>
                    </w:rPr>
                    <w:t>/</w:t>
                  </w:r>
                </w:p>
              </w:tc>
              <w:tc>
                <w:tcPr>
                  <w:tcW w:w="1239" w:type="dxa"/>
                  <w:vAlign w:val="center"/>
                </w:tcPr>
                <w:p w14:paraId="00F90E81">
                  <w:pPr>
                    <w:jc w:val="center"/>
                    <w:rPr>
                      <w:color w:val="auto"/>
                    </w:rPr>
                  </w:pPr>
                  <w:r>
                    <w:rPr>
                      <w:rFonts w:hint="eastAsia"/>
                      <w:color w:val="auto"/>
                    </w:rPr>
                    <w:t>原料包装</w:t>
                  </w:r>
                </w:p>
              </w:tc>
              <w:tc>
                <w:tcPr>
                  <w:tcW w:w="1160" w:type="dxa"/>
                  <w:vAlign w:val="center"/>
                </w:tcPr>
                <w:p w14:paraId="04D6D897">
                  <w:pPr>
                    <w:jc w:val="center"/>
                    <w:rPr>
                      <w:color w:val="auto"/>
                    </w:rPr>
                  </w:pPr>
                  <w:r>
                    <w:rPr>
                      <w:rFonts w:hint="eastAsia"/>
                      <w:color w:val="auto"/>
                    </w:rPr>
                    <w:t>废包装桶</w:t>
                  </w:r>
                </w:p>
              </w:tc>
              <w:tc>
                <w:tcPr>
                  <w:tcW w:w="1526" w:type="dxa"/>
                  <w:vAlign w:val="center"/>
                </w:tcPr>
                <w:p w14:paraId="32F17D42">
                  <w:pPr>
                    <w:jc w:val="center"/>
                    <w:rPr>
                      <w:color w:val="auto"/>
                    </w:rPr>
                  </w:pPr>
                  <w:r>
                    <w:rPr>
                      <w:rFonts w:hint="eastAsia"/>
                      <w:color w:val="auto"/>
                    </w:rPr>
                    <w:t>沾白油等包装桶</w:t>
                  </w:r>
                </w:p>
              </w:tc>
              <w:tc>
                <w:tcPr>
                  <w:tcW w:w="1398" w:type="dxa"/>
                  <w:vMerge w:val="continue"/>
                  <w:vAlign w:val="center"/>
                </w:tcPr>
                <w:p w14:paraId="52758FB9">
                  <w:pPr>
                    <w:jc w:val="center"/>
                    <w:rPr>
                      <w:color w:val="auto"/>
                    </w:rPr>
                  </w:pPr>
                </w:p>
              </w:tc>
              <w:tc>
                <w:tcPr>
                  <w:tcW w:w="1739" w:type="dxa"/>
                  <w:vMerge w:val="continue"/>
                  <w:vAlign w:val="center"/>
                </w:tcPr>
                <w:p w14:paraId="47F59A3E">
                  <w:pPr>
                    <w:jc w:val="center"/>
                    <w:rPr>
                      <w:color w:val="auto"/>
                    </w:rPr>
                  </w:pPr>
                </w:p>
              </w:tc>
            </w:tr>
            <w:tr w14:paraId="640E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2DCCE5CE">
                  <w:pPr>
                    <w:pStyle w:val="3"/>
                    <w:spacing w:line="240" w:lineRule="auto"/>
                    <w:outlineLvl w:val="2"/>
                    <w:rPr>
                      <w:color w:val="auto"/>
                      <w:sz w:val="21"/>
                    </w:rPr>
                  </w:pPr>
                </w:p>
              </w:tc>
              <w:tc>
                <w:tcPr>
                  <w:tcW w:w="936" w:type="dxa"/>
                  <w:vAlign w:val="center"/>
                </w:tcPr>
                <w:p w14:paraId="68D5A02B">
                  <w:pPr>
                    <w:jc w:val="center"/>
                    <w:rPr>
                      <w:color w:val="auto"/>
                    </w:rPr>
                  </w:pPr>
                  <w:r>
                    <w:rPr>
                      <w:rFonts w:hint="eastAsia"/>
                      <w:color w:val="auto"/>
                    </w:rPr>
                    <w:t>/</w:t>
                  </w:r>
                </w:p>
              </w:tc>
              <w:tc>
                <w:tcPr>
                  <w:tcW w:w="1239" w:type="dxa"/>
                  <w:vMerge w:val="restart"/>
                  <w:vAlign w:val="center"/>
                </w:tcPr>
                <w:p w14:paraId="1EA14306">
                  <w:pPr>
                    <w:jc w:val="center"/>
                    <w:rPr>
                      <w:color w:val="auto"/>
                    </w:rPr>
                  </w:pPr>
                  <w:r>
                    <w:rPr>
                      <w:rFonts w:hint="eastAsia"/>
                      <w:color w:val="auto"/>
                    </w:rPr>
                    <w:t>废气处理</w:t>
                  </w:r>
                </w:p>
              </w:tc>
              <w:tc>
                <w:tcPr>
                  <w:tcW w:w="1160" w:type="dxa"/>
                  <w:vAlign w:val="center"/>
                </w:tcPr>
                <w:p w14:paraId="30E1A9F2">
                  <w:pPr>
                    <w:jc w:val="center"/>
                    <w:rPr>
                      <w:color w:val="auto"/>
                    </w:rPr>
                  </w:pPr>
                  <w:r>
                    <w:rPr>
                      <w:rFonts w:hint="eastAsia"/>
                      <w:color w:val="auto"/>
                    </w:rPr>
                    <w:t>废活性炭</w:t>
                  </w:r>
                </w:p>
              </w:tc>
              <w:tc>
                <w:tcPr>
                  <w:tcW w:w="1526" w:type="dxa"/>
                  <w:vAlign w:val="center"/>
                </w:tcPr>
                <w:p w14:paraId="2FADAEB2">
                  <w:pPr>
                    <w:jc w:val="center"/>
                    <w:rPr>
                      <w:color w:val="auto"/>
                    </w:rPr>
                  </w:pPr>
                  <w:r>
                    <w:rPr>
                      <w:rFonts w:hint="eastAsia"/>
                      <w:color w:val="auto"/>
                    </w:rPr>
                    <w:t>活性炭、有机物</w:t>
                  </w:r>
                </w:p>
              </w:tc>
              <w:tc>
                <w:tcPr>
                  <w:tcW w:w="1398" w:type="dxa"/>
                  <w:vMerge w:val="continue"/>
                  <w:vAlign w:val="center"/>
                </w:tcPr>
                <w:p w14:paraId="61DC5F5F">
                  <w:pPr>
                    <w:jc w:val="center"/>
                    <w:rPr>
                      <w:color w:val="auto"/>
                    </w:rPr>
                  </w:pPr>
                </w:p>
              </w:tc>
              <w:tc>
                <w:tcPr>
                  <w:tcW w:w="1739" w:type="dxa"/>
                  <w:vMerge w:val="continue"/>
                  <w:vAlign w:val="center"/>
                </w:tcPr>
                <w:p w14:paraId="314B33A6">
                  <w:pPr>
                    <w:jc w:val="center"/>
                    <w:rPr>
                      <w:color w:val="auto"/>
                    </w:rPr>
                  </w:pPr>
                </w:p>
              </w:tc>
            </w:tr>
            <w:tr w14:paraId="2A87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0D56A86E">
                  <w:pPr>
                    <w:pStyle w:val="3"/>
                    <w:spacing w:line="240" w:lineRule="auto"/>
                    <w:outlineLvl w:val="2"/>
                    <w:rPr>
                      <w:color w:val="auto"/>
                      <w:sz w:val="21"/>
                    </w:rPr>
                  </w:pPr>
                </w:p>
              </w:tc>
              <w:tc>
                <w:tcPr>
                  <w:tcW w:w="936" w:type="dxa"/>
                  <w:vAlign w:val="center"/>
                </w:tcPr>
                <w:p w14:paraId="57286370">
                  <w:pPr>
                    <w:jc w:val="center"/>
                    <w:rPr>
                      <w:color w:val="auto"/>
                    </w:rPr>
                  </w:pPr>
                  <w:r>
                    <w:rPr>
                      <w:rFonts w:hint="eastAsia"/>
                      <w:color w:val="auto"/>
                    </w:rPr>
                    <w:t>/</w:t>
                  </w:r>
                </w:p>
              </w:tc>
              <w:tc>
                <w:tcPr>
                  <w:tcW w:w="1239" w:type="dxa"/>
                  <w:vMerge w:val="continue"/>
                  <w:vAlign w:val="center"/>
                </w:tcPr>
                <w:p w14:paraId="0C53D07A">
                  <w:pPr>
                    <w:jc w:val="center"/>
                    <w:rPr>
                      <w:color w:val="auto"/>
                    </w:rPr>
                  </w:pPr>
                </w:p>
              </w:tc>
              <w:tc>
                <w:tcPr>
                  <w:tcW w:w="1160" w:type="dxa"/>
                  <w:vAlign w:val="center"/>
                </w:tcPr>
                <w:p w14:paraId="658F53AB">
                  <w:pPr>
                    <w:jc w:val="center"/>
                    <w:rPr>
                      <w:color w:val="auto"/>
                    </w:rPr>
                  </w:pPr>
                  <w:r>
                    <w:rPr>
                      <w:rFonts w:hint="eastAsia"/>
                      <w:color w:val="auto"/>
                    </w:rPr>
                    <w:t>废滤芯</w:t>
                  </w:r>
                </w:p>
              </w:tc>
              <w:tc>
                <w:tcPr>
                  <w:tcW w:w="1526" w:type="dxa"/>
                  <w:vAlign w:val="center"/>
                </w:tcPr>
                <w:p w14:paraId="341AB83E">
                  <w:pPr>
                    <w:jc w:val="center"/>
                    <w:rPr>
                      <w:color w:val="auto"/>
                    </w:rPr>
                  </w:pPr>
                  <w:r>
                    <w:rPr>
                      <w:rFonts w:hint="eastAsia"/>
                      <w:color w:val="auto"/>
                    </w:rPr>
                    <w:t>废滤芯</w:t>
                  </w:r>
                </w:p>
              </w:tc>
              <w:tc>
                <w:tcPr>
                  <w:tcW w:w="1398" w:type="dxa"/>
                  <w:vAlign w:val="center"/>
                </w:tcPr>
                <w:p w14:paraId="1F5A6554">
                  <w:pPr>
                    <w:jc w:val="center"/>
                    <w:rPr>
                      <w:color w:val="auto"/>
                    </w:rPr>
                  </w:pPr>
                  <w:r>
                    <w:rPr>
                      <w:rFonts w:hint="eastAsia"/>
                      <w:color w:val="auto"/>
                    </w:rPr>
                    <w:t>外售综合利用</w:t>
                  </w:r>
                </w:p>
              </w:tc>
              <w:tc>
                <w:tcPr>
                  <w:tcW w:w="1739" w:type="dxa"/>
                  <w:vAlign w:val="center"/>
                </w:tcPr>
                <w:p w14:paraId="7CBE9698">
                  <w:pPr>
                    <w:jc w:val="center"/>
                    <w:rPr>
                      <w:color w:val="auto"/>
                    </w:rPr>
                  </w:pPr>
                  <w:r>
                    <w:rPr>
                      <w:rFonts w:hint="eastAsia"/>
                      <w:color w:val="auto"/>
                    </w:rPr>
                    <w:t>有效处置</w:t>
                  </w:r>
                </w:p>
              </w:tc>
            </w:tr>
            <w:tr w14:paraId="6DFF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52FA7A24">
                  <w:pPr>
                    <w:pStyle w:val="3"/>
                    <w:spacing w:line="240" w:lineRule="auto"/>
                    <w:outlineLvl w:val="2"/>
                    <w:rPr>
                      <w:color w:val="auto"/>
                      <w:sz w:val="21"/>
                    </w:rPr>
                  </w:pPr>
                </w:p>
              </w:tc>
              <w:tc>
                <w:tcPr>
                  <w:tcW w:w="936" w:type="dxa"/>
                  <w:vAlign w:val="center"/>
                </w:tcPr>
                <w:p w14:paraId="59A1B043">
                  <w:pPr>
                    <w:jc w:val="center"/>
                    <w:rPr>
                      <w:color w:val="auto"/>
                    </w:rPr>
                  </w:pPr>
                  <w:r>
                    <w:rPr>
                      <w:rFonts w:hint="eastAsia"/>
                      <w:color w:val="auto"/>
                    </w:rPr>
                    <w:t>/</w:t>
                  </w:r>
                </w:p>
              </w:tc>
              <w:tc>
                <w:tcPr>
                  <w:tcW w:w="1239" w:type="dxa"/>
                  <w:vAlign w:val="center"/>
                </w:tcPr>
                <w:p w14:paraId="7DD04AA0">
                  <w:pPr>
                    <w:jc w:val="center"/>
                    <w:rPr>
                      <w:color w:val="auto"/>
                    </w:rPr>
                  </w:pPr>
                  <w:r>
                    <w:rPr>
                      <w:rFonts w:hint="eastAsia"/>
                      <w:color w:val="auto"/>
                    </w:rPr>
                    <w:t>隔油池清理</w:t>
                  </w:r>
                </w:p>
              </w:tc>
              <w:tc>
                <w:tcPr>
                  <w:tcW w:w="1160" w:type="dxa"/>
                  <w:vAlign w:val="center"/>
                </w:tcPr>
                <w:p w14:paraId="780B0169">
                  <w:pPr>
                    <w:jc w:val="center"/>
                    <w:rPr>
                      <w:rFonts w:hint="eastAsia" w:eastAsia="宋体"/>
                      <w:color w:val="auto"/>
                      <w:lang w:val="en-US" w:eastAsia="zh-CN"/>
                    </w:rPr>
                  </w:pPr>
                  <w:r>
                    <w:rPr>
                      <w:rFonts w:hint="eastAsia"/>
                      <w:color w:val="auto"/>
                    </w:rPr>
                    <w:t>废油</w:t>
                  </w:r>
                </w:p>
              </w:tc>
              <w:tc>
                <w:tcPr>
                  <w:tcW w:w="1526" w:type="dxa"/>
                  <w:vAlign w:val="center"/>
                </w:tcPr>
                <w:p w14:paraId="6B7B2587">
                  <w:pPr>
                    <w:jc w:val="center"/>
                    <w:rPr>
                      <w:color w:val="auto"/>
                    </w:rPr>
                  </w:pPr>
                  <w:r>
                    <w:rPr>
                      <w:rFonts w:hint="eastAsia"/>
                      <w:color w:val="auto"/>
                    </w:rPr>
                    <w:t>废油</w:t>
                  </w:r>
                </w:p>
              </w:tc>
              <w:tc>
                <w:tcPr>
                  <w:tcW w:w="1398" w:type="dxa"/>
                  <w:vAlign w:val="center"/>
                </w:tcPr>
                <w:p w14:paraId="00C86049">
                  <w:pPr>
                    <w:jc w:val="center"/>
                    <w:rPr>
                      <w:rFonts w:hint="default" w:eastAsia="宋体"/>
                      <w:color w:val="auto"/>
                      <w:lang w:val="en-US" w:eastAsia="zh-CN"/>
                    </w:rPr>
                  </w:pPr>
                  <w:r>
                    <w:rPr>
                      <w:rFonts w:hint="eastAsia"/>
                      <w:color w:val="auto"/>
                      <w:lang w:val="en-US" w:eastAsia="zh-CN"/>
                    </w:rPr>
                    <w:t>委托专业单位处理</w:t>
                  </w:r>
                </w:p>
              </w:tc>
              <w:tc>
                <w:tcPr>
                  <w:tcW w:w="1739" w:type="dxa"/>
                  <w:vAlign w:val="center"/>
                </w:tcPr>
                <w:p w14:paraId="13125850">
                  <w:pPr>
                    <w:jc w:val="center"/>
                    <w:rPr>
                      <w:color w:val="auto"/>
                    </w:rPr>
                  </w:pPr>
                  <w:r>
                    <w:rPr>
                      <w:rFonts w:hint="eastAsia"/>
                      <w:color w:val="auto"/>
                    </w:rPr>
                    <w:t>有效处置</w:t>
                  </w:r>
                </w:p>
              </w:tc>
            </w:tr>
            <w:tr w14:paraId="17F2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475BCBD6">
                  <w:pPr>
                    <w:pStyle w:val="3"/>
                    <w:spacing w:line="240" w:lineRule="auto"/>
                    <w:outlineLvl w:val="2"/>
                    <w:rPr>
                      <w:color w:val="auto"/>
                      <w:sz w:val="21"/>
                    </w:rPr>
                  </w:pPr>
                </w:p>
              </w:tc>
              <w:tc>
                <w:tcPr>
                  <w:tcW w:w="936" w:type="dxa"/>
                  <w:vAlign w:val="center"/>
                </w:tcPr>
                <w:p w14:paraId="00DBDBFA">
                  <w:pPr>
                    <w:jc w:val="center"/>
                    <w:rPr>
                      <w:rFonts w:hint="eastAsia"/>
                      <w:color w:val="auto"/>
                    </w:rPr>
                  </w:pPr>
                  <w:r>
                    <w:rPr>
                      <w:rFonts w:hint="eastAsia"/>
                      <w:color w:val="auto"/>
                    </w:rPr>
                    <w:t>/</w:t>
                  </w:r>
                </w:p>
              </w:tc>
              <w:tc>
                <w:tcPr>
                  <w:tcW w:w="1239" w:type="dxa"/>
                  <w:vAlign w:val="center"/>
                </w:tcPr>
                <w:p w14:paraId="718B16C0">
                  <w:pPr>
                    <w:jc w:val="center"/>
                    <w:rPr>
                      <w:rFonts w:hint="default" w:eastAsia="宋体"/>
                      <w:color w:val="auto"/>
                      <w:lang w:val="en-US" w:eastAsia="zh-CN"/>
                    </w:rPr>
                  </w:pPr>
                  <w:r>
                    <w:rPr>
                      <w:rFonts w:hint="eastAsia"/>
                      <w:color w:val="auto"/>
                      <w:lang w:val="en-US" w:eastAsia="zh-CN"/>
                    </w:rPr>
                    <w:t>设备维护</w:t>
                  </w:r>
                </w:p>
              </w:tc>
              <w:tc>
                <w:tcPr>
                  <w:tcW w:w="1160" w:type="dxa"/>
                  <w:vAlign w:val="center"/>
                </w:tcPr>
                <w:p w14:paraId="2FC91CDC">
                  <w:pPr>
                    <w:jc w:val="center"/>
                    <w:rPr>
                      <w:rFonts w:hint="default" w:eastAsia="宋体"/>
                      <w:color w:val="auto"/>
                      <w:lang w:val="en-US" w:eastAsia="zh-CN"/>
                    </w:rPr>
                  </w:pPr>
                  <w:r>
                    <w:rPr>
                      <w:rFonts w:hint="eastAsia"/>
                      <w:color w:val="auto"/>
                      <w:lang w:val="en-US" w:eastAsia="zh-CN"/>
                    </w:rPr>
                    <w:t>废机油</w:t>
                  </w:r>
                </w:p>
              </w:tc>
              <w:tc>
                <w:tcPr>
                  <w:tcW w:w="1526" w:type="dxa"/>
                  <w:vAlign w:val="center"/>
                </w:tcPr>
                <w:p w14:paraId="356FE1D4">
                  <w:pPr>
                    <w:jc w:val="center"/>
                    <w:rPr>
                      <w:rFonts w:hint="eastAsia"/>
                      <w:color w:val="auto"/>
                    </w:rPr>
                  </w:pPr>
                  <w:r>
                    <w:rPr>
                      <w:rFonts w:hint="eastAsia"/>
                      <w:color w:val="auto"/>
                    </w:rPr>
                    <w:t>废</w:t>
                  </w:r>
                  <w:r>
                    <w:rPr>
                      <w:rFonts w:hint="eastAsia"/>
                      <w:color w:val="auto"/>
                      <w:lang w:val="en-US" w:eastAsia="zh-CN"/>
                    </w:rPr>
                    <w:t>机</w:t>
                  </w:r>
                  <w:r>
                    <w:rPr>
                      <w:rFonts w:hint="eastAsia"/>
                      <w:color w:val="auto"/>
                    </w:rPr>
                    <w:t>油</w:t>
                  </w:r>
                </w:p>
              </w:tc>
              <w:tc>
                <w:tcPr>
                  <w:tcW w:w="1398" w:type="dxa"/>
                  <w:vAlign w:val="center"/>
                </w:tcPr>
                <w:p w14:paraId="134DBB7B">
                  <w:pPr>
                    <w:jc w:val="center"/>
                    <w:rPr>
                      <w:rFonts w:hint="eastAsia"/>
                      <w:color w:val="auto"/>
                      <w:lang w:val="en-US" w:eastAsia="zh-CN"/>
                    </w:rPr>
                  </w:pPr>
                  <w:r>
                    <w:rPr>
                      <w:rFonts w:hint="eastAsia"/>
                      <w:color w:val="auto"/>
                    </w:rPr>
                    <w:t>委托有资质单位处置</w:t>
                  </w:r>
                </w:p>
              </w:tc>
              <w:tc>
                <w:tcPr>
                  <w:tcW w:w="1739" w:type="dxa"/>
                  <w:vAlign w:val="center"/>
                </w:tcPr>
                <w:p w14:paraId="392E8F53">
                  <w:pPr>
                    <w:jc w:val="center"/>
                    <w:rPr>
                      <w:rFonts w:hint="eastAsia"/>
                      <w:color w:val="auto"/>
                    </w:rPr>
                  </w:pPr>
                  <w:r>
                    <w:rPr>
                      <w:rFonts w:hint="eastAsia"/>
                      <w:color w:val="auto"/>
                    </w:rPr>
                    <w:t>有效处置</w:t>
                  </w:r>
                </w:p>
              </w:tc>
            </w:tr>
            <w:tr w14:paraId="5077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6437D901">
                  <w:pPr>
                    <w:pStyle w:val="3"/>
                    <w:spacing w:line="240" w:lineRule="auto"/>
                    <w:outlineLvl w:val="2"/>
                    <w:rPr>
                      <w:color w:val="auto"/>
                      <w:sz w:val="21"/>
                    </w:rPr>
                  </w:pPr>
                </w:p>
              </w:tc>
              <w:tc>
                <w:tcPr>
                  <w:tcW w:w="936" w:type="dxa"/>
                  <w:vAlign w:val="center"/>
                </w:tcPr>
                <w:p w14:paraId="1403524F">
                  <w:pPr>
                    <w:jc w:val="center"/>
                    <w:rPr>
                      <w:rFonts w:hint="eastAsia"/>
                      <w:color w:val="auto"/>
                    </w:rPr>
                  </w:pPr>
                  <w:r>
                    <w:rPr>
                      <w:rFonts w:hint="eastAsia"/>
                      <w:color w:val="auto"/>
                    </w:rPr>
                    <w:t>/</w:t>
                  </w:r>
                </w:p>
              </w:tc>
              <w:tc>
                <w:tcPr>
                  <w:tcW w:w="1239" w:type="dxa"/>
                  <w:vAlign w:val="center"/>
                </w:tcPr>
                <w:p w14:paraId="4D5928C8">
                  <w:pPr>
                    <w:jc w:val="center"/>
                    <w:rPr>
                      <w:rFonts w:hint="default"/>
                      <w:color w:val="auto"/>
                      <w:lang w:val="en-US" w:eastAsia="zh-CN"/>
                    </w:rPr>
                  </w:pPr>
                  <w:r>
                    <w:rPr>
                      <w:rFonts w:hint="eastAsia"/>
                      <w:color w:val="auto"/>
                      <w:lang w:val="en-US" w:eastAsia="zh-CN"/>
                    </w:rPr>
                    <w:t>原料包装</w:t>
                  </w:r>
                </w:p>
              </w:tc>
              <w:tc>
                <w:tcPr>
                  <w:tcW w:w="1160" w:type="dxa"/>
                  <w:vAlign w:val="center"/>
                </w:tcPr>
                <w:p w14:paraId="545ED400">
                  <w:pPr>
                    <w:jc w:val="center"/>
                    <w:rPr>
                      <w:rFonts w:hint="default"/>
                      <w:color w:val="auto"/>
                      <w:lang w:val="en-US" w:eastAsia="zh-CN"/>
                    </w:rPr>
                  </w:pPr>
                  <w:r>
                    <w:rPr>
                      <w:rFonts w:hint="eastAsia"/>
                      <w:color w:val="auto"/>
                      <w:lang w:val="en-US" w:eastAsia="zh-CN"/>
                    </w:rPr>
                    <w:t>废包装袋</w:t>
                  </w:r>
                </w:p>
              </w:tc>
              <w:tc>
                <w:tcPr>
                  <w:tcW w:w="1526" w:type="dxa"/>
                  <w:vAlign w:val="center"/>
                </w:tcPr>
                <w:p w14:paraId="00E0CC0D">
                  <w:pPr>
                    <w:jc w:val="center"/>
                    <w:rPr>
                      <w:rFonts w:hint="eastAsia"/>
                      <w:color w:val="auto"/>
                    </w:rPr>
                  </w:pPr>
                  <w:r>
                    <w:rPr>
                      <w:rFonts w:hint="eastAsia"/>
                      <w:color w:val="auto"/>
                      <w:lang w:val="en-US" w:eastAsia="zh-CN"/>
                    </w:rPr>
                    <w:t>废包装袋</w:t>
                  </w:r>
                </w:p>
              </w:tc>
              <w:tc>
                <w:tcPr>
                  <w:tcW w:w="1398" w:type="dxa"/>
                  <w:vAlign w:val="center"/>
                </w:tcPr>
                <w:p w14:paraId="2ACD0BA7">
                  <w:pPr>
                    <w:jc w:val="center"/>
                    <w:rPr>
                      <w:rFonts w:hint="eastAsia"/>
                      <w:color w:val="auto"/>
                    </w:rPr>
                  </w:pPr>
                  <w:r>
                    <w:rPr>
                      <w:rFonts w:hint="eastAsia"/>
                      <w:color w:val="auto"/>
                    </w:rPr>
                    <w:t>外售综合利用</w:t>
                  </w:r>
                </w:p>
              </w:tc>
              <w:tc>
                <w:tcPr>
                  <w:tcW w:w="1739" w:type="dxa"/>
                  <w:vAlign w:val="center"/>
                </w:tcPr>
                <w:p w14:paraId="5083ABB2">
                  <w:pPr>
                    <w:jc w:val="center"/>
                    <w:rPr>
                      <w:rFonts w:hint="eastAsia"/>
                      <w:color w:val="auto"/>
                    </w:rPr>
                  </w:pPr>
                  <w:r>
                    <w:rPr>
                      <w:rFonts w:hint="eastAsia"/>
                      <w:color w:val="auto"/>
                    </w:rPr>
                    <w:t>有效处置</w:t>
                  </w:r>
                </w:p>
              </w:tc>
            </w:tr>
            <w:tr w14:paraId="43CC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3DD2234">
                  <w:pPr>
                    <w:pStyle w:val="3"/>
                    <w:spacing w:line="240" w:lineRule="auto"/>
                    <w:jc w:val="center"/>
                    <w:outlineLvl w:val="2"/>
                    <w:rPr>
                      <w:color w:val="auto"/>
                      <w:sz w:val="21"/>
                    </w:rPr>
                  </w:pPr>
                  <w:r>
                    <w:rPr>
                      <w:rFonts w:hint="eastAsia"/>
                      <w:color w:val="auto"/>
                      <w:sz w:val="21"/>
                    </w:rPr>
                    <w:t>噪声</w:t>
                  </w:r>
                </w:p>
              </w:tc>
              <w:tc>
                <w:tcPr>
                  <w:tcW w:w="936" w:type="dxa"/>
                  <w:vAlign w:val="center"/>
                </w:tcPr>
                <w:p w14:paraId="42E4C0E0">
                  <w:pPr>
                    <w:jc w:val="center"/>
                    <w:rPr>
                      <w:color w:val="auto"/>
                    </w:rPr>
                  </w:pPr>
                  <w:r>
                    <w:rPr>
                      <w:rFonts w:hint="eastAsia"/>
                      <w:color w:val="auto"/>
                    </w:rPr>
                    <w:t>N</w:t>
                  </w:r>
                </w:p>
              </w:tc>
              <w:tc>
                <w:tcPr>
                  <w:tcW w:w="1239" w:type="dxa"/>
                  <w:vAlign w:val="center"/>
                </w:tcPr>
                <w:p w14:paraId="2F1F3188">
                  <w:pPr>
                    <w:jc w:val="center"/>
                    <w:rPr>
                      <w:color w:val="auto"/>
                    </w:rPr>
                  </w:pPr>
                  <w:r>
                    <w:rPr>
                      <w:rFonts w:hint="eastAsia"/>
                      <w:color w:val="auto"/>
                    </w:rPr>
                    <w:t>设备运行</w:t>
                  </w:r>
                </w:p>
              </w:tc>
              <w:tc>
                <w:tcPr>
                  <w:tcW w:w="1160" w:type="dxa"/>
                  <w:vAlign w:val="center"/>
                </w:tcPr>
                <w:p w14:paraId="7785027C">
                  <w:pPr>
                    <w:jc w:val="center"/>
                    <w:rPr>
                      <w:color w:val="auto"/>
                    </w:rPr>
                  </w:pPr>
                  <w:r>
                    <w:rPr>
                      <w:rFonts w:hint="eastAsia"/>
                      <w:color w:val="auto"/>
                    </w:rPr>
                    <w:t>/</w:t>
                  </w:r>
                </w:p>
              </w:tc>
              <w:tc>
                <w:tcPr>
                  <w:tcW w:w="1526" w:type="dxa"/>
                  <w:vAlign w:val="center"/>
                </w:tcPr>
                <w:p w14:paraId="60B321D5">
                  <w:pPr>
                    <w:jc w:val="center"/>
                    <w:rPr>
                      <w:color w:val="auto"/>
                    </w:rPr>
                  </w:pPr>
                  <w:r>
                    <w:rPr>
                      <w:rFonts w:hint="eastAsia"/>
                      <w:color w:val="auto"/>
                    </w:rPr>
                    <w:t>Lep（A）</w:t>
                  </w:r>
                </w:p>
              </w:tc>
              <w:tc>
                <w:tcPr>
                  <w:tcW w:w="1398" w:type="dxa"/>
                  <w:vAlign w:val="center"/>
                </w:tcPr>
                <w:p w14:paraId="76F70529">
                  <w:pPr>
                    <w:jc w:val="center"/>
                    <w:rPr>
                      <w:color w:val="auto"/>
                    </w:rPr>
                  </w:pPr>
                  <w:r>
                    <w:rPr>
                      <w:rFonts w:hint="eastAsia"/>
                      <w:color w:val="auto"/>
                    </w:rPr>
                    <w:t>降噪、减噪</w:t>
                  </w:r>
                </w:p>
              </w:tc>
              <w:tc>
                <w:tcPr>
                  <w:tcW w:w="1739" w:type="dxa"/>
                  <w:vAlign w:val="center"/>
                </w:tcPr>
                <w:p w14:paraId="116CB364">
                  <w:pPr>
                    <w:jc w:val="center"/>
                    <w:rPr>
                      <w:color w:val="auto"/>
                    </w:rPr>
                  </w:pPr>
                  <w:r>
                    <w:rPr>
                      <w:rFonts w:hint="eastAsia"/>
                      <w:color w:val="auto"/>
                    </w:rPr>
                    <w:t>/</w:t>
                  </w:r>
                </w:p>
              </w:tc>
            </w:tr>
          </w:tbl>
          <w:p w14:paraId="665922B5">
            <w:pPr>
              <w:pStyle w:val="11"/>
              <w:numPr>
                <w:ilvl w:val="0"/>
                <w:numId w:val="0"/>
              </w:numPr>
              <w:rPr>
                <w:color w:val="auto"/>
              </w:rPr>
            </w:pPr>
          </w:p>
          <w:p w14:paraId="7A8160C8">
            <w:pPr>
              <w:pStyle w:val="11"/>
              <w:numPr>
                <w:ilvl w:val="0"/>
                <w:numId w:val="0"/>
              </w:numPr>
              <w:ind w:firstLine="210" w:firstLineChars="100"/>
              <w:rPr>
                <w:rFonts w:hint="default" w:eastAsia="宋体"/>
                <w:color w:val="auto"/>
                <w:lang w:val="en-US" w:eastAsia="zh-CN"/>
              </w:rPr>
            </w:pPr>
          </w:p>
        </w:tc>
      </w:tr>
    </w:tbl>
    <w:tbl>
      <w:tblPr>
        <w:tblStyle w:val="22"/>
        <w:tblW w:w="992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06"/>
        <w:gridCol w:w="9315"/>
      </w:tblGrid>
      <w:tr w14:paraId="47771F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19" w:hRule="atLeast"/>
          <w:jc w:val="center"/>
        </w:trPr>
        <w:tc>
          <w:tcPr>
            <w:tcW w:w="606" w:type="dxa"/>
            <w:tcBorders>
              <w:tl2br w:val="nil"/>
              <w:tr2bl w:val="nil"/>
            </w:tcBorders>
            <w:vAlign w:val="center"/>
          </w:tcPr>
          <w:p w14:paraId="55096B22">
            <w:pPr>
              <w:pStyle w:val="19"/>
              <w:adjustRightInd w:val="0"/>
              <w:spacing w:before="0" w:beforeAutospacing="0" w:after="0" w:afterAutospacing="0" w:line="480" w:lineRule="auto"/>
              <w:jc w:val="center"/>
              <w:rPr>
                <w:rFonts w:cs="宋体"/>
                <w:color w:val="auto"/>
                <w:szCs w:val="24"/>
              </w:rPr>
            </w:pPr>
            <w:r>
              <w:rPr>
                <w:rFonts w:hint="eastAsia"/>
                <w:color w:val="auto"/>
                <w:kern w:val="2"/>
                <w:szCs w:val="22"/>
              </w:rPr>
              <w:t>与项目有关的原有环境污染问题</w:t>
            </w:r>
          </w:p>
        </w:tc>
        <w:tc>
          <w:tcPr>
            <w:tcW w:w="9315" w:type="dxa"/>
            <w:tcBorders>
              <w:tl2br w:val="nil"/>
              <w:tr2bl w:val="nil"/>
            </w:tcBorders>
          </w:tcPr>
          <w:p w14:paraId="6336EF8C">
            <w:pPr>
              <w:keepNext w:val="0"/>
              <w:keepLines w:val="0"/>
              <w:pageBreakBefore w:val="0"/>
              <w:kinsoku/>
              <w:wordWrap/>
              <w:overflowPunct/>
              <w:topLinePunct w:val="0"/>
              <w:autoSpaceDE/>
              <w:autoSpaceDN/>
              <w:bidi w:val="0"/>
              <w:adjustRightInd/>
              <w:snapToGrid w:val="0"/>
              <w:spacing w:line="360" w:lineRule="auto"/>
              <w:ind w:right="0" w:firstLine="480" w:firstLineChars="200"/>
              <w:textAlignment w:val="auto"/>
              <w:rPr>
                <w:color w:val="auto"/>
                <w:sz w:val="24"/>
                <w:szCs w:val="24"/>
              </w:rPr>
            </w:pPr>
            <w:r>
              <w:rPr>
                <w:color w:val="auto"/>
                <w:sz w:val="24"/>
                <w:szCs w:val="24"/>
              </w:rPr>
              <w:t>1、</w:t>
            </w:r>
            <w:r>
              <w:rPr>
                <w:rFonts w:hint="eastAsia"/>
                <w:color w:val="auto"/>
                <w:sz w:val="24"/>
                <w:szCs w:val="24"/>
              </w:rPr>
              <w:t>原有</w:t>
            </w:r>
            <w:r>
              <w:rPr>
                <w:color w:val="auto"/>
                <w:sz w:val="24"/>
                <w:szCs w:val="24"/>
              </w:rPr>
              <w:t>项目</w:t>
            </w:r>
            <w:r>
              <w:rPr>
                <w:rFonts w:hint="eastAsia"/>
                <w:color w:val="auto"/>
                <w:sz w:val="24"/>
                <w:szCs w:val="24"/>
              </w:rPr>
              <w:t>环保</w:t>
            </w:r>
            <w:r>
              <w:rPr>
                <w:color w:val="auto"/>
                <w:sz w:val="24"/>
                <w:szCs w:val="24"/>
              </w:rPr>
              <w:t>手续情况</w:t>
            </w:r>
          </w:p>
          <w:p w14:paraId="6287FCA1">
            <w:pPr>
              <w:keepNext w:val="0"/>
              <w:keepLines w:val="0"/>
              <w:pageBreakBefore w:val="0"/>
              <w:kinsoku/>
              <w:wordWrap/>
              <w:overflowPunct/>
              <w:topLinePunct w:val="0"/>
              <w:autoSpaceDE/>
              <w:autoSpaceDN/>
              <w:bidi w:val="0"/>
              <w:adjustRightInd/>
              <w:snapToGrid w:val="0"/>
              <w:spacing w:line="360" w:lineRule="auto"/>
              <w:ind w:right="0" w:firstLine="480" w:firstLineChars="200"/>
              <w:textAlignment w:val="auto"/>
              <w:rPr>
                <w:color w:val="auto"/>
                <w:sz w:val="24"/>
                <w:szCs w:val="24"/>
              </w:rPr>
            </w:pPr>
            <w:r>
              <w:rPr>
                <w:rFonts w:hint="eastAsia"/>
                <w:color w:val="auto"/>
                <w:sz w:val="24"/>
                <w:szCs w:val="24"/>
              </w:rPr>
              <w:t>（1）</w:t>
            </w:r>
            <w:r>
              <w:rPr>
                <w:color w:val="auto"/>
                <w:sz w:val="24"/>
                <w:szCs w:val="24"/>
              </w:rPr>
              <w:t>“新建</w:t>
            </w:r>
            <w:r>
              <w:rPr>
                <w:rFonts w:hint="eastAsia"/>
                <w:color w:val="auto"/>
                <w:sz w:val="24"/>
                <w:szCs w:val="24"/>
              </w:rPr>
              <w:t>LED灯具、音源电源、电子适配器、充电器</w:t>
            </w:r>
            <w:r>
              <w:rPr>
                <w:color w:val="auto"/>
                <w:sz w:val="24"/>
                <w:szCs w:val="24"/>
              </w:rPr>
              <w:t>项目”：</w:t>
            </w:r>
            <w:r>
              <w:rPr>
                <w:rFonts w:hint="eastAsia"/>
                <w:color w:val="auto"/>
                <w:sz w:val="24"/>
                <w:szCs w:val="24"/>
              </w:rPr>
              <w:t>江苏科谷电子有限公司于</w:t>
            </w:r>
            <w:r>
              <w:rPr>
                <w:color w:val="auto"/>
                <w:sz w:val="24"/>
                <w:szCs w:val="24"/>
              </w:rPr>
              <w:t>20</w:t>
            </w:r>
            <w:r>
              <w:rPr>
                <w:rFonts w:hint="eastAsia"/>
                <w:color w:val="auto"/>
                <w:sz w:val="24"/>
                <w:szCs w:val="24"/>
              </w:rPr>
              <w:t>15</w:t>
            </w:r>
            <w:r>
              <w:rPr>
                <w:color w:val="auto"/>
                <w:sz w:val="24"/>
                <w:szCs w:val="24"/>
              </w:rPr>
              <w:t>年</w:t>
            </w:r>
            <w:r>
              <w:rPr>
                <w:rFonts w:hint="eastAsia"/>
                <w:color w:val="auto"/>
                <w:sz w:val="24"/>
                <w:szCs w:val="24"/>
              </w:rPr>
              <w:t>9</w:t>
            </w:r>
            <w:r>
              <w:rPr>
                <w:color w:val="auto"/>
                <w:sz w:val="24"/>
                <w:szCs w:val="24"/>
              </w:rPr>
              <w:t>月</w:t>
            </w:r>
            <w:r>
              <w:rPr>
                <w:rFonts w:hint="eastAsia"/>
                <w:color w:val="auto"/>
                <w:sz w:val="24"/>
                <w:szCs w:val="24"/>
              </w:rPr>
              <w:t>取得</w:t>
            </w:r>
            <w:r>
              <w:rPr>
                <w:color w:val="auto"/>
                <w:sz w:val="24"/>
                <w:szCs w:val="24"/>
              </w:rPr>
              <w:t>了</w:t>
            </w:r>
            <w:r>
              <w:rPr>
                <w:rFonts w:hint="eastAsia"/>
                <w:color w:val="auto"/>
                <w:sz w:val="24"/>
                <w:szCs w:val="24"/>
              </w:rPr>
              <w:t>“</w:t>
            </w:r>
            <w:r>
              <w:rPr>
                <w:color w:val="auto"/>
                <w:sz w:val="24"/>
                <w:szCs w:val="24"/>
              </w:rPr>
              <w:t>新建</w:t>
            </w:r>
            <w:r>
              <w:rPr>
                <w:rFonts w:hint="eastAsia"/>
                <w:color w:val="auto"/>
                <w:sz w:val="24"/>
                <w:szCs w:val="24"/>
              </w:rPr>
              <w:t>LED灯具、音源电源、电子适配器、充电器</w:t>
            </w:r>
            <w:r>
              <w:rPr>
                <w:color w:val="auto"/>
                <w:sz w:val="24"/>
                <w:szCs w:val="24"/>
              </w:rPr>
              <w:t>项目</w:t>
            </w:r>
            <w:r>
              <w:rPr>
                <w:rFonts w:hint="eastAsia"/>
                <w:color w:val="auto"/>
                <w:sz w:val="24"/>
                <w:szCs w:val="24"/>
              </w:rPr>
              <w:t>”环评批复</w:t>
            </w:r>
            <w:r>
              <w:rPr>
                <w:color w:val="auto"/>
                <w:sz w:val="24"/>
                <w:szCs w:val="24"/>
              </w:rPr>
              <w:t>，并</w:t>
            </w:r>
            <w:r>
              <w:rPr>
                <w:rFonts w:hint="eastAsia"/>
                <w:color w:val="auto"/>
                <w:sz w:val="24"/>
                <w:szCs w:val="24"/>
              </w:rPr>
              <w:t>于2018年12月通过了环保三同时验收</w:t>
            </w:r>
            <w:r>
              <w:rPr>
                <w:color w:val="auto"/>
                <w:sz w:val="24"/>
                <w:szCs w:val="24"/>
              </w:rPr>
              <w:t>。</w:t>
            </w:r>
          </w:p>
          <w:p w14:paraId="373282C7">
            <w:pPr>
              <w:keepNext w:val="0"/>
              <w:keepLines w:val="0"/>
              <w:pageBreakBefore w:val="0"/>
              <w:kinsoku/>
              <w:wordWrap/>
              <w:overflowPunct/>
              <w:topLinePunct w:val="0"/>
              <w:autoSpaceDE/>
              <w:autoSpaceDN/>
              <w:bidi w:val="0"/>
              <w:adjustRightInd/>
              <w:snapToGrid w:val="0"/>
              <w:spacing w:line="360" w:lineRule="auto"/>
              <w:ind w:right="0" w:firstLine="480" w:firstLineChars="200"/>
              <w:textAlignment w:val="auto"/>
              <w:rPr>
                <w:color w:val="auto"/>
                <w:sz w:val="24"/>
                <w:szCs w:val="24"/>
              </w:rPr>
            </w:pPr>
            <w:r>
              <w:rPr>
                <w:rFonts w:hint="eastAsia"/>
                <w:color w:val="auto"/>
                <w:sz w:val="24"/>
                <w:szCs w:val="24"/>
              </w:rPr>
              <w:t>（2）企业于2020年9月8日取得排污许可登记证（编号：91320413086964125Y002W）。</w:t>
            </w:r>
          </w:p>
          <w:p w14:paraId="55681BBF">
            <w:pPr>
              <w:pStyle w:val="8"/>
              <w:keepNext w:val="0"/>
              <w:keepLines w:val="0"/>
              <w:pageBreakBefore w:val="0"/>
              <w:kinsoku/>
              <w:wordWrap/>
              <w:overflowPunct/>
              <w:topLinePunct w:val="0"/>
              <w:autoSpaceDE/>
              <w:autoSpaceDN/>
              <w:bidi w:val="0"/>
              <w:adjustRightInd/>
              <w:snapToGrid w:val="0"/>
              <w:spacing w:before="0" w:after="0" w:line="360" w:lineRule="auto"/>
              <w:ind w:right="0" w:firstLine="480" w:firstLineChars="200"/>
              <w:textAlignment w:val="auto"/>
              <w:rPr>
                <w:color w:val="auto"/>
                <w:kern w:val="2"/>
                <w:sz w:val="24"/>
                <w:szCs w:val="24"/>
              </w:rPr>
            </w:pPr>
            <w:r>
              <w:rPr>
                <w:rFonts w:hint="eastAsia"/>
                <w:color w:val="auto"/>
                <w:kern w:val="2"/>
                <w:sz w:val="24"/>
                <w:szCs w:val="24"/>
              </w:rPr>
              <w:t>（3）未编制突发环境事件应急预案。</w:t>
            </w:r>
          </w:p>
          <w:p w14:paraId="4ECAF2B0">
            <w:pPr>
              <w:pStyle w:val="8"/>
              <w:keepNext w:val="0"/>
              <w:keepLines w:val="0"/>
              <w:pageBreakBefore w:val="0"/>
              <w:kinsoku/>
              <w:wordWrap/>
              <w:overflowPunct/>
              <w:topLinePunct w:val="0"/>
              <w:autoSpaceDE/>
              <w:autoSpaceDN/>
              <w:bidi w:val="0"/>
              <w:adjustRightInd/>
              <w:snapToGrid w:val="0"/>
              <w:spacing w:before="0" w:after="0" w:line="360" w:lineRule="auto"/>
              <w:ind w:right="0" w:firstLine="480" w:firstLineChars="200"/>
              <w:textAlignment w:val="auto"/>
              <w:rPr>
                <w:color w:val="auto"/>
              </w:rPr>
            </w:pPr>
            <w:r>
              <w:rPr>
                <w:rFonts w:hint="eastAsia"/>
                <w:color w:val="auto"/>
                <w:sz w:val="24"/>
                <w:szCs w:val="24"/>
              </w:rPr>
              <w:t>目前原有项目已</w:t>
            </w:r>
            <w:r>
              <w:rPr>
                <w:rFonts w:hint="eastAsia"/>
                <w:color w:val="auto"/>
                <w:sz w:val="24"/>
                <w:szCs w:val="24"/>
                <w:lang w:val="en-US" w:eastAsia="zh-CN"/>
              </w:rPr>
              <w:t>于2024年6月</w:t>
            </w:r>
            <w:r>
              <w:rPr>
                <w:rFonts w:hint="eastAsia"/>
                <w:color w:val="auto"/>
                <w:sz w:val="24"/>
                <w:szCs w:val="24"/>
              </w:rPr>
              <w:t>停止生产，</w:t>
            </w:r>
            <w:r>
              <w:rPr>
                <w:rFonts w:hint="eastAsia"/>
                <w:color w:val="auto"/>
                <w:sz w:val="24"/>
                <w:szCs w:val="24"/>
                <w:lang w:val="en-US" w:eastAsia="zh-CN"/>
              </w:rPr>
              <w:t>2024年6月底</w:t>
            </w:r>
            <w:r>
              <w:rPr>
                <w:rFonts w:hint="eastAsia"/>
                <w:color w:val="auto"/>
                <w:sz w:val="24"/>
                <w:szCs w:val="24"/>
              </w:rPr>
              <w:t>设备已拆除</w:t>
            </w:r>
            <w:r>
              <w:rPr>
                <w:rFonts w:hint="eastAsia"/>
                <w:color w:val="auto"/>
                <w:sz w:val="24"/>
                <w:szCs w:val="24"/>
                <w:lang w:eastAsia="zh-CN"/>
              </w:rPr>
              <w:t>。</w:t>
            </w:r>
            <w:r>
              <w:rPr>
                <w:rFonts w:hint="eastAsia"/>
                <w:color w:val="auto"/>
                <w:sz w:val="24"/>
                <w:szCs w:val="24"/>
                <w:lang w:val="en-US" w:eastAsia="zh-CN"/>
              </w:rPr>
              <w:t>2024年7月车间三、车间四租赁给其他企业，2024年12月底</w:t>
            </w:r>
            <w:r>
              <w:rPr>
                <w:rFonts w:hint="eastAsia"/>
                <w:color w:val="auto"/>
                <w:sz w:val="24"/>
                <w:szCs w:val="24"/>
              </w:rPr>
              <w:t>租赁企业</w:t>
            </w:r>
            <w:r>
              <w:rPr>
                <w:rFonts w:hint="eastAsia"/>
                <w:color w:val="auto"/>
                <w:sz w:val="24"/>
                <w:szCs w:val="24"/>
                <w:lang w:val="en-US" w:eastAsia="zh-CN"/>
              </w:rPr>
              <w:t>已全部</w:t>
            </w:r>
            <w:r>
              <w:rPr>
                <w:rFonts w:hint="eastAsia"/>
                <w:color w:val="auto"/>
                <w:sz w:val="24"/>
                <w:szCs w:val="24"/>
              </w:rPr>
              <w:t>搬迁</w:t>
            </w:r>
            <w:r>
              <w:rPr>
                <w:rFonts w:hint="eastAsia"/>
                <w:color w:val="auto"/>
                <w:sz w:val="24"/>
                <w:szCs w:val="24"/>
                <w:lang w:eastAsia="zh-CN"/>
              </w:rPr>
              <w:t>，</w:t>
            </w:r>
            <w:r>
              <w:rPr>
                <w:rFonts w:hint="eastAsia"/>
                <w:color w:val="auto"/>
                <w:sz w:val="24"/>
                <w:szCs w:val="24"/>
                <w:lang w:val="en-US" w:eastAsia="zh-CN"/>
              </w:rPr>
              <w:t>企业搬迁时仅设备搬迁。经踏勘，车间三、车间四无遗留环境问题</w:t>
            </w:r>
            <w:r>
              <w:rPr>
                <w:rFonts w:hint="eastAsia"/>
                <w:color w:val="auto"/>
                <w:sz w:val="24"/>
                <w:szCs w:val="24"/>
              </w:rPr>
              <w:t>。</w:t>
            </w:r>
          </w:p>
          <w:p w14:paraId="6F08D97A">
            <w:pPr>
              <w:tabs>
                <w:tab w:val="right" w:leader="dot" w:pos="9000"/>
                <w:tab w:val="left" w:pos="9720"/>
              </w:tabs>
              <w:ind w:firstLine="482" w:firstLineChars="200"/>
              <w:jc w:val="center"/>
              <w:rPr>
                <w:b/>
                <w:color w:val="auto"/>
                <w:sz w:val="24"/>
                <w:szCs w:val="24"/>
              </w:rPr>
            </w:pPr>
            <w:r>
              <w:rPr>
                <w:b/>
                <w:color w:val="auto"/>
                <w:sz w:val="24"/>
                <w:szCs w:val="24"/>
              </w:rPr>
              <w:t>表</w:t>
            </w:r>
            <w:r>
              <w:rPr>
                <w:rFonts w:hint="eastAsia"/>
                <w:b/>
                <w:color w:val="auto"/>
                <w:sz w:val="24"/>
                <w:szCs w:val="24"/>
              </w:rPr>
              <w:t>2-7  原有</w:t>
            </w:r>
            <w:r>
              <w:rPr>
                <w:b/>
                <w:color w:val="auto"/>
                <w:sz w:val="24"/>
                <w:szCs w:val="24"/>
              </w:rPr>
              <w:t>项目环保手续情况表</w:t>
            </w:r>
          </w:p>
          <w:tbl>
            <w:tblPr>
              <w:tblStyle w:val="22"/>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34"/>
              <w:gridCol w:w="2816"/>
              <w:gridCol w:w="2865"/>
              <w:gridCol w:w="2656"/>
            </w:tblGrid>
            <w:tr w14:paraId="73EB7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05" w:type="pct"/>
                  <w:tcBorders>
                    <w:top w:val="single" w:color="000000" w:sz="2" w:space="0"/>
                    <w:left w:val="single" w:color="000000" w:sz="2" w:space="0"/>
                    <w:bottom w:val="single" w:color="000000" w:sz="2" w:space="0"/>
                    <w:right w:val="single" w:color="000000" w:sz="2" w:space="0"/>
                  </w:tcBorders>
                  <w:vAlign w:val="center"/>
                </w:tcPr>
                <w:p w14:paraId="50BB828A">
                  <w:pPr>
                    <w:tabs>
                      <w:tab w:val="right" w:leader="dot" w:pos="9000"/>
                      <w:tab w:val="left" w:pos="9720"/>
                    </w:tabs>
                    <w:jc w:val="center"/>
                    <w:rPr>
                      <w:b/>
                      <w:color w:val="auto"/>
                    </w:rPr>
                  </w:pPr>
                  <w:r>
                    <w:rPr>
                      <w:rFonts w:hint="eastAsia"/>
                      <w:b/>
                      <w:color w:val="auto"/>
                    </w:rPr>
                    <w:t>序号</w:t>
                  </w:r>
                </w:p>
              </w:tc>
              <w:tc>
                <w:tcPr>
                  <w:tcW w:w="1552" w:type="pct"/>
                  <w:tcBorders>
                    <w:top w:val="single" w:color="000000" w:sz="2" w:space="0"/>
                    <w:left w:val="single" w:color="000000" w:sz="2" w:space="0"/>
                    <w:bottom w:val="single" w:color="000000" w:sz="2" w:space="0"/>
                    <w:right w:val="single" w:color="000000" w:sz="2" w:space="0"/>
                  </w:tcBorders>
                  <w:vAlign w:val="center"/>
                </w:tcPr>
                <w:p w14:paraId="2103A860">
                  <w:pPr>
                    <w:tabs>
                      <w:tab w:val="right" w:leader="dot" w:pos="9000"/>
                      <w:tab w:val="left" w:pos="9720"/>
                    </w:tabs>
                    <w:jc w:val="center"/>
                    <w:rPr>
                      <w:b/>
                      <w:color w:val="auto"/>
                    </w:rPr>
                  </w:pPr>
                  <w:r>
                    <w:rPr>
                      <w:b/>
                      <w:color w:val="auto"/>
                    </w:rPr>
                    <w:t>项目名称</w:t>
                  </w:r>
                </w:p>
              </w:tc>
              <w:tc>
                <w:tcPr>
                  <w:tcW w:w="1578" w:type="pct"/>
                  <w:tcBorders>
                    <w:top w:val="single" w:color="000000" w:sz="2" w:space="0"/>
                    <w:left w:val="single" w:color="000000" w:sz="2" w:space="0"/>
                    <w:bottom w:val="single" w:color="000000" w:sz="2" w:space="0"/>
                    <w:right w:val="single" w:color="000000" w:sz="2" w:space="0"/>
                  </w:tcBorders>
                  <w:vAlign w:val="center"/>
                </w:tcPr>
                <w:p w14:paraId="4D4E3F50">
                  <w:pPr>
                    <w:tabs>
                      <w:tab w:val="right" w:leader="dot" w:pos="9000"/>
                      <w:tab w:val="left" w:pos="9720"/>
                    </w:tabs>
                    <w:jc w:val="center"/>
                    <w:rPr>
                      <w:b/>
                      <w:color w:val="auto"/>
                    </w:rPr>
                  </w:pPr>
                  <w:r>
                    <w:rPr>
                      <w:rFonts w:hint="eastAsia"/>
                      <w:b/>
                      <w:color w:val="auto"/>
                    </w:rPr>
                    <w:t>批复情况</w:t>
                  </w:r>
                </w:p>
              </w:tc>
              <w:tc>
                <w:tcPr>
                  <w:tcW w:w="1463" w:type="pct"/>
                  <w:tcBorders>
                    <w:top w:val="single" w:color="000000" w:sz="2" w:space="0"/>
                    <w:left w:val="single" w:color="000000" w:sz="2" w:space="0"/>
                    <w:bottom w:val="single" w:color="000000" w:sz="2" w:space="0"/>
                    <w:right w:val="single" w:color="000000" w:sz="2" w:space="0"/>
                  </w:tcBorders>
                  <w:vAlign w:val="center"/>
                </w:tcPr>
                <w:p w14:paraId="05AE9E9F">
                  <w:pPr>
                    <w:tabs>
                      <w:tab w:val="right" w:leader="dot" w:pos="9000"/>
                      <w:tab w:val="left" w:pos="9720"/>
                    </w:tabs>
                    <w:jc w:val="center"/>
                    <w:rPr>
                      <w:b/>
                      <w:color w:val="auto"/>
                    </w:rPr>
                  </w:pPr>
                  <w:r>
                    <w:rPr>
                      <w:b/>
                      <w:color w:val="auto"/>
                    </w:rPr>
                    <w:t>验收部门及时间</w:t>
                  </w:r>
                </w:p>
              </w:tc>
            </w:tr>
            <w:tr w14:paraId="55A70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405" w:type="pct"/>
                  <w:tcBorders>
                    <w:top w:val="single" w:color="000000" w:sz="2" w:space="0"/>
                    <w:left w:val="single" w:color="000000" w:sz="2" w:space="0"/>
                    <w:bottom w:val="single" w:color="000000" w:sz="2" w:space="0"/>
                    <w:right w:val="single" w:color="000000" w:sz="2" w:space="0"/>
                  </w:tcBorders>
                  <w:vAlign w:val="center"/>
                </w:tcPr>
                <w:p w14:paraId="593D570D">
                  <w:pPr>
                    <w:tabs>
                      <w:tab w:val="right" w:leader="dot" w:pos="9000"/>
                      <w:tab w:val="left" w:pos="9720"/>
                    </w:tabs>
                    <w:jc w:val="center"/>
                    <w:rPr>
                      <w:bCs/>
                      <w:color w:val="auto"/>
                    </w:rPr>
                  </w:pPr>
                  <w:r>
                    <w:rPr>
                      <w:rFonts w:hint="eastAsia"/>
                      <w:bCs/>
                      <w:color w:val="auto"/>
                    </w:rPr>
                    <w:t>1</w:t>
                  </w:r>
                </w:p>
              </w:tc>
              <w:tc>
                <w:tcPr>
                  <w:tcW w:w="1552" w:type="pct"/>
                  <w:tcBorders>
                    <w:top w:val="single" w:color="000000" w:sz="2" w:space="0"/>
                    <w:left w:val="single" w:color="000000" w:sz="2" w:space="0"/>
                    <w:bottom w:val="single" w:color="000000" w:sz="2" w:space="0"/>
                    <w:right w:val="single" w:color="000000" w:sz="2" w:space="0"/>
                  </w:tcBorders>
                  <w:vAlign w:val="center"/>
                </w:tcPr>
                <w:p w14:paraId="779EB1E0">
                  <w:pPr>
                    <w:jc w:val="center"/>
                    <w:rPr>
                      <w:color w:val="auto"/>
                    </w:rPr>
                  </w:pPr>
                  <w:r>
                    <w:rPr>
                      <w:rFonts w:hint="eastAsia"/>
                      <w:color w:val="auto"/>
                    </w:rPr>
                    <w:t>新建LED灯具、音响电源、电子适配器、充电器项目</w:t>
                  </w:r>
                </w:p>
              </w:tc>
              <w:tc>
                <w:tcPr>
                  <w:tcW w:w="1578" w:type="pct"/>
                  <w:tcBorders>
                    <w:top w:val="single" w:color="000000" w:sz="2" w:space="0"/>
                    <w:left w:val="single" w:color="000000" w:sz="2" w:space="0"/>
                    <w:bottom w:val="single" w:color="000000" w:sz="2" w:space="0"/>
                    <w:right w:val="single" w:color="000000" w:sz="2" w:space="0"/>
                  </w:tcBorders>
                  <w:vAlign w:val="center"/>
                </w:tcPr>
                <w:p w14:paraId="0BECE0E4">
                  <w:pPr>
                    <w:jc w:val="center"/>
                    <w:rPr>
                      <w:color w:val="auto"/>
                    </w:rPr>
                  </w:pPr>
                  <w:r>
                    <w:rPr>
                      <w:rFonts w:hint="eastAsia"/>
                      <w:color w:val="auto"/>
                    </w:rPr>
                    <w:t>2015年9月</w:t>
                  </w:r>
                </w:p>
              </w:tc>
              <w:tc>
                <w:tcPr>
                  <w:tcW w:w="1463" w:type="pct"/>
                  <w:tcBorders>
                    <w:top w:val="single" w:color="000000" w:sz="2" w:space="0"/>
                    <w:left w:val="single" w:color="000000" w:sz="2" w:space="0"/>
                    <w:bottom w:val="single" w:color="000000" w:sz="2" w:space="0"/>
                    <w:right w:val="single" w:color="000000" w:sz="2" w:space="0"/>
                  </w:tcBorders>
                  <w:vAlign w:val="center"/>
                </w:tcPr>
                <w:p w14:paraId="473DBCE3">
                  <w:pPr>
                    <w:jc w:val="center"/>
                    <w:rPr>
                      <w:color w:val="auto"/>
                    </w:rPr>
                  </w:pPr>
                  <w:r>
                    <w:rPr>
                      <w:rFonts w:hint="eastAsia"/>
                      <w:color w:val="auto"/>
                    </w:rPr>
                    <w:t>2018年12月</w:t>
                  </w:r>
                </w:p>
              </w:tc>
            </w:tr>
          </w:tbl>
          <w:p w14:paraId="296D9D3B">
            <w:pPr>
              <w:spacing w:line="360" w:lineRule="auto"/>
              <w:ind w:firstLine="480" w:firstLineChars="200"/>
              <w:rPr>
                <w:color w:val="auto"/>
                <w:sz w:val="24"/>
                <w:szCs w:val="24"/>
              </w:rPr>
            </w:pPr>
            <w:r>
              <w:rPr>
                <w:rFonts w:hint="eastAsia"/>
                <w:color w:val="auto"/>
                <w:sz w:val="24"/>
                <w:szCs w:val="24"/>
              </w:rPr>
              <w:t>2、现有</w:t>
            </w:r>
            <w:r>
              <w:rPr>
                <w:color w:val="auto"/>
                <w:sz w:val="24"/>
                <w:szCs w:val="24"/>
              </w:rPr>
              <w:t>项目主体工程及产品方案</w:t>
            </w:r>
          </w:p>
          <w:p w14:paraId="682EF399">
            <w:pPr>
              <w:spacing w:line="276" w:lineRule="auto"/>
              <w:jc w:val="center"/>
              <w:rPr>
                <w:b/>
                <w:color w:val="auto"/>
                <w:sz w:val="24"/>
                <w:szCs w:val="24"/>
              </w:rPr>
            </w:pPr>
            <w:r>
              <w:rPr>
                <w:b/>
                <w:color w:val="auto"/>
                <w:sz w:val="24"/>
                <w:szCs w:val="24"/>
              </w:rPr>
              <w:t>表</w:t>
            </w:r>
            <w:r>
              <w:rPr>
                <w:rFonts w:hint="eastAsia"/>
                <w:b/>
                <w:color w:val="auto"/>
                <w:sz w:val="24"/>
                <w:szCs w:val="24"/>
              </w:rPr>
              <w:t>2-8  原有项目</w:t>
            </w:r>
            <w:r>
              <w:rPr>
                <w:b/>
                <w:color w:val="auto"/>
                <w:sz w:val="24"/>
                <w:szCs w:val="24"/>
              </w:rPr>
              <w:t>主体工程及产品方案</w:t>
            </w:r>
          </w:p>
          <w:tbl>
            <w:tblPr>
              <w:tblStyle w:val="22"/>
              <w:tblW w:w="907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1"/>
              <w:gridCol w:w="1972"/>
              <w:gridCol w:w="2282"/>
              <w:gridCol w:w="1521"/>
              <w:gridCol w:w="1286"/>
              <w:gridCol w:w="1329"/>
            </w:tblGrid>
            <w:tr w14:paraId="54CE2F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1" w:type="dxa"/>
                  <w:tcBorders>
                    <w:top w:val="single" w:color="auto" w:sz="2" w:space="0"/>
                    <w:left w:val="single" w:color="auto" w:sz="2" w:space="0"/>
                    <w:bottom w:val="single" w:color="auto" w:sz="2" w:space="0"/>
                    <w:right w:val="single" w:color="auto" w:sz="2" w:space="0"/>
                  </w:tcBorders>
                  <w:vAlign w:val="center"/>
                </w:tcPr>
                <w:p w14:paraId="7FA5CD8B">
                  <w:pPr>
                    <w:jc w:val="center"/>
                    <w:rPr>
                      <w:b/>
                      <w:bCs/>
                      <w:color w:val="auto"/>
                    </w:rPr>
                  </w:pPr>
                  <w:r>
                    <w:rPr>
                      <w:b/>
                      <w:bCs/>
                      <w:color w:val="auto"/>
                    </w:rPr>
                    <w:t>序号</w:t>
                  </w:r>
                </w:p>
              </w:tc>
              <w:tc>
                <w:tcPr>
                  <w:tcW w:w="1972" w:type="dxa"/>
                  <w:tcBorders>
                    <w:top w:val="single" w:color="auto" w:sz="2" w:space="0"/>
                    <w:left w:val="single" w:color="auto" w:sz="2" w:space="0"/>
                    <w:bottom w:val="single" w:color="auto" w:sz="2" w:space="0"/>
                    <w:right w:val="single" w:color="auto" w:sz="2" w:space="0"/>
                  </w:tcBorders>
                  <w:vAlign w:val="center"/>
                </w:tcPr>
                <w:p w14:paraId="67ED8C77">
                  <w:pPr>
                    <w:autoSpaceDE w:val="0"/>
                    <w:autoSpaceDN w:val="0"/>
                    <w:adjustRightInd w:val="0"/>
                    <w:jc w:val="center"/>
                    <w:rPr>
                      <w:b/>
                      <w:bCs/>
                      <w:color w:val="auto"/>
                    </w:rPr>
                  </w:pPr>
                  <w:r>
                    <w:rPr>
                      <w:b/>
                      <w:bCs/>
                      <w:color w:val="auto"/>
                    </w:rPr>
                    <w:t>工程名称</w:t>
                  </w:r>
                </w:p>
              </w:tc>
              <w:tc>
                <w:tcPr>
                  <w:tcW w:w="2282" w:type="dxa"/>
                  <w:tcBorders>
                    <w:top w:val="single" w:color="auto" w:sz="2" w:space="0"/>
                    <w:left w:val="single" w:color="auto" w:sz="2" w:space="0"/>
                    <w:bottom w:val="single" w:color="auto" w:sz="2" w:space="0"/>
                    <w:right w:val="single" w:color="auto" w:sz="2" w:space="0"/>
                  </w:tcBorders>
                  <w:vAlign w:val="center"/>
                </w:tcPr>
                <w:p w14:paraId="70F3D79E">
                  <w:pPr>
                    <w:jc w:val="center"/>
                    <w:rPr>
                      <w:b/>
                      <w:bCs/>
                      <w:color w:val="auto"/>
                    </w:rPr>
                  </w:pPr>
                  <w:r>
                    <w:rPr>
                      <w:b/>
                      <w:bCs/>
                      <w:color w:val="auto"/>
                    </w:rPr>
                    <w:t>产品名称</w:t>
                  </w:r>
                </w:p>
              </w:tc>
              <w:tc>
                <w:tcPr>
                  <w:tcW w:w="1521" w:type="dxa"/>
                  <w:tcBorders>
                    <w:top w:val="single" w:color="auto" w:sz="2" w:space="0"/>
                    <w:left w:val="single" w:color="auto" w:sz="2" w:space="0"/>
                    <w:bottom w:val="single" w:color="auto" w:sz="2" w:space="0"/>
                    <w:right w:val="single" w:color="auto" w:sz="2" w:space="0"/>
                  </w:tcBorders>
                  <w:vAlign w:val="center"/>
                </w:tcPr>
                <w:p w14:paraId="2CFFC227">
                  <w:pPr>
                    <w:jc w:val="center"/>
                    <w:rPr>
                      <w:b/>
                      <w:bCs/>
                      <w:color w:val="auto"/>
                    </w:rPr>
                  </w:pPr>
                  <w:r>
                    <w:rPr>
                      <w:b/>
                      <w:bCs/>
                      <w:color w:val="auto"/>
                    </w:rPr>
                    <w:t>设计能力</w:t>
                  </w:r>
                </w:p>
              </w:tc>
              <w:tc>
                <w:tcPr>
                  <w:tcW w:w="1286" w:type="dxa"/>
                  <w:tcBorders>
                    <w:top w:val="single" w:color="auto" w:sz="2" w:space="0"/>
                    <w:left w:val="single" w:color="auto" w:sz="2" w:space="0"/>
                    <w:bottom w:val="single" w:color="auto" w:sz="2" w:space="0"/>
                    <w:right w:val="single" w:color="auto" w:sz="2" w:space="0"/>
                  </w:tcBorders>
                  <w:vAlign w:val="center"/>
                </w:tcPr>
                <w:p w14:paraId="7A67336C">
                  <w:pPr>
                    <w:jc w:val="center"/>
                    <w:rPr>
                      <w:b/>
                      <w:bCs/>
                      <w:color w:val="auto"/>
                    </w:rPr>
                  </w:pPr>
                  <w:r>
                    <w:rPr>
                      <w:rFonts w:hint="eastAsia"/>
                      <w:b/>
                      <w:bCs/>
                      <w:color w:val="auto"/>
                    </w:rPr>
                    <w:t>实际能力</w:t>
                  </w:r>
                </w:p>
              </w:tc>
              <w:tc>
                <w:tcPr>
                  <w:tcW w:w="1329" w:type="dxa"/>
                  <w:tcBorders>
                    <w:top w:val="single" w:color="auto" w:sz="2" w:space="0"/>
                    <w:left w:val="single" w:color="auto" w:sz="2" w:space="0"/>
                    <w:bottom w:val="single" w:color="auto" w:sz="2" w:space="0"/>
                    <w:right w:val="single" w:color="auto" w:sz="2" w:space="0"/>
                  </w:tcBorders>
                  <w:vAlign w:val="center"/>
                </w:tcPr>
                <w:p w14:paraId="40CF3EF6">
                  <w:pPr>
                    <w:jc w:val="center"/>
                    <w:rPr>
                      <w:b/>
                      <w:bCs/>
                      <w:color w:val="auto"/>
                    </w:rPr>
                  </w:pPr>
                  <w:r>
                    <w:rPr>
                      <w:b/>
                      <w:bCs/>
                      <w:color w:val="auto"/>
                    </w:rPr>
                    <w:t>年运行时数</w:t>
                  </w:r>
                </w:p>
              </w:tc>
            </w:tr>
            <w:tr w14:paraId="37629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1" w:type="dxa"/>
                  <w:tcBorders>
                    <w:top w:val="single" w:color="auto" w:sz="2" w:space="0"/>
                    <w:left w:val="single" w:color="auto" w:sz="2" w:space="0"/>
                    <w:bottom w:val="single" w:color="auto" w:sz="2" w:space="0"/>
                    <w:right w:val="single" w:color="auto" w:sz="2" w:space="0"/>
                  </w:tcBorders>
                  <w:vAlign w:val="center"/>
                </w:tcPr>
                <w:p w14:paraId="712550A0">
                  <w:pPr>
                    <w:jc w:val="center"/>
                    <w:rPr>
                      <w:color w:val="auto"/>
                    </w:rPr>
                  </w:pPr>
                  <w:r>
                    <w:rPr>
                      <w:color w:val="auto"/>
                    </w:rPr>
                    <w:t>1</w:t>
                  </w:r>
                </w:p>
              </w:tc>
              <w:tc>
                <w:tcPr>
                  <w:tcW w:w="1972" w:type="dxa"/>
                  <w:tcBorders>
                    <w:top w:val="single" w:color="auto" w:sz="2" w:space="0"/>
                    <w:left w:val="single" w:color="auto" w:sz="2" w:space="0"/>
                    <w:bottom w:val="single" w:color="auto" w:sz="2" w:space="0"/>
                    <w:right w:val="single" w:color="auto" w:sz="2" w:space="0"/>
                  </w:tcBorders>
                  <w:vAlign w:val="center"/>
                </w:tcPr>
                <w:p w14:paraId="54F1D553">
                  <w:pPr>
                    <w:jc w:val="center"/>
                    <w:rPr>
                      <w:color w:val="auto"/>
                    </w:rPr>
                  </w:pPr>
                  <w:r>
                    <w:rPr>
                      <w:rFonts w:hint="eastAsia"/>
                      <w:color w:val="auto"/>
                    </w:rPr>
                    <w:t>LED灯具、音响电源生产线</w:t>
                  </w:r>
                </w:p>
              </w:tc>
              <w:tc>
                <w:tcPr>
                  <w:tcW w:w="2282" w:type="dxa"/>
                  <w:tcBorders>
                    <w:top w:val="single" w:color="auto" w:sz="2" w:space="0"/>
                    <w:left w:val="single" w:color="auto" w:sz="2" w:space="0"/>
                    <w:bottom w:val="single" w:color="auto" w:sz="2" w:space="0"/>
                    <w:right w:val="single" w:color="auto" w:sz="2" w:space="0"/>
                  </w:tcBorders>
                  <w:vAlign w:val="center"/>
                </w:tcPr>
                <w:p w14:paraId="4835762D">
                  <w:pPr>
                    <w:jc w:val="center"/>
                    <w:rPr>
                      <w:color w:val="auto"/>
                    </w:rPr>
                  </w:pPr>
                  <w:r>
                    <w:rPr>
                      <w:rFonts w:hint="eastAsia"/>
                      <w:color w:val="auto"/>
                    </w:rPr>
                    <w:t>LED灯具、音响电源</w:t>
                  </w:r>
                </w:p>
              </w:tc>
              <w:tc>
                <w:tcPr>
                  <w:tcW w:w="1521" w:type="dxa"/>
                  <w:tcBorders>
                    <w:top w:val="single" w:color="auto" w:sz="2" w:space="0"/>
                    <w:left w:val="single" w:color="auto" w:sz="2" w:space="0"/>
                    <w:bottom w:val="single" w:color="auto" w:sz="2" w:space="0"/>
                    <w:right w:val="single" w:color="auto" w:sz="2" w:space="0"/>
                  </w:tcBorders>
                  <w:vAlign w:val="center"/>
                </w:tcPr>
                <w:p w14:paraId="50DE9267">
                  <w:pPr>
                    <w:keepNext/>
                    <w:keepLines/>
                    <w:pageBreakBefore/>
                    <w:jc w:val="center"/>
                    <w:outlineLvl w:val="0"/>
                    <w:rPr>
                      <w:color w:val="auto"/>
                    </w:rPr>
                  </w:pPr>
                  <w:r>
                    <w:rPr>
                      <w:rFonts w:hint="eastAsia"/>
                      <w:color w:val="auto"/>
                    </w:rPr>
                    <w:t>1500万只/年</w:t>
                  </w:r>
                </w:p>
              </w:tc>
              <w:tc>
                <w:tcPr>
                  <w:tcW w:w="1286" w:type="dxa"/>
                  <w:tcBorders>
                    <w:top w:val="single" w:color="auto" w:sz="2" w:space="0"/>
                    <w:left w:val="single" w:color="auto" w:sz="2" w:space="0"/>
                    <w:bottom w:val="single" w:color="auto" w:sz="2" w:space="0"/>
                    <w:right w:val="single" w:color="auto" w:sz="2" w:space="0"/>
                  </w:tcBorders>
                  <w:vAlign w:val="center"/>
                </w:tcPr>
                <w:p w14:paraId="2A73B703">
                  <w:pPr>
                    <w:keepNext/>
                    <w:keepLines/>
                    <w:pageBreakBefore/>
                    <w:jc w:val="center"/>
                    <w:outlineLvl w:val="0"/>
                    <w:rPr>
                      <w:color w:val="auto"/>
                    </w:rPr>
                  </w:pPr>
                  <w:r>
                    <w:rPr>
                      <w:rFonts w:hint="eastAsia"/>
                      <w:color w:val="auto"/>
                    </w:rPr>
                    <w:t>450万只/年</w:t>
                  </w:r>
                </w:p>
              </w:tc>
              <w:tc>
                <w:tcPr>
                  <w:tcW w:w="1329" w:type="dxa"/>
                  <w:tcBorders>
                    <w:top w:val="single" w:color="auto" w:sz="2" w:space="0"/>
                    <w:left w:val="single" w:color="auto" w:sz="2" w:space="0"/>
                    <w:bottom w:val="single" w:color="auto" w:sz="2" w:space="0"/>
                    <w:right w:val="single" w:color="auto" w:sz="2" w:space="0"/>
                  </w:tcBorders>
                  <w:vAlign w:val="center"/>
                </w:tcPr>
                <w:p w14:paraId="5CADC6F7">
                  <w:pPr>
                    <w:jc w:val="center"/>
                    <w:rPr>
                      <w:color w:val="auto"/>
                    </w:rPr>
                  </w:pPr>
                  <w:r>
                    <w:rPr>
                      <w:rFonts w:hint="eastAsia"/>
                      <w:color w:val="auto"/>
                    </w:rPr>
                    <w:t>2400</w:t>
                  </w:r>
                  <w:r>
                    <w:rPr>
                      <w:color w:val="auto"/>
                    </w:rPr>
                    <w:t>h</w:t>
                  </w:r>
                </w:p>
              </w:tc>
            </w:tr>
            <w:tr w14:paraId="0A4FB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1" w:type="dxa"/>
                  <w:tcBorders>
                    <w:top w:val="single" w:color="auto" w:sz="2" w:space="0"/>
                    <w:left w:val="single" w:color="auto" w:sz="2" w:space="0"/>
                    <w:bottom w:val="single" w:color="auto" w:sz="2" w:space="0"/>
                    <w:right w:val="single" w:color="auto" w:sz="2" w:space="0"/>
                  </w:tcBorders>
                  <w:vAlign w:val="center"/>
                </w:tcPr>
                <w:p w14:paraId="5F5D1091">
                  <w:pPr>
                    <w:jc w:val="center"/>
                    <w:rPr>
                      <w:color w:val="auto"/>
                    </w:rPr>
                  </w:pPr>
                  <w:r>
                    <w:rPr>
                      <w:rFonts w:hint="eastAsia"/>
                      <w:color w:val="auto"/>
                    </w:rPr>
                    <w:t>2</w:t>
                  </w:r>
                </w:p>
              </w:tc>
              <w:tc>
                <w:tcPr>
                  <w:tcW w:w="1972" w:type="dxa"/>
                  <w:tcBorders>
                    <w:top w:val="single" w:color="auto" w:sz="2" w:space="0"/>
                    <w:left w:val="single" w:color="auto" w:sz="2" w:space="0"/>
                    <w:bottom w:val="single" w:color="auto" w:sz="2" w:space="0"/>
                    <w:right w:val="single" w:color="auto" w:sz="2" w:space="0"/>
                  </w:tcBorders>
                  <w:vAlign w:val="center"/>
                </w:tcPr>
                <w:p w14:paraId="108501AF">
                  <w:pPr>
                    <w:jc w:val="center"/>
                    <w:rPr>
                      <w:color w:val="auto"/>
                    </w:rPr>
                  </w:pPr>
                  <w:r>
                    <w:rPr>
                      <w:rFonts w:hint="eastAsia"/>
                      <w:color w:val="auto"/>
                    </w:rPr>
                    <w:t>电子适配器生产线</w:t>
                  </w:r>
                </w:p>
              </w:tc>
              <w:tc>
                <w:tcPr>
                  <w:tcW w:w="2282" w:type="dxa"/>
                  <w:tcBorders>
                    <w:top w:val="single" w:color="auto" w:sz="2" w:space="0"/>
                    <w:left w:val="single" w:color="auto" w:sz="2" w:space="0"/>
                    <w:bottom w:val="single" w:color="auto" w:sz="2" w:space="0"/>
                    <w:right w:val="single" w:color="auto" w:sz="2" w:space="0"/>
                  </w:tcBorders>
                  <w:vAlign w:val="center"/>
                </w:tcPr>
                <w:p w14:paraId="0A5B9D7E">
                  <w:pPr>
                    <w:jc w:val="center"/>
                    <w:rPr>
                      <w:color w:val="auto"/>
                    </w:rPr>
                  </w:pPr>
                  <w:r>
                    <w:rPr>
                      <w:rFonts w:hint="eastAsia"/>
                      <w:color w:val="auto"/>
                    </w:rPr>
                    <w:t>电子适配器</w:t>
                  </w:r>
                </w:p>
              </w:tc>
              <w:tc>
                <w:tcPr>
                  <w:tcW w:w="1521" w:type="dxa"/>
                  <w:tcBorders>
                    <w:top w:val="single" w:color="auto" w:sz="2" w:space="0"/>
                    <w:left w:val="single" w:color="auto" w:sz="2" w:space="0"/>
                    <w:bottom w:val="single" w:color="auto" w:sz="2" w:space="0"/>
                    <w:right w:val="single" w:color="auto" w:sz="2" w:space="0"/>
                  </w:tcBorders>
                  <w:vAlign w:val="center"/>
                </w:tcPr>
                <w:p w14:paraId="1BED0C8A">
                  <w:pPr>
                    <w:keepNext/>
                    <w:keepLines/>
                    <w:pageBreakBefore/>
                    <w:jc w:val="center"/>
                    <w:outlineLvl w:val="0"/>
                    <w:rPr>
                      <w:color w:val="auto"/>
                    </w:rPr>
                  </w:pPr>
                  <w:r>
                    <w:rPr>
                      <w:rFonts w:hint="eastAsia"/>
                      <w:color w:val="auto"/>
                    </w:rPr>
                    <w:t>500万只/年</w:t>
                  </w:r>
                </w:p>
              </w:tc>
              <w:tc>
                <w:tcPr>
                  <w:tcW w:w="1286" w:type="dxa"/>
                  <w:tcBorders>
                    <w:top w:val="single" w:color="auto" w:sz="2" w:space="0"/>
                    <w:left w:val="single" w:color="auto" w:sz="2" w:space="0"/>
                    <w:bottom w:val="single" w:color="auto" w:sz="2" w:space="0"/>
                    <w:right w:val="single" w:color="auto" w:sz="2" w:space="0"/>
                  </w:tcBorders>
                  <w:vAlign w:val="center"/>
                </w:tcPr>
                <w:p w14:paraId="0B402D48">
                  <w:pPr>
                    <w:keepNext/>
                    <w:keepLines/>
                    <w:pageBreakBefore/>
                    <w:jc w:val="center"/>
                    <w:outlineLvl w:val="0"/>
                    <w:rPr>
                      <w:color w:val="auto"/>
                    </w:rPr>
                  </w:pPr>
                  <w:r>
                    <w:rPr>
                      <w:rFonts w:hint="eastAsia"/>
                      <w:color w:val="auto"/>
                    </w:rPr>
                    <w:t>150万只/年</w:t>
                  </w:r>
                </w:p>
              </w:tc>
              <w:tc>
                <w:tcPr>
                  <w:tcW w:w="1329" w:type="dxa"/>
                  <w:tcBorders>
                    <w:top w:val="single" w:color="auto" w:sz="2" w:space="0"/>
                    <w:left w:val="single" w:color="auto" w:sz="2" w:space="0"/>
                    <w:bottom w:val="single" w:color="auto" w:sz="2" w:space="0"/>
                    <w:right w:val="single" w:color="auto" w:sz="2" w:space="0"/>
                  </w:tcBorders>
                  <w:vAlign w:val="center"/>
                </w:tcPr>
                <w:p w14:paraId="430BB940">
                  <w:pPr>
                    <w:jc w:val="center"/>
                    <w:rPr>
                      <w:color w:val="auto"/>
                    </w:rPr>
                  </w:pPr>
                  <w:r>
                    <w:rPr>
                      <w:rFonts w:hint="eastAsia"/>
                      <w:color w:val="auto"/>
                    </w:rPr>
                    <w:t>2400</w:t>
                  </w:r>
                  <w:r>
                    <w:rPr>
                      <w:color w:val="auto"/>
                    </w:rPr>
                    <w:t>h</w:t>
                  </w:r>
                </w:p>
              </w:tc>
            </w:tr>
            <w:tr w14:paraId="3C2324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81" w:type="dxa"/>
                  <w:tcBorders>
                    <w:top w:val="single" w:color="auto" w:sz="2" w:space="0"/>
                    <w:left w:val="single" w:color="auto" w:sz="2" w:space="0"/>
                    <w:bottom w:val="single" w:color="auto" w:sz="2" w:space="0"/>
                    <w:right w:val="single" w:color="auto" w:sz="2" w:space="0"/>
                  </w:tcBorders>
                  <w:vAlign w:val="center"/>
                </w:tcPr>
                <w:p w14:paraId="21EF53F1">
                  <w:pPr>
                    <w:jc w:val="center"/>
                    <w:rPr>
                      <w:color w:val="auto"/>
                    </w:rPr>
                  </w:pPr>
                  <w:r>
                    <w:rPr>
                      <w:rFonts w:hint="eastAsia"/>
                      <w:color w:val="auto"/>
                    </w:rPr>
                    <w:t>3</w:t>
                  </w:r>
                </w:p>
              </w:tc>
              <w:tc>
                <w:tcPr>
                  <w:tcW w:w="1972" w:type="dxa"/>
                  <w:tcBorders>
                    <w:top w:val="single" w:color="auto" w:sz="2" w:space="0"/>
                    <w:left w:val="single" w:color="auto" w:sz="2" w:space="0"/>
                    <w:bottom w:val="single" w:color="auto" w:sz="2" w:space="0"/>
                    <w:right w:val="single" w:color="auto" w:sz="2" w:space="0"/>
                  </w:tcBorders>
                  <w:vAlign w:val="center"/>
                </w:tcPr>
                <w:p w14:paraId="63EA638A">
                  <w:pPr>
                    <w:jc w:val="center"/>
                    <w:rPr>
                      <w:color w:val="auto"/>
                    </w:rPr>
                  </w:pPr>
                  <w:r>
                    <w:rPr>
                      <w:rFonts w:hint="eastAsia"/>
                      <w:color w:val="auto"/>
                    </w:rPr>
                    <w:t>充电器生产线</w:t>
                  </w:r>
                </w:p>
              </w:tc>
              <w:tc>
                <w:tcPr>
                  <w:tcW w:w="2282" w:type="dxa"/>
                  <w:tcBorders>
                    <w:top w:val="single" w:color="auto" w:sz="2" w:space="0"/>
                    <w:left w:val="single" w:color="auto" w:sz="2" w:space="0"/>
                    <w:bottom w:val="single" w:color="auto" w:sz="2" w:space="0"/>
                    <w:right w:val="single" w:color="auto" w:sz="2" w:space="0"/>
                  </w:tcBorders>
                  <w:vAlign w:val="center"/>
                </w:tcPr>
                <w:p w14:paraId="7837167F">
                  <w:pPr>
                    <w:jc w:val="center"/>
                    <w:rPr>
                      <w:color w:val="auto"/>
                    </w:rPr>
                  </w:pPr>
                  <w:r>
                    <w:rPr>
                      <w:rFonts w:hint="eastAsia"/>
                      <w:color w:val="auto"/>
                    </w:rPr>
                    <w:t>充电器</w:t>
                  </w:r>
                </w:p>
              </w:tc>
              <w:tc>
                <w:tcPr>
                  <w:tcW w:w="1521" w:type="dxa"/>
                  <w:tcBorders>
                    <w:top w:val="single" w:color="auto" w:sz="2" w:space="0"/>
                    <w:left w:val="single" w:color="auto" w:sz="2" w:space="0"/>
                    <w:bottom w:val="single" w:color="auto" w:sz="2" w:space="0"/>
                    <w:right w:val="single" w:color="auto" w:sz="2" w:space="0"/>
                  </w:tcBorders>
                  <w:vAlign w:val="center"/>
                </w:tcPr>
                <w:p w14:paraId="59DEF6F6">
                  <w:pPr>
                    <w:keepNext/>
                    <w:keepLines/>
                    <w:pageBreakBefore/>
                    <w:jc w:val="center"/>
                    <w:outlineLvl w:val="0"/>
                    <w:rPr>
                      <w:color w:val="auto"/>
                    </w:rPr>
                  </w:pPr>
                  <w:r>
                    <w:rPr>
                      <w:rFonts w:hint="eastAsia"/>
                      <w:color w:val="auto"/>
                    </w:rPr>
                    <w:t>300万只/年</w:t>
                  </w:r>
                </w:p>
              </w:tc>
              <w:tc>
                <w:tcPr>
                  <w:tcW w:w="1286" w:type="dxa"/>
                  <w:tcBorders>
                    <w:top w:val="single" w:color="auto" w:sz="2" w:space="0"/>
                    <w:left w:val="single" w:color="auto" w:sz="2" w:space="0"/>
                    <w:bottom w:val="single" w:color="auto" w:sz="2" w:space="0"/>
                    <w:right w:val="single" w:color="auto" w:sz="2" w:space="0"/>
                  </w:tcBorders>
                  <w:vAlign w:val="center"/>
                </w:tcPr>
                <w:p w14:paraId="7DB336C9">
                  <w:pPr>
                    <w:keepNext/>
                    <w:keepLines/>
                    <w:pageBreakBefore/>
                    <w:jc w:val="center"/>
                    <w:outlineLvl w:val="0"/>
                    <w:rPr>
                      <w:color w:val="auto"/>
                    </w:rPr>
                  </w:pPr>
                  <w:r>
                    <w:rPr>
                      <w:rFonts w:hint="eastAsia"/>
                      <w:color w:val="auto"/>
                    </w:rPr>
                    <w:t>90万只/年</w:t>
                  </w:r>
                </w:p>
              </w:tc>
              <w:tc>
                <w:tcPr>
                  <w:tcW w:w="1329" w:type="dxa"/>
                  <w:tcBorders>
                    <w:top w:val="single" w:color="auto" w:sz="2" w:space="0"/>
                    <w:left w:val="single" w:color="auto" w:sz="2" w:space="0"/>
                    <w:bottom w:val="single" w:color="auto" w:sz="2" w:space="0"/>
                    <w:right w:val="single" w:color="auto" w:sz="2" w:space="0"/>
                  </w:tcBorders>
                  <w:vAlign w:val="center"/>
                </w:tcPr>
                <w:p w14:paraId="034F5C7E">
                  <w:pPr>
                    <w:jc w:val="center"/>
                    <w:rPr>
                      <w:color w:val="auto"/>
                    </w:rPr>
                  </w:pPr>
                  <w:r>
                    <w:rPr>
                      <w:rFonts w:hint="eastAsia"/>
                      <w:color w:val="auto"/>
                    </w:rPr>
                    <w:t>2400</w:t>
                  </w:r>
                  <w:r>
                    <w:rPr>
                      <w:color w:val="auto"/>
                    </w:rPr>
                    <w:t>h</w:t>
                  </w:r>
                </w:p>
              </w:tc>
            </w:tr>
          </w:tbl>
          <w:p w14:paraId="015FE69A">
            <w:pPr>
              <w:spacing w:line="360" w:lineRule="auto"/>
              <w:ind w:firstLine="480" w:firstLineChars="200"/>
              <w:rPr>
                <w:color w:val="auto"/>
              </w:rPr>
            </w:pPr>
            <w:r>
              <w:rPr>
                <w:rFonts w:hint="eastAsia"/>
                <w:color w:val="auto"/>
                <w:sz w:val="24"/>
                <w:szCs w:val="24"/>
              </w:rPr>
              <w:t>3、原有项目生产工艺流程</w:t>
            </w:r>
          </w:p>
          <w:p w14:paraId="061530F4">
            <w:pPr>
              <w:pStyle w:val="1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color w:val="auto"/>
              </w:rPr>
            </w:pPr>
            <w:r>
              <w:rPr>
                <w:color w:val="auto"/>
              </w:rPr>
              <w:object>
                <v:shape id="_x0000_i1027" o:spt="75" type="#_x0000_t75" style="height:209.75pt;width:226.75pt;" o:ole="t" filled="f" o:preferrelative="t" stroked="f" coordsize="21600,21600">
                  <v:path/>
                  <v:fill on="f" focussize="0,0"/>
                  <v:stroke on="f"/>
                  <v:imagedata r:id="rId16" o:title=""/>
                  <o:lock v:ext="edit" aspectratio="f"/>
                  <w10:wrap type="none"/>
                  <w10:anchorlock/>
                </v:shape>
                <o:OLEObject Type="Embed" ProgID="Visio.Drawing.15" ShapeID="_x0000_i1027" DrawAspect="Content" ObjectID="_1468075727" r:id="rId15">
                  <o:LockedField>false</o:LockedField>
                </o:OLEObject>
              </w:object>
            </w:r>
          </w:p>
          <w:p w14:paraId="3B8CF7F8">
            <w:pPr>
              <w:pStyle w:val="12"/>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b/>
                <w:color w:val="auto"/>
                <w:sz w:val="24"/>
                <w:szCs w:val="24"/>
              </w:rPr>
            </w:pPr>
            <w:r>
              <w:rPr>
                <w:rFonts w:hint="eastAsia"/>
                <w:b/>
                <w:color w:val="auto"/>
                <w:sz w:val="24"/>
                <w:szCs w:val="24"/>
              </w:rPr>
              <w:t>图2-4  生产工艺流程及产污环节图</w:t>
            </w:r>
          </w:p>
          <w:p w14:paraId="22C1929D">
            <w:pPr>
              <w:pStyle w:val="8"/>
              <w:spacing w:line="240" w:lineRule="auto"/>
              <w:rPr>
                <w:color w:val="auto"/>
              </w:rPr>
            </w:pPr>
            <w:r>
              <w:rPr>
                <w:rFonts w:hint="eastAsia"/>
                <w:color w:val="auto"/>
              </w:rPr>
              <w:t>注：产品方案中三类产品的生产工艺流程基本一致。</w:t>
            </w:r>
          </w:p>
          <w:p w14:paraId="596F873B">
            <w:pPr>
              <w:spacing w:line="360" w:lineRule="auto"/>
              <w:ind w:firstLine="720" w:firstLineChars="300"/>
              <w:rPr>
                <w:color w:val="auto"/>
                <w:sz w:val="24"/>
                <w:szCs w:val="24"/>
              </w:rPr>
            </w:pPr>
            <w:r>
              <w:rPr>
                <w:rFonts w:hint="eastAsia"/>
                <w:color w:val="auto"/>
                <w:sz w:val="24"/>
                <w:szCs w:val="24"/>
              </w:rPr>
              <w:t>4、原有项目污染物产生及达标排放情况</w:t>
            </w:r>
          </w:p>
          <w:p w14:paraId="051B6287">
            <w:pPr>
              <w:spacing w:line="360" w:lineRule="auto"/>
              <w:ind w:firstLine="480" w:firstLineChars="200"/>
              <w:rPr>
                <w:color w:val="auto"/>
                <w:sz w:val="24"/>
                <w:szCs w:val="24"/>
              </w:rPr>
            </w:pPr>
            <w:r>
              <w:rPr>
                <w:rFonts w:hint="eastAsia"/>
                <w:color w:val="auto"/>
                <w:sz w:val="24"/>
                <w:szCs w:val="24"/>
              </w:rPr>
              <w:t>（1）废水</w:t>
            </w:r>
          </w:p>
          <w:p w14:paraId="54032A93">
            <w:pPr>
              <w:spacing w:line="360" w:lineRule="auto"/>
              <w:ind w:firstLine="480" w:firstLineChars="200"/>
              <w:rPr>
                <w:color w:val="auto"/>
                <w:kern w:val="0"/>
                <w:sz w:val="24"/>
                <w:szCs w:val="24"/>
              </w:rPr>
            </w:pPr>
            <w:r>
              <w:rPr>
                <w:rFonts w:hint="eastAsia"/>
                <w:color w:val="auto"/>
                <w:kern w:val="0"/>
                <w:sz w:val="24"/>
                <w:szCs w:val="24"/>
              </w:rPr>
              <w:t>竣工验收情况：生活污水经隔油池+化粪池预处理后，接管进鑫鑫污水处理厂集中处理。</w:t>
            </w:r>
          </w:p>
          <w:p w14:paraId="2E1BDABD">
            <w:pPr>
              <w:spacing w:line="360" w:lineRule="auto"/>
              <w:ind w:firstLine="480" w:firstLineChars="200"/>
              <w:rPr>
                <w:color w:val="auto"/>
                <w:sz w:val="24"/>
                <w:szCs w:val="24"/>
              </w:rPr>
            </w:pPr>
            <w:r>
              <w:rPr>
                <w:rFonts w:hint="eastAsia"/>
                <w:color w:val="auto"/>
                <w:kern w:val="0"/>
                <w:sz w:val="24"/>
                <w:szCs w:val="24"/>
              </w:rPr>
              <w:t>实际情况：项目已淘汰，无生活污水排放。</w:t>
            </w:r>
          </w:p>
          <w:p w14:paraId="0C6BBCEE">
            <w:pPr>
              <w:spacing w:line="360" w:lineRule="auto"/>
              <w:ind w:firstLine="480" w:firstLineChars="200"/>
              <w:rPr>
                <w:color w:val="auto"/>
                <w:sz w:val="24"/>
                <w:szCs w:val="24"/>
              </w:rPr>
            </w:pPr>
            <w:r>
              <w:rPr>
                <w:rFonts w:hint="eastAsia"/>
                <w:color w:val="auto"/>
                <w:sz w:val="24"/>
                <w:szCs w:val="24"/>
              </w:rPr>
              <w:t>（2）废气</w:t>
            </w:r>
          </w:p>
          <w:p w14:paraId="0C3FAB54">
            <w:pPr>
              <w:spacing w:line="360" w:lineRule="auto"/>
              <w:ind w:firstLine="480" w:firstLineChars="200"/>
              <w:rPr>
                <w:color w:val="auto"/>
                <w:sz w:val="24"/>
                <w:szCs w:val="24"/>
              </w:rPr>
            </w:pPr>
            <w:r>
              <w:rPr>
                <w:rFonts w:hint="eastAsia"/>
                <w:color w:val="auto"/>
                <w:sz w:val="24"/>
                <w:szCs w:val="24"/>
              </w:rPr>
              <w:t>竣工验收情况：波峰焊废气经集气罩收集后</w:t>
            </w:r>
            <w:r>
              <w:rPr>
                <w:rFonts w:hint="eastAsia"/>
                <w:color w:val="auto"/>
                <w:sz w:val="24"/>
                <w:szCs w:val="24"/>
                <w:lang w:val="en-US" w:eastAsia="zh-CN"/>
              </w:rPr>
              <w:t>经</w:t>
            </w:r>
            <w:r>
              <w:rPr>
                <w:rFonts w:hint="eastAsia"/>
                <w:color w:val="auto"/>
                <w:sz w:val="24"/>
                <w:szCs w:val="24"/>
              </w:rPr>
              <w:t>纤维过滤棉+活性炭吸附装置处理后排气筒排放。</w:t>
            </w:r>
          </w:p>
          <w:p w14:paraId="57B708CF">
            <w:pPr>
              <w:spacing w:line="360" w:lineRule="auto"/>
              <w:ind w:firstLine="480" w:firstLineChars="200"/>
              <w:rPr>
                <w:color w:val="auto"/>
                <w:sz w:val="24"/>
                <w:szCs w:val="24"/>
              </w:rPr>
            </w:pPr>
            <w:r>
              <w:rPr>
                <w:rFonts w:hint="eastAsia"/>
                <w:color w:val="auto"/>
                <w:sz w:val="24"/>
                <w:szCs w:val="24"/>
              </w:rPr>
              <w:t>实际情况：</w:t>
            </w:r>
            <w:r>
              <w:rPr>
                <w:rFonts w:hint="eastAsia"/>
                <w:color w:val="auto"/>
                <w:kern w:val="0"/>
                <w:sz w:val="24"/>
                <w:szCs w:val="24"/>
              </w:rPr>
              <w:t>项目已淘汰，无工艺废气产生及排放。</w:t>
            </w:r>
          </w:p>
          <w:p w14:paraId="7A3681AF">
            <w:pPr>
              <w:spacing w:line="360" w:lineRule="auto"/>
              <w:ind w:firstLine="480" w:firstLineChars="200"/>
              <w:rPr>
                <w:color w:val="auto"/>
                <w:sz w:val="24"/>
                <w:szCs w:val="24"/>
              </w:rPr>
            </w:pPr>
            <w:r>
              <w:rPr>
                <w:rFonts w:hint="eastAsia"/>
                <w:color w:val="auto"/>
                <w:sz w:val="24"/>
                <w:szCs w:val="24"/>
              </w:rPr>
              <w:t>（3）噪声</w:t>
            </w:r>
          </w:p>
          <w:p w14:paraId="1FDF8D43">
            <w:pPr>
              <w:spacing w:line="360" w:lineRule="auto"/>
              <w:ind w:firstLine="480" w:firstLineChars="200"/>
              <w:rPr>
                <w:color w:val="auto"/>
                <w:sz w:val="24"/>
                <w:szCs w:val="24"/>
              </w:rPr>
            </w:pPr>
            <w:r>
              <w:rPr>
                <w:rFonts w:hint="eastAsia"/>
                <w:color w:val="auto"/>
                <w:sz w:val="24"/>
                <w:szCs w:val="24"/>
              </w:rPr>
              <w:t>竣工验收：通过选用低噪声、低震动实际情况、合理安排厂区平面布置等降噪措施：</w:t>
            </w:r>
          </w:p>
          <w:p w14:paraId="64208455">
            <w:pPr>
              <w:spacing w:line="360" w:lineRule="auto"/>
              <w:ind w:firstLine="480" w:firstLineChars="200"/>
              <w:rPr>
                <w:color w:val="auto"/>
                <w:sz w:val="24"/>
                <w:szCs w:val="24"/>
              </w:rPr>
            </w:pPr>
            <w:r>
              <w:rPr>
                <w:rFonts w:hint="eastAsia"/>
                <w:color w:val="auto"/>
                <w:sz w:val="24"/>
                <w:szCs w:val="24"/>
              </w:rPr>
              <w:t>实际情况：</w:t>
            </w:r>
            <w:r>
              <w:rPr>
                <w:rFonts w:hint="eastAsia"/>
                <w:color w:val="auto"/>
                <w:kern w:val="0"/>
                <w:sz w:val="24"/>
                <w:szCs w:val="24"/>
              </w:rPr>
              <w:t>项目已淘汰，</w:t>
            </w:r>
            <w:r>
              <w:rPr>
                <w:rFonts w:hint="eastAsia"/>
                <w:color w:val="auto"/>
                <w:sz w:val="24"/>
                <w:szCs w:val="24"/>
              </w:rPr>
              <w:t>无工艺噪声。</w:t>
            </w:r>
          </w:p>
          <w:p w14:paraId="2BBC6421">
            <w:pPr>
              <w:spacing w:line="360" w:lineRule="auto"/>
              <w:ind w:firstLine="480" w:firstLineChars="200"/>
              <w:rPr>
                <w:b/>
                <w:color w:val="auto"/>
                <w:sz w:val="24"/>
                <w:szCs w:val="24"/>
              </w:rPr>
            </w:pPr>
            <w:r>
              <w:rPr>
                <w:rFonts w:hint="eastAsia"/>
                <w:bCs/>
                <w:color w:val="auto"/>
                <w:sz w:val="24"/>
                <w:szCs w:val="24"/>
              </w:rPr>
              <w:t>（4）固废</w:t>
            </w:r>
          </w:p>
          <w:p w14:paraId="6B1DC072">
            <w:pPr>
              <w:spacing w:before="156" w:beforeLines="50" w:line="360" w:lineRule="auto"/>
              <w:ind w:firstLine="480" w:firstLineChars="200"/>
              <w:rPr>
                <w:color w:val="auto"/>
                <w:sz w:val="24"/>
                <w:szCs w:val="24"/>
              </w:rPr>
            </w:pPr>
            <w:r>
              <w:rPr>
                <w:rFonts w:hint="eastAsia"/>
                <w:color w:val="auto"/>
                <w:sz w:val="24"/>
                <w:szCs w:val="24"/>
              </w:rPr>
              <w:t>竣工验收：锡渣统一收集后外售，废纤维及废活性炭委托有资质单位处置，生活垃圾由环卫部门统一清运处置。</w:t>
            </w:r>
          </w:p>
          <w:p w14:paraId="6E856953">
            <w:pPr>
              <w:spacing w:before="156" w:beforeLines="50" w:line="360" w:lineRule="auto"/>
              <w:ind w:firstLine="480" w:firstLineChars="200"/>
              <w:rPr>
                <w:color w:val="auto"/>
                <w:sz w:val="24"/>
                <w:szCs w:val="24"/>
              </w:rPr>
            </w:pPr>
            <w:r>
              <w:rPr>
                <w:rFonts w:hint="eastAsia"/>
                <w:color w:val="auto"/>
                <w:sz w:val="24"/>
                <w:szCs w:val="24"/>
              </w:rPr>
              <w:t>实际情况：</w:t>
            </w:r>
            <w:r>
              <w:rPr>
                <w:rFonts w:hint="eastAsia"/>
                <w:color w:val="auto"/>
                <w:kern w:val="0"/>
                <w:sz w:val="24"/>
                <w:szCs w:val="24"/>
              </w:rPr>
              <w:t>项目已淘汰，无危废及固废产生。</w:t>
            </w:r>
          </w:p>
          <w:p w14:paraId="178FB05B">
            <w:pPr>
              <w:numPr>
                <w:ilvl w:val="0"/>
                <w:numId w:val="5"/>
              </w:numPr>
              <w:spacing w:line="340" w:lineRule="exact"/>
              <w:ind w:firstLine="480" w:firstLineChars="200"/>
              <w:rPr>
                <w:color w:val="auto"/>
                <w:sz w:val="24"/>
                <w:szCs w:val="24"/>
              </w:rPr>
            </w:pPr>
            <w:r>
              <w:rPr>
                <w:rFonts w:hint="eastAsia"/>
                <w:color w:val="auto"/>
                <w:sz w:val="24"/>
                <w:szCs w:val="24"/>
              </w:rPr>
              <w:t>原有</w:t>
            </w:r>
            <w:r>
              <w:rPr>
                <w:color w:val="auto"/>
                <w:sz w:val="24"/>
                <w:szCs w:val="24"/>
              </w:rPr>
              <w:t>项目污染物排放情况</w:t>
            </w:r>
          </w:p>
          <w:p w14:paraId="34E91754">
            <w:pPr>
              <w:spacing w:line="340" w:lineRule="exact"/>
              <w:jc w:val="center"/>
              <w:rPr>
                <w:rFonts w:eastAsiaTheme="majorEastAsia"/>
                <w:b/>
                <w:color w:val="auto"/>
                <w:sz w:val="24"/>
                <w:szCs w:val="24"/>
              </w:rPr>
            </w:pPr>
            <w:r>
              <w:rPr>
                <w:b/>
                <w:color w:val="auto"/>
                <w:sz w:val="24"/>
                <w:szCs w:val="24"/>
              </w:rPr>
              <w:t>表</w:t>
            </w:r>
            <w:r>
              <w:rPr>
                <w:rFonts w:hint="eastAsia"/>
                <w:b/>
                <w:color w:val="auto"/>
                <w:sz w:val="24"/>
                <w:szCs w:val="24"/>
              </w:rPr>
              <w:t>2-9  原有</w:t>
            </w:r>
            <w:r>
              <w:rPr>
                <w:rFonts w:hint="eastAsia" w:asciiTheme="majorEastAsia" w:hAnsiTheme="majorEastAsia" w:eastAsiaTheme="majorEastAsia"/>
                <w:b/>
                <w:color w:val="auto"/>
                <w:kern w:val="0"/>
                <w:sz w:val="24"/>
                <w:szCs w:val="24"/>
              </w:rPr>
              <w:t>项目污染物排放情况汇总表</w:t>
            </w:r>
          </w:p>
          <w:tbl>
            <w:tblPr>
              <w:tblStyle w:val="22"/>
              <w:tblW w:w="8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71"/>
              <w:gridCol w:w="1747"/>
              <w:gridCol w:w="2398"/>
              <w:gridCol w:w="2399"/>
            </w:tblGrid>
            <w:tr w14:paraId="6B45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F7D6978">
                  <w:pPr>
                    <w:tabs>
                      <w:tab w:val="left" w:pos="210"/>
                    </w:tabs>
                    <w:spacing w:line="0" w:lineRule="atLeast"/>
                    <w:jc w:val="center"/>
                    <w:rPr>
                      <w:rFonts w:ascii="宋体" w:hAnsi="宋体" w:cs="宋体"/>
                      <w:b/>
                      <w:color w:val="auto"/>
                    </w:rPr>
                  </w:pPr>
                  <w:r>
                    <w:rPr>
                      <w:rFonts w:hint="eastAsia" w:ascii="宋体" w:hAnsi="宋体" w:cs="宋体"/>
                      <w:b/>
                      <w:color w:val="auto"/>
                    </w:rPr>
                    <w:t>控制项目</w:t>
                  </w:r>
                </w:p>
              </w:tc>
              <w:tc>
                <w:tcPr>
                  <w:tcW w:w="2918" w:type="dxa"/>
                  <w:gridSpan w:val="2"/>
                  <w:vAlign w:val="center"/>
                </w:tcPr>
                <w:p w14:paraId="6DE1161F">
                  <w:pPr>
                    <w:tabs>
                      <w:tab w:val="left" w:pos="210"/>
                    </w:tabs>
                    <w:spacing w:line="0" w:lineRule="atLeast"/>
                    <w:jc w:val="center"/>
                    <w:rPr>
                      <w:rFonts w:ascii="宋体" w:hAnsi="宋体" w:cs="宋体"/>
                      <w:b/>
                      <w:color w:val="auto"/>
                    </w:rPr>
                  </w:pPr>
                  <w:r>
                    <w:rPr>
                      <w:rFonts w:hint="eastAsia" w:ascii="宋体" w:hAnsi="宋体" w:cs="宋体"/>
                      <w:b/>
                      <w:color w:val="auto"/>
                    </w:rPr>
                    <w:t>污染物</w:t>
                  </w:r>
                </w:p>
              </w:tc>
              <w:tc>
                <w:tcPr>
                  <w:tcW w:w="2398" w:type="dxa"/>
                  <w:vAlign w:val="center"/>
                </w:tcPr>
                <w:p w14:paraId="3002E3E5">
                  <w:pPr>
                    <w:tabs>
                      <w:tab w:val="left" w:pos="210"/>
                    </w:tabs>
                    <w:spacing w:line="0" w:lineRule="atLeast"/>
                    <w:jc w:val="center"/>
                    <w:rPr>
                      <w:rFonts w:ascii="宋体" w:hAnsi="宋体" w:cs="宋体"/>
                      <w:b/>
                      <w:color w:val="auto"/>
                    </w:rPr>
                  </w:pPr>
                  <w:r>
                    <w:rPr>
                      <w:rFonts w:hint="eastAsia" w:ascii="宋体" w:hAnsi="宋体" w:cs="宋体"/>
                      <w:b/>
                      <w:color w:val="auto"/>
                    </w:rPr>
                    <w:t>环评批复量</w:t>
                  </w:r>
                </w:p>
                <w:p w14:paraId="0B66DAE1">
                  <w:pPr>
                    <w:tabs>
                      <w:tab w:val="left" w:pos="210"/>
                    </w:tabs>
                    <w:spacing w:line="0" w:lineRule="atLeast"/>
                    <w:jc w:val="center"/>
                    <w:rPr>
                      <w:rFonts w:ascii="宋体" w:hAnsi="宋体" w:cs="宋体"/>
                      <w:b/>
                      <w:color w:val="auto"/>
                    </w:rPr>
                  </w:pPr>
                  <w:r>
                    <w:rPr>
                      <w:rFonts w:hint="eastAsia" w:ascii="宋体" w:hAnsi="宋体" w:cs="宋体"/>
                      <w:b/>
                      <w:color w:val="auto"/>
                    </w:rPr>
                    <w:t>（固废产生量）</w:t>
                  </w:r>
                  <w:r>
                    <w:rPr>
                      <w:b/>
                      <w:color w:val="auto"/>
                    </w:rPr>
                    <w:t>（t/a）</w:t>
                  </w:r>
                </w:p>
              </w:tc>
              <w:tc>
                <w:tcPr>
                  <w:tcW w:w="2399" w:type="dxa"/>
                  <w:vAlign w:val="center"/>
                </w:tcPr>
                <w:p w14:paraId="49ECF41D">
                  <w:pPr>
                    <w:tabs>
                      <w:tab w:val="left" w:pos="210"/>
                    </w:tabs>
                    <w:spacing w:line="0" w:lineRule="atLeast"/>
                    <w:jc w:val="center"/>
                    <w:rPr>
                      <w:rFonts w:ascii="宋体" w:hAnsi="宋体" w:cs="宋体"/>
                      <w:b/>
                      <w:color w:val="auto"/>
                    </w:rPr>
                  </w:pPr>
                  <w:r>
                    <w:rPr>
                      <w:rFonts w:hint="eastAsia" w:ascii="宋体" w:hAnsi="宋体" w:cs="宋体"/>
                      <w:b/>
                      <w:color w:val="auto"/>
                    </w:rPr>
                    <w:t>实际核算排放量</w:t>
                  </w:r>
                </w:p>
                <w:p w14:paraId="100A1C73">
                  <w:pPr>
                    <w:tabs>
                      <w:tab w:val="left" w:pos="210"/>
                    </w:tabs>
                    <w:spacing w:line="0" w:lineRule="atLeast"/>
                    <w:jc w:val="center"/>
                    <w:rPr>
                      <w:rFonts w:ascii="宋体" w:hAnsi="宋体" w:cs="宋体"/>
                      <w:b/>
                      <w:color w:val="auto"/>
                    </w:rPr>
                  </w:pPr>
                  <w:r>
                    <w:rPr>
                      <w:rFonts w:hint="eastAsia" w:ascii="宋体" w:hAnsi="宋体" w:cs="宋体"/>
                      <w:b/>
                      <w:color w:val="auto"/>
                    </w:rPr>
                    <w:t>（固废产生量）</w:t>
                  </w:r>
                  <w:r>
                    <w:rPr>
                      <w:b/>
                      <w:color w:val="auto"/>
                    </w:rPr>
                    <w:t>（t/a）</w:t>
                  </w:r>
                </w:p>
              </w:tc>
            </w:tr>
            <w:tr w14:paraId="62B0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vAlign w:val="center"/>
                </w:tcPr>
                <w:p w14:paraId="44FE5DE7">
                  <w:pPr>
                    <w:tabs>
                      <w:tab w:val="left" w:pos="210"/>
                    </w:tabs>
                    <w:spacing w:line="0" w:lineRule="atLeast"/>
                    <w:jc w:val="center"/>
                    <w:rPr>
                      <w:rFonts w:ascii="宋体" w:hAnsi="宋体" w:cs="宋体"/>
                      <w:color w:val="auto"/>
                    </w:rPr>
                  </w:pPr>
                  <w:r>
                    <w:rPr>
                      <w:rFonts w:hint="eastAsia" w:ascii="宋体" w:hAnsi="宋体" w:cs="宋体"/>
                      <w:color w:val="auto"/>
                    </w:rPr>
                    <w:t>废水</w:t>
                  </w:r>
                </w:p>
              </w:tc>
              <w:tc>
                <w:tcPr>
                  <w:tcW w:w="2918" w:type="dxa"/>
                  <w:gridSpan w:val="2"/>
                  <w:vAlign w:val="center"/>
                </w:tcPr>
                <w:p w14:paraId="5FE6957D">
                  <w:pPr>
                    <w:adjustRightInd w:val="0"/>
                    <w:jc w:val="center"/>
                    <w:rPr>
                      <w:bCs/>
                      <w:color w:val="auto"/>
                    </w:rPr>
                  </w:pPr>
                  <w:r>
                    <w:rPr>
                      <w:rFonts w:hint="eastAsia"/>
                      <w:bCs/>
                      <w:color w:val="auto"/>
                    </w:rPr>
                    <w:t>废水量</w:t>
                  </w:r>
                </w:p>
              </w:tc>
              <w:tc>
                <w:tcPr>
                  <w:tcW w:w="2398" w:type="dxa"/>
                  <w:vAlign w:val="center"/>
                </w:tcPr>
                <w:p w14:paraId="00F655BC">
                  <w:pPr>
                    <w:adjustRightInd w:val="0"/>
                    <w:jc w:val="center"/>
                    <w:rPr>
                      <w:bCs/>
                      <w:color w:val="auto"/>
                    </w:rPr>
                  </w:pPr>
                  <w:r>
                    <w:rPr>
                      <w:rFonts w:hint="eastAsia"/>
                      <w:bCs/>
                      <w:color w:val="auto"/>
                    </w:rPr>
                    <w:t>10125</w:t>
                  </w:r>
                </w:p>
              </w:tc>
              <w:tc>
                <w:tcPr>
                  <w:tcW w:w="2399" w:type="dxa"/>
                  <w:vAlign w:val="center"/>
                </w:tcPr>
                <w:p w14:paraId="20A7D970">
                  <w:pPr>
                    <w:adjustRightInd w:val="0"/>
                    <w:jc w:val="center"/>
                    <w:rPr>
                      <w:bCs/>
                      <w:color w:val="auto"/>
                    </w:rPr>
                  </w:pPr>
                  <w:r>
                    <w:rPr>
                      <w:rFonts w:hint="eastAsia"/>
                      <w:bCs/>
                      <w:color w:val="auto"/>
                    </w:rPr>
                    <w:t>1823</w:t>
                  </w:r>
                </w:p>
              </w:tc>
            </w:tr>
            <w:tr w14:paraId="12C4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vAlign w:val="center"/>
                </w:tcPr>
                <w:p w14:paraId="67F7D056">
                  <w:pPr>
                    <w:tabs>
                      <w:tab w:val="left" w:pos="210"/>
                    </w:tabs>
                    <w:spacing w:line="0" w:lineRule="atLeast"/>
                    <w:jc w:val="center"/>
                    <w:rPr>
                      <w:rFonts w:ascii="宋体" w:hAnsi="宋体" w:cs="宋体"/>
                      <w:color w:val="auto"/>
                    </w:rPr>
                  </w:pPr>
                </w:p>
              </w:tc>
              <w:tc>
                <w:tcPr>
                  <w:tcW w:w="2918" w:type="dxa"/>
                  <w:gridSpan w:val="2"/>
                  <w:vAlign w:val="center"/>
                </w:tcPr>
                <w:p w14:paraId="1D30BA85">
                  <w:pPr>
                    <w:adjustRightInd w:val="0"/>
                    <w:jc w:val="center"/>
                    <w:rPr>
                      <w:bCs/>
                      <w:color w:val="auto"/>
                    </w:rPr>
                  </w:pPr>
                  <w:r>
                    <w:rPr>
                      <w:rFonts w:hint="eastAsia"/>
                      <w:bCs/>
                      <w:color w:val="auto"/>
                    </w:rPr>
                    <w:t>COD</w:t>
                  </w:r>
                </w:p>
              </w:tc>
              <w:tc>
                <w:tcPr>
                  <w:tcW w:w="2398" w:type="dxa"/>
                  <w:vAlign w:val="center"/>
                </w:tcPr>
                <w:p w14:paraId="44113BAD">
                  <w:pPr>
                    <w:adjustRightInd w:val="0"/>
                    <w:jc w:val="center"/>
                    <w:rPr>
                      <w:bCs/>
                      <w:color w:val="auto"/>
                    </w:rPr>
                  </w:pPr>
                  <w:r>
                    <w:rPr>
                      <w:rFonts w:hint="eastAsia"/>
                      <w:bCs/>
                      <w:color w:val="auto"/>
                    </w:rPr>
                    <w:t>4.05</w:t>
                  </w:r>
                </w:p>
              </w:tc>
              <w:tc>
                <w:tcPr>
                  <w:tcW w:w="2399" w:type="dxa"/>
                  <w:vAlign w:val="center"/>
                </w:tcPr>
                <w:p w14:paraId="481F0F26">
                  <w:pPr>
                    <w:adjustRightInd w:val="0"/>
                    <w:jc w:val="center"/>
                    <w:rPr>
                      <w:bCs/>
                      <w:color w:val="auto"/>
                    </w:rPr>
                  </w:pPr>
                  <w:r>
                    <w:rPr>
                      <w:rFonts w:hint="eastAsia"/>
                      <w:bCs/>
                      <w:color w:val="auto"/>
                    </w:rPr>
                    <w:t>0.426</w:t>
                  </w:r>
                </w:p>
              </w:tc>
            </w:tr>
            <w:tr w14:paraId="0943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vMerge w:val="continue"/>
                  <w:vAlign w:val="center"/>
                </w:tcPr>
                <w:p w14:paraId="4F1A0E49">
                  <w:pPr>
                    <w:tabs>
                      <w:tab w:val="left" w:pos="210"/>
                    </w:tabs>
                    <w:spacing w:line="0" w:lineRule="atLeast"/>
                    <w:jc w:val="center"/>
                    <w:rPr>
                      <w:rFonts w:ascii="宋体" w:hAnsi="宋体" w:cs="宋体"/>
                      <w:color w:val="auto"/>
                    </w:rPr>
                  </w:pPr>
                </w:p>
              </w:tc>
              <w:tc>
                <w:tcPr>
                  <w:tcW w:w="2918" w:type="dxa"/>
                  <w:gridSpan w:val="2"/>
                  <w:vAlign w:val="center"/>
                </w:tcPr>
                <w:p w14:paraId="60DC1B54">
                  <w:pPr>
                    <w:adjustRightInd w:val="0"/>
                    <w:jc w:val="center"/>
                    <w:rPr>
                      <w:bCs/>
                      <w:color w:val="auto"/>
                    </w:rPr>
                  </w:pPr>
                  <w:r>
                    <w:rPr>
                      <w:rFonts w:hint="eastAsia"/>
                      <w:bCs/>
                      <w:color w:val="auto"/>
                    </w:rPr>
                    <w:t>SS</w:t>
                  </w:r>
                </w:p>
              </w:tc>
              <w:tc>
                <w:tcPr>
                  <w:tcW w:w="2398" w:type="dxa"/>
                  <w:vAlign w:val="center"/>
                </w:tcPr>
                <w:p w14:paraId="17A1A608">
                  <w:pPr>
                    <w:adjustRightInd w:val="0"/>
                    <w:jc w:val="center"/>
                    <w:rPr>
                      <w:bCs/>
                      <w:color w:val="auto"/>
                    </w:rPr>
                  </w:pPr>
                  <w:r>
                    <w:rPr>
                      <w:rFonts w:hint="eastAsia"/>
                      <w:bCs/>
                      <w:color w:val="auto"/>
                    </w:rPr>
                    <w:t>1.265</w:t>
                  </w:r>
                </w:p>
              </w:tc>
              <w:tc>
                <w:tcPr>
                  <w:tcW w:w="2399" w:type="dxa"/>
                  <w:vAlign w:val="center"/>
                </w:tcPr>
                <w:p w14:paraId="35FF3582">
                  <w:pPr>
                    <w:adjustRightInd w:val="0"/>
                    <w:jc w:val="center"/>
                    <w:rPr>
                      <w:bCs/>
                      <w:color w:val="auto"/>
                    </w:rPr>
                  </w:pPr>
                  <w:r>
                    <w:rPr>
                      <w:rFonts w:hint="eastAsia"/>
                      <w:bCs/>
                      <w:color w:val="auto"/>
                    </w:rPr>
                    <w:t>0.179</w:t>
                  </w:r>
                </w:p>
              </w:tc>
            </w:tr>
            <w:tr w14:paraId="3EA8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vAlign w:val="center"/>
                </w:tcPr>
                <w:p w14:paraId="0FB87417">
                  <w:pPr>
                    <w:tabs>
                      <w:tab w:val="left" w:pos="210"/>
                    </w:tabs>
                    <w:spacing w:line="0" w:lineRule="atLeast"/>
                    <w:jc w:val="center"/>
                    <w:rPr>
                      <w:rFonts w:ascii="宋体" w:hAnsi="宋体" w:cs="宋体"/>
                      <w:color w:val="auto"/>
                    </w:rPr>
                  </w:pPr>
                </w:p>
              </w:tc>
              <w:tc>
                <w:tcPr>
                  <w:tcW w:w="2918" w:type="dxa"/>
                  <w:gridSpan w:val="2"/>
                  <w:vAlign w:val="center"/>
                </w:tcPr>
                <w:p w14:paraId="22252BA4">
                  <w:pPr>
                    <w:adjustRightInd w:val="0"/>
                    <w:jc w:val="center"/>
                    <w:rPr>
                      <w:bCs/>
                      <w:color w:val="auto"/>
                    </w:rPr>
                  </w:pPr>
                  <w:r>
                    <w:rPr>
                      <w:rFonts w:hint="eastAsia"/>
                      <w:bCs/>
                      <w:color w:val="auto"/>
                    </w:rPr>
                    <w:t>氨氮</w:t>
                  </w:r>
                </w:p>
              </w:tc>
              <w:tc>
                <w:tcPr>
                  <w:tcW w:w="2398" w:type="dxa"/>
                  <w:vAlign w:val="center"/>
                </w:tcPr>
                <w:p w14:paraId="59A9F69B">
                  <w:pPr>
                    <w:adjustRightInd w:val="0"/>
                    <w:jc w:val="center"/>
                    <w:rPr>
                      <w:bCs/>
                      <w:color w:val="auto"/>
                    </w:rPr>
                  </w:pPr>
                  <w:r>
                    <w:rPr>
                      <w:rFonts w:hint="eastAsia"/>
                      <w:bCs/>
                      <w:color w:val="auto"/>
                    </w:rPr>
                    <w:t>0.304</w:t>
                  </w:r>
                </w:p>
              </w:tc>
              <w:tc>
                <w:tcPr>
                  <w:tcW w:w="2399" w:type="dxa"/>
                  <w:vAlign w:val="center"/>
                </w:tcPr>
                <w:p w14:paraId="3F464F25">
                  <w:pPr>
                    <w:adjustRightInd w:val="0"/>
                    <w:jc w:val="center"/>
                    <w:rPr>
                      <w:bCs/>
                      <w:color w:val="auto"/>
                    </w:rPr>
                  </w:pPr>
                  <w:r>
                    <w:rPr>
                      <w:rFonts w:hint="eastAsia"/>
                      <w:bCs/>
                      <w:color w:val="auto"/>
                    </w:rPr>
                    <w:t>0.015</w:t>
                  </w:r>
                </w:p>
              </w:tc>
            </w:tr>
            <w:tr w14:paraId="0A04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vAlign w:val="center"/>
                </w:tcPr>
                <w:p w14:paraId="51E9EF87">
                  <w:pPr>
                    <w:tabs>
                      <w:tab w:val="left" w:pos="210"/>
                    </w:tabs>
                    <w:spacing w:line="0" w:lineRule="atLeast"/>
                    <w:jc w:val="center"/>
                    <w:rPr>
                      <w:rFonts w:ascii="宋体" w:hAnsi="宋体" w:cs="宋体"/>
                      <w:color w:val="auto"/>
                    </w:rPr>
                  </w:pPr>
                </w:p>
              </w:tc>
              <w:tc>
                <w:tcPr>
                  <w:tcW w:w="2918" w:type="dxa"/>
                  <w:gridSpan w:val="2"/>
                  <w:vAlign w:val="center"/>
                </w:tcPr>
                <w:p w14:paraId="06DC037F">
                  <w:pPr>
                    <w:adjustRightInd w:val="0"/>
                    <w:jc w:val="center"/>
                    <w:rPr>
                      <w:bCs/>
                      <w:color w:val="auto"/>
                    </w:rPr>
                  </w:pPr>
                  <w:r>
                    <w:rPr>
                      <w:rFonts w:hint="eastAsia"/>
                      <w:bCs/>
                      <w:color w:val="auto"/>
                    </w:rPr>
                    <w:t>总磷</w:t>
                  </w:r>
                </w:p>
              </w:tc>
              <w:tc>
                <w:tcPr>
                  <w:tcW w:w="2398" w:type="dxa"/>
                  <w:vAlign w:val="center"/>
                </w:tcPr>
                <w:p w14:paraId="2F48ECA0">
                  <w:pPr>
                    <w:adjustRightInd w:val="0"/>
                    <w:jc w:val="center"/>
                    <w:rPr>
                      <w:bCs/>
                      <w:color w:val="auto"/>
                    </w:rPr>
                  </w:pPr>
                  <w:r>
                    <w:rPr>
                      <w:rFonts w:hint="eastAsia"/>
                      <w:bCs/>
                      <w:color w:val="auto"/>
                    </w:rPr>
                    <w:t>0.051</w:t>
                  </w:r>
                </w:p>
              </w:tc>
              <w:tc>
                <w:tcPr>
                  <w:tcW w:w="2399" w:type="dxa"/>
                  <w:vAlign w:val="center"/>
                </w:tcPr>
                <w:p w14:paraId="426D66E7">
                  <w:pPr>
                    <w:adjustRightInd w:val="0"/>
                    <w:jc w:val="center"/>
                    <w:rPr>
                      <w:bCs/>
                      <w:color w:val="auto"/>
                    </w:rPr>
                  </w:pPr>
                  <w:r>
                    <w:rPr>
                      <w:rFonts w:hint="eastAsia"/>
                      <w:bCs/>
                      <w:color w:val="auto"/>
                    </w:rPr>
                    <w:t>0.0082</w:t>
                  </w:r>
                </w:p>
              </w:tc>
            </w:tr>
            <w:tr w14:paraId="3F11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vAlign w:val="center"/>
                </w:tcPr>
                <w:p w14:paraId="589A31BE">
                  <w:pPr>
                    <w:tabs>
                      <w:tab w:val="left" w:pos="210"/>
                    </w:tabs>
                    <w:spacing w:line="0" w:lineRule="atLeast"/>
                    <w:jc w:val="center"/>
                    <w:rPr>
                      <w:rFonts w:ascii="宋体" w:hAnsi="宋体" w:cs="宋体"/>
                      <w:color w:val="auto"/>
                    </w:rPr>
                  </w:pPr>
                </w:p>
              </w:tc>
              <w:tc>
                <w:tcPr>
                  <w:tcW w:w="2918" w:type="dxa"/>
                  <w:gridSpan w:val="2"/>
                  <w:vAlign w:val="center"/>
                </w:tcPr>
                <w:p w14:paraId="53453414">
                  <w:pPr>
                    <w:adjustRightInd w:val="0"/>
                    <w:jc w:val="center"/>
                    <w:rPr>
                      <w:bCs/>
                      <w:color w:val="auto"/>
                    </w:rPr>
                  </w:pPr>
                  <w:r>
                    <w:rPr>
                      <w:rFonts w:hint="eastAsia"/>
                      <w:bCs/>
                      <w:color w:val="auto"/>
                    </w:rPr>
                    <w:t>动植物油</w:t>
                  </w:r>
                </w:p>
              </w:tc>
              <w:tc>
                <w:tcPr>
                  <w:tcW w:w="2398" w:type="dxa"/>
                  <w:vAlign w:val="center"/>
                </w:tcPr>
                <w:p w14:paraId="5169995C">
                  <w:pPr>
                    <w:adjustRightInd w:val="0"/>
                    <w:jc w:val="center"/>
                    <w:rPr>
                      <w:bCs/>
                      <w:color w:val="auto"/>
                    </w:rPr>
                  </w:pPr>
                  <w:r>
                    <w:rPr>
                      <w:rFonts w:hint="eastAsia"/>
                      <w:bCs/>
                      <w:color w:val="auto"/>
                    </w:rPr>
                    <w:t>0.648</w:t>
                  </w:r>
                </w:p>
              </w:tc>
              <w:tc>
                <w:tcPr>
                  <w:tcW w:w="2399" w:type="dxa"/>
                  <w:vAlign w:val="center"/>
                </w:tcPr>
                <w:p w14:paraId="5198220B">
                  <w:pPr>
                    <w:adjustRightInd w:val="0"/>
                    <w:jc w:val="center"/>
                    <w:rPr>
                      <w:bCs/>
                      <w:color w:val="auto"/>
                    </w:rPr>
                  </w:pPr>
                  <w:r>
                    <w:rPr>
                      <w:rFonts w:hint="eastAsia"/>
                      <w:bCs/>
                      <w:color w:val="auto"/>
                    </w:rPr>
                    <w:t>0.00073</w:t>
                  </w:r>
                </w:p>
              </w:tc>
            </w:tr>
            <w:tr w14:paraId="47BC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vAlign w:val="center"/>
                </w:tcPr>
                <w:p w14:paraId="58F03DE3">
                  <w:pPr>
                    <w:tabs>
                      <w:tab w:val="left" w:pos="210"/>
                    </w:tabs>
                    <w:spacing w:line="0" w:lineRule="atLeast"/>
                    <w:jc w:val="center"/>
                    <w:rPr>
                      <w:rFonts w:ascii="宋体" w:hAnsi="宋体" w:cs="宋体"/>
                      <w:color w:val="auto"/>
                    </w:rPr>
                  </w:pPr>
                  <w:r>
                    <w:rPr>
                      <w:rFonts w:hint="eastAsia" w:ascii="宋体" w:hAnsi="宋体" w:cs="宋体"/>
                      <w:color w:val="auto"/>
                    </w:rPr>
                    <w:t>废气</w:t>
                  </w:r>
                </w:p>
              </w:tc>
              <w:tc>
                <w:tcPr>
                  <w:tcW w:w="1171" w:type="dxa"/>
                  <w:vMerge w:val="restart"/>
                  <w:vAlign w:val="center"/>
                </w:tcPr>
                <w:p w14:paraId="402E6805">
                  <w:pPr>
                    <w:adjustRightInd w:val="0"/>
                    <w:jc w:val="center"/>
                    <w:rPr>
                      <w:bCs/>
                      <w:color w:val="auto"/>
                    </w:rPr>
                  </w:pPr>
                  <w:r>
                    <w:rPr>
                      <w:rFonts w:hint="eastAsia"/>
                      <w:bCs/>
                      <w:color w:val="auto"/>
                    </w:rPr>
                    <w:t>有组织</w:t>
                  </w:r>
                </w:p>
              </w:tc>
              <w:tc>
                <w:tcPr>
                  <w:tcW w:w="1747" w:type="dxa"/>
                </w:tcPr>
                <w:p w14:paraId="1834B719">
                  <w:pPr>
                    <w:adjustRightInd w:val="0"/>
                    <w:jc w:val="center"/>
                    <w:rPr>
                      <w:bCs/>
                      <w:color w:val="auto"/>
                    </w:rPr>
                  </w:pPr>
                  <w:r>
                    <w:rPr>
                      <w:rFonts w:hint="eastAsia"/>
                      <w:bCs/>
                      <w:color w:val="auto"/>
                    </w:rPr>
                    <w:t>非甲烷总烃</w:t>
                  </w:r>
                </w:p>
              </w:tc>
              <w:tc>
                <w:tcPr>
                  <w:tcW w:w="2398" w:type="dxa"/>
                  <w:vAlign w:val="center"/>
                </w:tcPr>
                <w:p w14:paraId="4E025EDF">
                  <w:pPr>
                    <w:adjustRightInd w:val="0"/>
                    <w:jc w:val="center"/>
                    <w:rPr>
                      <w:bCs/>
                      <w:color w:val="auto"/>
                    </w:rPr>
                  </w:pPr>
                  <w:r>
                    <w:rPr>
                      <w:rFonts w:hint="eastAsia"/>
                      <w:bCs/>
                      <w:color w:val="auto"/>
                    </w:rPr>
                    <w:t>0.0279</w:t>
                  </w:r>
                </w:p>
              </w:tc>
              <w:tc>
                <w:tcPr>
                  <w:tcW w:w="2399" w:type="dxa"/>
                  <w:vAlign w:val="center"/>
                </w:tcPr>
                <w:p w14:paraId="6154D058">
                  <w:pPr>
                    <w:adjustRightInd w:val="0"/>
                    <w:jc w:val="center"/>
                    <w:rPr>
                      <w:bCs/>
                      <w:color w:val="auto"/>
                    </w:rPr>
                  </w:pPr>
                  <w:r>
                    <w:rPr>
                      <w:color w:val="auto"/>
                      <w:spacing w:val="-2"/>
                    </w:rPr>
                    <w:t>0.0</w:t>
                  </w:r>
                  <w:r>
                    <w:rPr>
                      <w:rFonts w:hint="eastAsia"/>
                      <w:color w:val="auto"/>
                      <w:spacing w:val="-2"/>
                    </w:rPr>
                    <w:t>025</w:t>
                  </w:r>
                </w:p>
              </w:tc>
            </w:tr>
            <w:tr w14:paraId="4907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vAlign w:val="center"/>
                </w:tcPr>
                <w:p w14:paraId="5A9869E5">
                  <w:pPr>
                    <w:tabs>
                      <w:tab w:val="left" w:pos="210"/>
                    </w:tabs>
                    <w:spacing w:line="0" w:lineRule="atLeast"/>
                    <w:jc w:val="center"/>
                    <w:rPr>
                      <w:rFonts w:ascii="宋体" w:hAnsi="宋体" w:cs="宋体"/>
                      <w:color w:val="auto"/>
                    </w:rPr>
                  </w:pPr>
                </w:p>
              </w:tc>
              <w:tc>
                <w:tcPr>
                  <w:tcW w:w="1171" w:type="dxa"/>
                  <w:vMerge w:val="continue"/>
                  <w:vAlign w:val="center"/>
                </w:tcPr>
                <w:p w14:paraId="5829BBCF">
                  <w:pPr>
                    <w:adjustRightInd w:val="0"/>
                    <w:jc w:val="center"/>
                    <w:rPr>
                      <w:bCs/>
                      <w:color w:val="auto"/>
                    </w:rPr>
                  </w:pPr>
                </w:p>
              </w:tc>
              <w:tc>
                <w:tcPr>
                  <w:tcW w:w="1747" w:type="dxa"/>
                </w:tcPr>
                <w:p w14:paraId="6F0259FC">
                  <w:pPr>
                    <w:pStyle w:val="51"/>
                    <w:spacing w:before="62" w:line="216" w:lineRule="auto"/>
                    <w:jc w:val="center"/>
                    <w:rPr>
                      <w:rFonts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颗粒物</w:t>
                  </w:r>
                </w:p>
              </w:tc>
              <w:tc>
                <w:tcPr>
                  <w:tcW w:w="2398" w:type="dxa"/>
                  <w:vAlign w:val="center"/>
                </w:tcPr>
                <w:p w14:paraId="0FB4ACB4">
                  <w:pPr>
                    <w:adjustRightInd w:val="0"/>
                    <w:jc w:val="center"/>
                    <w:rPr>
                      <w:bCs/>
                      <w:color w:val="auto"/>
                    </w:rPr>
                  </w:pPr>
                  <w:r>
                    <w:rPr>
                      <w:rFonts w:hint="eastAsia"/>
                      <w:bCs/>
                      <w:color w:val="auto"/>
                    </w:rPr>
                    <w:t>0.015</w:t>
                  </w:r>
                </w:p>
              </w:tc>
              <w:tc>
                <w:tcPr>
                  <w:tcW w:w="2399" w:type="dxa"/>
                  <w:vAlign w:val="center"/>
                </w:tcPr>
                <w:p w14:paraId="5B6D0DB6">
                  <w:pPr>
                    <w:adjustRightInd w:val="0"/>
                    <w:jc w:val="center"/>
                    <w:rPr>
                      <w:bCs/>
                      <w:color w:val="auto"/>
                    </w:rPr>
                  </w:pPr>
                  <w:r>
                    <w:rPr>
                      <w:rFonts w:hint="eastAsia"/>
                      <w:bCs/>
                      <w:color w:val="auto"/>
                    </w:rPr>
                    <w:t>0.002</w:t>
                  </w:r>
                </w:p>
              </w:tc>
            </w:tr>
            <w:tr w14:paraId="1827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vAlign w:val="center"/>
                </w:tcPr>
                <w:p w14:paraId="2D69E78C">
                  <w:pPr>
                    <w:tabs>
                      <w:tab w:val="left" w:pos="210"/>
                    </w:tabs>
                    <w:spacing w:line="0" w:lineRule="atLeast"/>
                    <w:jc w:val="center"/>
                    <w:rPr>
                      <w:rFonts w:ascii="宋体" w:hAnsi="宋体" w:cs="宋体"/>
                      <w:color w:val="auto"/>
                    </w:rPr>
                  </w:pPr>
                </w:p>
              </w:tc>
              <w:tc>
                <w:tcPr>
                  <w:tcW w:w="1171" w:type="dxa"/>
                  <w:vMerge w:val="continue"/>
                  <w:vAlign w:val="center"/>
                </w:tcPr>
                <w:p w14:paraId="6B705874">
                  <w:pPr>
                    <w:adjustRightInd w:val="0"/>
                    <w:jc w:val="center"/>
                    <w:rPr>
                      <w:bCs/>
                      <w:color w:val="auto"/>
                    </w:rPr>
                  </w:pPr>
                </w:p>
              </w:tc>
              <w:tc>
                <w:tcPr>
                  <w:tcW w:w="1747" w:type="dxa"/>
                </w:tcPr>
                <w:p w14:paraId="78878D9F">
                  <w:pPr>
                    <w:pStyle w:val="51"/>
                    <w:spacing w:before="61" w:line="244" w:lineRule="auto"/>
                    <w:ind w:right="115"/>
                    <w:jc w:val="center"/>
                    <w:rPr>
                      <w:rFonts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锡及其化合物</w:t>
                  </w:r>
                </w:p>
              </w:tc>
              <w:tc>
                <w:tcPr>
                  <w:tcW w:w="2398" w:type="dxa"/>
                  <w:vAlign w:val="center"/>
                </w:tcPr>
                <w:p w14:paraId="261F56C7">
                  <w:pPr>
                    <w:adjustRightInd w:val="0"/>
                    <w:jc w:val="center"/>
                    <w:rPr>
                      <w:bCs/>
                      <w:color w:val="auto"/>
                    </w:rPr>
                  </w:pPr>
                  <w:r>
                    <w:rPr>
                      <w:rFonts w:hint="eastAsia"/>
                      <w:bCs/>
                      <w:color w:val="auto"/>
                    </w:rPr>
                    <w:t>0.0075</w:t>
                  </w:r>
                </w:p>
              </w:tc>
              <w:tc>
                <w:tcPr>
                  <w:tcW w:w="2399" w:type="dxa"/>
                  <w:vAlign w:val="center"/>
                </w:tcPr>
                <w:p w14:paraId="57212363">
                  <w:pPr>
                    <w:adjustRightInd w:val="0"/>
                    <w:jc w:val="center"/>
                    <w:rPr>
                      <w:bCs/>
                      <w:color w:val="auto"/>
                    </w:rPr>
                  </w:pPr>
                  <w:r>
                    <w:rPr>
                      <w:color w:val="auto"/>
                      <w:spacing w:val="-1"/>
                    </w:rPr>
                    <w:t>8.2×10</w:t>
                  </w:r>
                  <w:r>
                    <w:rPr>
                      <w:color w:val="auto"/>
                      <w:spacing w:val="-1"/>
                      <w:position w:val="10"/>
                      <w:sz w:val="11"/>
                      <w:szCs w:val="11"/>
                    </w:rPr>
                    <w:t>-5</w:t>
                  </w:r>
                </w:p>
              </w:tc>
            </w:tr>
            <w:tr w14:paraId="6C19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vAlign w:val="center"/>
                </w:tcPr>
                <w:p w14:paraId="0FA854D3">
                  <w:pPr>
                    <w:tabs>
                      <w:tab w:val="left" w:pos="210"/>
                    </w:tabs>
                    <w:spacing w:line="0" w:lineRule="atLeast"/>
                    <w:jc w:val="center"/>
                    <w:rPr>
                      <w:rFonts w:ascii="宋体" w:hAnsi="宋体" w:cs="宋体"/>
                      <w:color w:val="auto"/>
                    </w:rPr>
                  </w:pPr>
                  <w:r>
                    <w:rPr>
                      <w:rFonts w:hint="eastAsia" w:ascii="宋体" w:hAnsi="宋体" w:cs="宋体"/>
                      <w:color w:val="auto"/>
                    </w:rPr>
                    <w:t>固体废物</w:t>
                  </w:r>
                </w:p>
              </w:tc>
              <w:tc>
                <w:tcPr>
                  <w:tcW w:w="1171" w:type="dxa"/>
                  <w:vAlign w:val="center"/>
                </w:tcPr>
                <w:p w14:paraId="3207A55E">
                  <w:pPr>
                    <w:adjustRightInd w:val="0"/>
                    <w:jc w:val="center"/>
                    <w:rPr>
                      <w:bCs/>
                      <w:color w:val="auto"/>
                    </w:rPr>
                  </w:pPr>
                  <w:r>
                    <w:rPr>
                      <w:rFonts w:hint="eastAsia"/>
                      <w:bCs/>
                      <w:color w:val="auto"/>
                    </w:rPr>
                    <w:t>危险固废</w:t>
                  </w:r>
                </w:p>
              </w:tc>
              <w:tc>
                <w:tcPr>
                  <w:tcW w:w="1747" w:type="dxa"/>
                </w:tcPr>
                <w:p w14:paraId="2D182A9D">
                  <w:pPr>
                    <w:pStyle w:val="51"/>
                    <w:spacing w:before="61" w:line="244" w:lineRule="auto"/>
                    <w:ind w:right="115"/>
                    <w:jc w:val="center"/>
                    <w:rPr>
                      <w:rFonts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废纤维及活性炭</w:t>
                  </w:r>
                </w:p>
              </w:tc>
              <w:tc>
                <w:tcPr>
                  <w:tcW w:w="2398" w:type="dxa"/>
                  <w:vAlign w:val="center"/>
                </w:tcPr>
                <w:p w14:paraId="6F19AD67">
                  <w:pPr>
                    <w:adjustRightInd w:val="0"/>
                    <w:jc w:val="center"/>
                    <w:rPr>
                      <w:bCs/>
                      <w:color w:val="auto"/>
                    </w:rPr>
                  </w:pPr>
                  <w:r>
                    <w:rPr>
                      <w:rFonts w:hint="eastAsia"/>
                      <w:bCs/>
                      <w:color w:val="auto"/>
                    </w:rPr>
                    <w:t>4.6</w:t>
                  </w:r>
                </w:p>
              </w:tc>
              <w:tc>
                <w:tcPr>
                  <w:tcW w:w="2399" w:type="dxa"/>
                  <w:vAlign w:val="center"/>
                </w:tcPr>
                <w:p w14:paraId="4BB44CE7">
                  <w:pPr>
                    <w:adjustRightInd w:val="0"/>
                    <w:jc w:val="center"/>
                    <w:rPr>
                      <w:color w:val="auto"/>
                      <w:spacing w:val="-1"/>
                    </w:rPr>
                  </w:pPr>
                  <w:r>
                    <w:rPr>
                      <w:rFonts w:hint="eastAsia"/>
                      <w:bCs/>
                      <w:color w:val="auto"/>
                    </w:rPr>
                    <w:t>4.6</w:t>
                  </w:r>
                </w:p>
              </w:tc>
            </w:tr>
            <w:tr w14:paraId="7250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vAlign w:val="center"/>
                </w:tcPr>
                <w:p w14:paraId="059D6747">
                  <w:pPr>
                    <w:tabs>
                      <w:tab w:val="left" w:pos="210"/>
                    </w:tabs>
                    <w:spacing w:line="0" w:lineRule="atLeast"/>
                    <w:jc w:val="center"/>
                    <w:rPr>
                      <w:rFonts w:ascii="宋体" w:hAnsi="宋体" w:cs="宋体"/>
                      <w:color w:val="auto"/>
                    </w:rPr>
                  </w:pPr>
                </w:p>
              </w:tc>
              <w:tc>
                <w:tcPr>
                  <w:tcW w:w="1171" w:type="dxa"/>
                  <w:vAlign w:val="center"/>
                </w:tcPr>
                <w:p w14:paraId="3D234EDB">
                  <w:pPr>
                    <w:adjustRightInd w:val="0"/>
                    <w:jc w:val="center"/>
                    <w:rPr>
                      <w:bCs/>
                      <w:color w:val="auto"/>
                    </w:rPr>
                  </w:pPr>
                  <w:r>
                    <w:rPr>
                      <w:rFonts w:hint="eastAsia"/>
                      <w:bCs/>
                      <w:color w:val="auto"/>
                    </w:rPr>
                    <w:t>一般固废</w:t>
                  </w:r>
                </w:p>
              </w:tc>
              <w:tc>
                <w:tcPr>
                  <w:tcW w:w="1747" w:type="dxa"/>
                </w:tcPr>
                <w:p w14:paraId="2BF35C6C">
                  <w:pPr>
                    <w:pStyle w:val="51"/>
                    <w:spacing w:before="61" w:line="244" w:lineRule="auto"/>
                    <w:ind w:right="115"/>
                    <w:jc w:val="center"/>
                    <w:rPr>
                      <w:rFonts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锡渣</w:t>
                  </w:r>
                </w:p>
              </w:tc>
              <w:tc>
                <w:tcPr>
                  <w:tcW w:w="2398" w:type="dxa"/>
                  <w:vAlign w:val="center"/>
                </w:tcPr>
                <w:p w14:paraId="3BE39C85">
                  <w:pPr>
                    <w:adjustRightInd w:val="0"/>
                    <w:jc w:val="center"/>
                    <w:rPr>
                      <w:bCs/>
                      <w:color w:val="auto"/>
                    </w:rPr>
                  </w:pPr>
                  <w:r>
                    <w:rPr>
                      <w:rFonts w:hint="eastAsia"/>
                      <w:bCs/>
                      <w:color w:val="auto"/>
                    </w:rPr>
                    <w:t>0.25</w:t>
                  </w:r>
                </w:p>
              </w:tc>
              <w:tc>
                <w:tcPr>
                  <w:tcW w:w="2399" w:type="dxa"/>
                  <w:vAlign w:val="center"/>
                </w:tcPr>
                <w:p w14:paraId="355DEB26">
                  <w:pPr>
                    <w:adjustRightInd w:val="0"/>
                    <w:jc w:val="center"/>
                    <w:rPr>
                      <w:color w:val="auto"/>
                      <w:spacing w:val="-1"/>
                    </w:rPr>
                  </w:pPr>
                  <w:r>
                    <w:rPr>
                      <w:rFonts w:hint="eastAsia"/>
                      <w:bCs/>
                      <w:color w:val="auto"/>
                    </w:rPr>
                    <w:t>0.25</w:t>
                  </w:r>
                </w:p>
              </w:tc>
            </w:tr>
          </w:tbl>
          <w:p w14:paraId="12B1259E">
            <w:pPr>
              <w:widowControl/>
              <w:spacing w:line="360" w:lineRule="auto"/>
              <w:ind w:firstLine="420" w:firstLineChars="200"/>
              <w:rPr>
                <w:rFonts w:hint="default" w:eastAsia="宋体"/>
                <w:color w:val="auto"/>
                <w:kern w:val="0"/>
                <w:sz w:val="21"/>
                <w:szCs w:val="21"/>
                <w:lang w:val="en-US" w:eastAsia="zh-CN"/>
              </w:rPr>
            </w:pPr>
            <w:r>
              <w:rPr>
                <w:rFonts w:hint="eastAsia"/>
                <w:color w:val="auto"/>
                <w:kern w:val="0"/>
                <w:sz w:val="21"/>
                <w:szCs w:val="21"/>
                <w:lang w:val="en-US" w:eastAsia="zh-CN"/>
              </w:rPr>
              <w:t>注:实际生产量为验收量。</w:t>
            </w:r>
          </w:p>
          <w:p w14:paraId="6A73A556">
            <w:pPr>
              <w:widowControl/>
              <w:spacing w:line="360" w:lineRule="auto"/>
              <w:ind w:firstLine="480" w:firstLineChars="200"/>
              <w:rPr>
                <w:color w:val="auto"/>
                <w:kern w:val="0"/>
                <w:sz w:val="24"/>
                <w:szCs w:val="24"/>
              </w:rPr>
            </w:pPr>
            <w:r>
              <w:rPr>
                <w:rFonts w:hint="eastAsia"/>
                <w:color w:val="auto"/>
                <w:kern w:val="0"/>
                <w:sz w:val="24"/>
                <w:szCs w:val="24"/>
              </w:rPr>
              <w:t>6</w:t>
            </w:r>
            <w:r>
              <w:rPr>
                <w:color w:val="auto"/>
                <w:kern w:val="0"/>
                <w:sz w:val="24"/>
                <w:szCs w:val="24"/>
              </w:rPr>
              <w:t>、环保投诉情况</w:t>
            </w:r>
          </w:p>
          <w:p w14:paraId="21208564">
            <w:pPr>
              <w:widowControl/>
              <w:spacing w:line="360" w:lineRule="auto"/>
              <w:ind w:firstLine="480" w:firstLineChars="200"/>
              <w:rPr>
                <w:color w:val="auto"/>
                <w:sz w:val="24"/>
                <w:szCs w:val="24"/>
              </w:rPr>
            </w:pPr>
            <w:r>
              <w:rPr>
                <w:color w:val="auto"/>
                <w:kern w:val="0"/>
                <w:sz w:val="24"/>
                <w:szCs w:val="24"/>
              </w:rPr>
              <w:t>无</w:t>
            </w:r>
            <w:r>
              <w:rPr>
                <w:rFonts w:hint="eastAsia"/>
                <w:color w:val="auto"/>
                <w:kern w:val="0"/>
                <w:sz w:val="24"/>
                <w:szCs w:val="24"/>
              </w:rPr>
              <w:t>。</w:t>
            </w:r>
          </w:p>
          <w:p w14:paraId="239F899A">
            <w:pPr>
              <w:widowControl/>
              <w:spacing w:line="360" w:lineRule="auto"/>
              <w:ind w:firstLine="480" w:firstLineChars="200"/>
              <w:rPr>
                <w:color w:val="auto"/>
                <w:kern w:val="0"/>
                <w:sz w:val="24"/>
                <w:szCs w:val="24"/>
              </w:rPr>
            </w:pPr>
            <w:r>
              <w:rPr>
                <w:rFonts w:hint="eastAsia"/>
                <w:color w:val="auto"/>
                <w:kern w:val="0"/>
                <w:sz w:val="24"/>
                <w:szCs w:val="24"/>
              </w:rPr>
              <w:t>7</w:t>
            </w:r>
            <w:r>
              <w:rPr>
                <w:color w:val="auto"/>
                <w:kern w:val="0"/>
                <w:sz w:val="24"/>
                <w:szCs w:val="24"/>
              </w:rPr>
              <w:t>、</w:t>
            </w:r>
            <w:r>
              <w:rPr>
                <w:rFonts w:hint="eastAsia"/>
                <w:color w:val="auto"/>
                <w:kern w:val="0"/>
                <w:sz w:val="24"/>
                <w:szCs w:val="24"/>
              </w:rPr>
              <w:t>现有项目存在的主要问题及</w:t>
            </w:r>
            <w:r>
              <w:rPr>
                <w:color w:val="auto"/>
                <w:kern w:val="0"/>
                <w:sz w:val="24"/>
                <w:szCs w:val="24"/>
              </w:rPr>
              <w:t>以新带老措施</w:t>
            </w:r>
          </w:p>
          <w:p w14:paraId="72CC0CB2">
            <w:pPr>
              <w:tabs>
                <w:tab w:val="left" w:pos="5142"/>
              </w:tabs>
              <w:spacing w:line="360" w:lineRule="auto"/>
              <w:ind w:firstLine="480" w:firstLineChars="200"/>
              <w:jc w:val="left"/>
              <w:rPr>
                <w:rFonts w:eastAsia="Times New Roman"/>
                <w:color w:val="auto"/>
                <w:sz w:val="24"/>
                <w:szCs w:val="24"/>
              </w:rPr>
            </w:pPr>
            <w:r>
              <w:rPr>
                <w:rFonts w:hint="eastAsia" w:eastAsia="Times New Roman"/>
                <w:color w:val="auto"/>
                <w:sz w:val="24"/>
                <w:szCs w:val="24"/>
              </w:rPr>
              <w:t>原有项目已于2024年6月停止生产，设备已拆除，无原有环境问题。</w:t>
            </w:r>
          </w:p>
          <w:p w14:paraId="7AA61DBD">
            <w:pPr>
              <w:spacing w:line="360" w:lineRule="auto"/>
              <w:ind w:firstLine="480" w:firstLineChars="200"/>
              <w:rPr>
                <w:rFonts w:eastAsia="Times New Roman"/>
                <w:color w:val="auto"/>
                <w:sz w:val="24"/>
                <w:szCs w:val="24"/>
              </w:rPr>
            </w:pPr>
            <w:r>
              <w:rPr>
                <w:rFonts w:hint="eastAsia"/>
                <w:color w:val="auto"/>
                <w:sz w:val="24"/>
                <w:szCs w:val="24"/>
              </w:rPr>
              <w:t>8、使用历史及现状</w:t>
            </w:r>
          </w:p>
          <w:p w14:paraId="4A87776E">
            <w:pPr>
              <w:widowControl/>
              <w:spacing w:line="360" w:lineRule="auto"/>
              <w:ind w:firstLine="480" w:firstLineChars="200"/>
              <w:rPr>
                <w:rFonts w:hint="eastAsia"/>
                <w:color w:val="auto"/>
                <w:kern w:val="0"/>
                <w:sz w:val="24"/>
                <w:szCs w:val="24"/>
                <w:lang w:val="en-US" w:eastAsia="zh-CN"/>
              </w:rPr>
            </w:pPr>
            <w:r>
              <w:rPr>
                <w:rFonts w:hint="eastAsia"/>
                <w:color w:val="auto"/>
                <w:kern w:val="0"/>
                <w:sz w:val="24"/>
                <w:szCs w:val="24"/>
                <w:lang w:val="en-US" w:eastAsia="zh-CN"/>
              </w:rPr>
              <w:t>2024年7月</w:t>
            </w:r>
            <w:r>
              <w:rPr>
                <w:rFonts w:hint="eastAsia"/>
                <w:color w:val="auto"/>
                <w:kern w:val="0"/>
                <w:sz w:val="24"/>
                <w:szCs w:val="24"/>
              </w:rPr>
              <w:t>4家租赁企业在车间三、车间四厂房内生产，</w:t>
            </w:r>
            <w:r>
              <w:rPr>
                <w:rFonts w:hint="eastAsia"/>
                <w:color w:val="auto"/>
                <w:kern w:val="0"/>
                <w:sz w:val="24"/>
                <w:szCs w:val="24"/>
                <w:lang w:val="en-US" w:eastAsia="zh-CN"/>
              </w:rPr>
              <w:t>分别为常州卡瓦包装有限公司，其主要工艺为模切、裱合、开槽印刷、钉盒、组装；常州嘉图新材料科技有限公司，其主要工艺为拌料、干燥、加热挤出、冷却、吸塑成型、修边，常州市铁牛汽车零部件有限公司，主要工艺为吸塑；常州光晶光电科技有限公司，主要工艺为研磨、清洗、分选、共装、镀膜、成品检验。</w:t>
            </w:r>
          </w:p>
          <w:p w14:paraId="0BF7FD37">
            <w:pPr>
              <w:widowControl/>
              <w:spacing w:line="360" w:lineRule="auto"/>
              <w:ind w:firstLine="480" w:firstLineChars="200"/>
              <w:rPr>
                <w:color w:val="auto"/>
                <w:kern w:val="0"/>
                <w:sz w:val="24"/>
                <w:szCs w:val="24"/>
              </w:rPr>
            </w:pPr>
            <w:r>
              <w:rPr>
                <w:rFonts w:hint="eastAsia"/>
                <w:color w:val="auto"/>
                <w:kern w:val="0"/>
                <w:sz w:val="24"/>
                <w:szCs w:val="24"/>
                <w:lang w:val="en-US" w:eastAsia="zh-CN"/>
              </w:rPr>
              <w:t>上述4家企业已于2024年12月底全部</w:t>
            </w:r>
            <w:r>
              <w:rPr>
                <w:rFonts w:hint="eastAsia"/>
                <w:color w:val="auto"/>
                <w:kern w:val="0"/>
                <w:sz w:val="24"/>
                <w:szCs w:val="24"/>
              </w:rPr>
              <w:t>搬迁</w:t>
            </w:r>
            <w:r>
              <w:rPr>
                <w:rFonts w:hint="eastAsia"/>
                <w:color w:val="auto"/>
                <w:kern w:val="0"/>
                <w:sz w:val="24"/>
                <w:szCs w:val="24"/>
                <w:lang w:eastAsia="zh-CN"/>
              </w:rPr>
              <w:t>，</w:t>
            </w:r>
            <w:r>
              <w:rPr>
                <w:rFonts w:hint="eastAsia"/>
                <w:color w:val="auto"/>
                <w:kern w:val="0"/>
                <w:sz w:val="24"/>
                <w:szCs w:val="24"/>
                <w:lang w:val="en-US" w:eastAsia="zh-CN"/>
              </w:rPr>
              <w:t>目前厂房闲置</w:t>
            </w:r>
            <w:r>
              <w:rPr>
                <w:rFonts w:hint="eastAsia"/>
                <w:color w:val="auto"/>
                <w:kern w:val="0"/>
                <w:sz w:val="24"/>
                <w:szCs w:val="24"/>
              </w:rPr>
              <w:t>。</w:t>
            </w:r>
          </w:p>
          <w:p w14:paraId="57CFDF2F">
            <w:pPr>
              <w:tabs>
                <w:tab w:val="left" w:pos="1350"/>
              </w:tabs>
              <w:spacing w:line="276" w:lineRule="auto"/>
              <w:rPr>
                <w:b/>
                <w:bCs/>
                <w:color w:val="auto"/>
                <w:sz w:val="24"/>
              </w:rPr>
            </w:pPr>
          </w:p>
          <w:p w14:paraId="42F71F1B">
            <w:pPr>
              <w:tabs>
                <w:tab w:val="left" w:pos="1350"/>
              </w:tabs>
              <w:spacing w:line="276" w:lineRule="auto"/>
              <w:ind w:firstLine="484" w:firstLineChars="201"/>
              <w:jc w:val="center"/>
              <w:rPr>
                <w:b/>
                <w:bCs/>
                <w:color w:val="auto"/>
                <w:sz w:val="24"/>
              </w:rPr>
            </w:pPr>
          </w:p>
          <w:p w14:paraId="4F86928E">
            <w:pPr>
              <w:pStyle w:val="8"/>
              <w:rPr>
                <w:color w:val="auto"/>
              </w:rPr>
            </w:pPr>
          </w:p>
          <w:p w14:paraId="670C9123">
            <w:pPr>
              <w:rPr>
                <w:color w:val="auto"/>
              </w:rPr>
            </w:pPr>
          </w:p>
          <w:p w14:paraId="3EA3CCE6">
            <w:pPr>
              <w:pStyle w:val="8"/>
              <w:rPr>
                <w:color w:val="auto"/>
              </w:rPr>
            </w:pPr>
          </w:p>
          <w:p w14:paraId="2530FD74">
            <w:pPr>
              <w:rPr>
                <w:color w:val="auto"/>
              </w:rPr>
            </w:pPr>
          </w:p>
          <w:p w14:paraId="5EB96289">
            <w:pPr>
              <w:pStyle w:val="8"/>
              <w:rPr>
                <w:color w:val="auto"/>
              </w:rPr>
            </w:pPr>
          </w:p>
          <w:p w14:paraId="2B594656">
            <w:pPr>
              <w:pStyle w:val="8"/>
              <w:rPr>
                <w:color w:val="auto"/>
              </w:rPr>
            </w:pPr>
          </w:p>
          <w:p w14:paraId="751EB110">
            <w:pPr>
              <w:pStyle w:val="8"/>
              <w:rPr>
                <w:color w:val="auto"/>
              </w:rPr>
            </w:pPr>
          </w:p>
          <w:p w14:paraId="3D06BCBC">
            <w:pPr>
              <w:pStyle w:val="8"/>
              <w:rPr>
                <w:color w:val="auto"/>
              </w:rPr>
            </w:pPr>
          </w:p>
          <w:p w14:paraId="653EF282">
            <w:pPr>
              <w:pStyle w:val="8"/>
              <w:rPr>
                <w:color w:val="auto"/>
              </w:rPr>
            </w:pPr>
          </w:p>
          <w:p w14:paraId="5387A47A">
            <w:pPr>
              <w:pStyle w:val="8"/>
              <w:rPr>
                <w:color w:val="auto"/>
              </w:rPr>
            </w:pPr>
          </w:p>
          <w:p w14:paraId="75712C62">
            <w:pPr>
              <w:pStyle w:val="8"/>
              <w:rPr>
                <w:color w:val="auto"/>
              </w:rPr>
            </w:pPr>
          </w:p>
          <w:p w14:paraId="11F85FFF">
            <w:pPr>
              <w:pStyle w:val="8"/>
              <w:rPr>
                <w:color w:val="auto"/>
              </w:rPr>
            </w:pPr>
          </w:p>
          <w:p w14:paraId="6CACBAA7">
            <w:pPr>
              <w:pStyle w:val="8"/>
              <w:rPr>
                <w:color w:val="auto"/>
              </w:rPr>
            </w:pPr>
          </w:p>
          <w:p w14:paraId="70D818EA">
            <w:pPr>
              <w:pStyle w:val="8"/>
              <w:rPr>
                <w:color w:val="auto"/>
              </w:rPr>
            </w:pPr>
          </w:p>
          <w:p w14:paraId="0A1B65D0">
            <w:pPr>
              <w:pStyle w:val="8"/>
              <w:rPr>
                <w:color w:val="auto"/>
              </w:rPr>
            </w:pPr>
          </w:p>
          <w:p w14:paraId="5CCC77E5">
            <w:pPr>
              <w:rPr>
                <w:color w:val="auto"/>
              </w:rPr>
            </w:pPr>
          </w:p>
          <w:p w14:paraId="20BD11F3">
            <w:pPr>
              <w:pStyle w:val="8"/>
              <w:rPr>
                <w:color w:val="auto"/>
              </w:rPr>
            </w:pPr>
          </w:p>
        </w:tc>
      </w:tr>
    </w:tbl>
    <w:p w14:paraId="106BD609">
      <w:pPr>
        <w:pStyle w:val="3"/>
        <w:spacing w:line="240" w:lineRule="auto"/>
        <w:rPr>
          <w:color w:val="auto"/>
        </w:rPr>
      </w:pPr>
      <w:r>
        <w:rPr>
          <w:rFonts w:hint="eastAsia"/>
          <w:b/>
          <w:bCs/>
          <w:color w:val="auto"/>
        </w:rPr>
        <w:t>三、区域环境质量现状、环境保护目标及评价标准</w:t>
      </w:r>
    </w:p>
    <w:tbl>
      <w:tblPr>
        <w:tblStyle w:val="23"/>
        <w:tblpPr w:leftFromText="180" w:rightFromText="180" w:vertAnchor="text" w:horzAnchor="page" w:tblpX="1088" w:tblpY="185"/>
        <w:tblOverlap w:val="never"/>
        <w:tblW w:w="9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9331"/>
      </w:tblGrid>
      <w:tr w14:paraId="430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590" w:type="dxa"/>
            <w:vAlign w:val="center"/>
          </w:tcPr>
          <w:p w14:paraId="22D78336">
            <w:pPr>
              <w:spacing w:line="480" w:lineRule="auto"/>
              <w:jc w:val="center"/>
              <w:rPr>
                <w:color w:val="auto"/>
              </w:rPr>
            </w:pPr>
            <w:r>
              <w:rPr>
                <w:rFonts w:hint="eastAsia" w:ascii="宋体" w:hAnsi="宋体"/>
                <w:color w:val="auto"/>
                <w:sz w:val="24"/>
                <w:szCs w:val="22"/>
              </w:rPr>
              <w:t>区域环境质量现状</w:t>
            </w:r>
          </w:p>
        </w:tc>
        <w:tc>
          <w:tcPr>
            <w:tcW w:w="9331" w:type="dxa"/>
          </w:tcPr>
          <w:p w14:paraId="5FB0D5F6">
            <w:pPr>
              <w:pStyle w:val="3"/>
              <w:spacing w:line="360" w:lineRule="auto"/>
              <w:ind w:firstLine="480" w:firstLineChars="200"/>
              <w:outlineLvl w:val="2"/>
              <w:rPr>
                <w:color w:val="auto"/>
                <w:sz w:val="24"/>
                <w:szCs w:val="24"/>
                <w:lang w:val="zh-CN"/>
              </w:rPr>
            </w:pPr>
            <w:r>
              <w:rPr>
                <w:color w:val="auto"/>
                <w:sz w:val="24"/>
                <w:szCs w:val="24"/>
                <w:lang w:val="zh-CN"/>
              </w:rPr>
              <w:t>1、环境空气质量</w:t>
            </w:r>
          </w:p>
          <w:p w14:paraId="5B9658E6">
            <w:pPr>
              <w:pStyle w:val="3"/>
              <w:spacing w:line="360" w:lineRule="auto"/>
              <w:ind w:firstLine="480" w:firstLineChars="200"/>
              <w:outlineLvl w:val="2"/>
              <w:rPr>
                <w:color w:val="auto"/>
                <w:sz w:val="24"/>
                <w:szCs w:val="24"/>
                <w:lang w:val="zh-CN"/>
              </w:rPr>
            </w:pPr>
            <w:r>
              <w:rPr>
                <w:color w:val="auto"/>
                <w:sz w:val="24"/>
                <w:szCs w:val="24"/>
                <w:lang w:val="zh-CN"/>
              </w:rPr>
              <w:t>（1）环境空气质量评价标准</w:t>
            </w:r>
          </w:p>
          <w:p w14:paraId="048BE4AD">
            <w:pPr>
              <w:pStyle w:val="3"/>
              <w:spacing w:line="360" w:lineRule="auto"/>
              <w:ind w:firstLine="480" w:firstLineChars="200"/>
              <w:outlineLvl w:val="2"/>
              <w:rPr>
                <w:color w:val="auto"/>
                <w:sz w:val="24"/>
                <w:szCs w:val="24"/>
                <w:lang w:val="zh-CN"/>
              </w:rPr>
            </w:pPr>
            <w:r>
              <w:rPr>
                <w:color w:val="auto"/>
                <w:sz w:val="24"/>
                <w:szCs w:val="24"/>
                <w:lang w:val="zh-CN"/>
              </w:rPr>
              <w:t>根据《常州市环境空气质量功能区划分规定（2017）》（常政发</w:t>
            </w:r>
            <w:r>
              <w:rPr>
                <w:rFonts w:hint="eastAsia"/>
                <w:color w:val="auto"/>
                <w:sz w:val="24"/>
                <w:szCs w:val="24"/>
                <w:lang w:val="zh-CN"/>
              </w:rPr>
              <w:t>〔</w:t>
            </w:r>
            <w:r>
              <w:rPr>
                <w:color w:val="auto"/>
                <w:sz w:val="24"/>
                <w:szCs w:val="24"/>
                <w:lang w:val="zh-CN"/>
              </w:rPr>
              <w:t>2017</w:t>
            </w:r>
            <w:r>
              <w:rPr>
                <w:rFonts w:hint="eastAsia"/>
                <w:color w:val="auto"/>
                <w:sz w:val="24"/>
                <w:szCs w:val="24"/>
                <w:lang w:val="zh-CN"/>
              </w:rPr>
              <w:t>〕</w:t>
            </w:r>
            <w:r>
              <w:rPr>
                <w:color w:val="auto"/>
                <w:sz w:val="24"/>
                <w:szCs w:val="24"/>
                <w:lang w:val="zh-CN"/>
              </w:rPr>
              <w:t>160号），本项目所在地空气质量功能区为二类区，常规大气污染物执行《环境空气质量标准》（GB3095-2012）中二级标准，环境空气中SO</w:t>
            </w:r>
            <w:r>
              <w:rPr>
                <w:color w:val="auto"/>
                <w:sz w:val="24"/>
                <w:szCs w:val="24"/>
                <w:vertAlign w:val="subscript"/>
                <w:lang w:val="zh-CN"/>
              </w:rPr>
              <w:t>2</w:t>
            </w:r>
            <w:r>
              <w:rPr>
                <w:color w:val="auto"/>
                <w:sz w:val="24"/>
                <w:szCs w:val="24"/>
                <w:lang w:val="zh-CN"/>
              </w:rPr>
              <w:t>、NO</w:t>
            </w:r>
            <w:r>
              <w:rPr>
                <w:color w:val="auto"/>
                <w:sz w:val="24"/>
                <w:szCs w:val="24"/>
                <w:vertAlign w:val="subscript"/>
                <w:lang w:val="zh-CN"/>
              </w:rPr>
              <w:t>2</w:t>
            </w:r>
            <w:r>
              <w:rPr>
                <w:color w:val="auto"/>
                <w:sz w:val="24"/>
                <w:szCs w:val="24"/>
                <w:lang w:val="zh-CN"/>
              </w:rPr>
              <w:t>、CO、O</w:t>
            </w:r>
            <w:r>
              <w:rPr>
                <w:color w:val="auto"/>
                <w:sz w:val="24"/>
                <w:szCs w:val="24"/>
                <w:vertAlign w:val="subscript"/>
                <w:lang w:val="zh-CN"/>
              </w:rPr>
              <w:t>3</w:t>
            </w:r>
            <w:r>
              <w:rPr>
                <w:color w:val="auto"/>
                <w:sz w:val="24"/>
                <w:szCs w:val="24"/>
                <w:lang w:val="zh-CN"/>
              </w:rPr>
              <w:t>、PM</w:t>
            </w:r>
            <w:r>
              <w:rPr>
                <w:color w:val="auto"/>
                <w:sz w:val="24"/>
                <w:szCs w:val="24"/>
                <w:vertAlign w:val="subscript"/>
                <w:lang w:val="zh-CN"/>
              </w:rPr>
              <w:t>10</w:t>
            </w:r>
            <w:r>
              <w:rPr>
                <w:color w:val="auto"/>
                <w:sz w:val="24"/>
                <w:szCs w:val="24"/>
                <w:lang w:val="zh-CN"/>
              </w:rPr>
              <w:t>、PM</w:t>
            </w:r>
            <w:r>
              <w:rPr>
                <w:color w:val="auto"/>
                <w:sz w:val="24"/>
                <w:szCs w:val="24"/>
                <w:vertAlign w:val="subscript"/>
                <w:lang w:val="zh-CN"/>
              </w:rPr>
              <w:t>2.5</w:t>
            </w:r>
            <w:r>
              <w:rPr>
                <w:color w:val="auto"/>
                <w:sz w:val="24"/>
                <w:szCs w:val="24"/>
                <w:lang w:val="zh-CN"/>
              </w:rPr>
              <w:t>执行《环境空气质量标准》（GB3095-2012）表1中的二级标准，非甲烷总烃执行《大气污染物综合排放标准详解》中标准。具体标准见表3-1。</w:t>
            </w:r>
          </w:p>
          <w:p w14:paraId="49E26D3A">
            <w:pPr>
              <w:spacing w:line="480" w:lineRule="exact"/>
              <w:jc w:val="center"/>
              <w:rPr>
                <w:b/>
                <w:color w:val="auto"/>
                <w:sz w:val="24"/>
                <w:vertAlign w:val="superscript"/>
              </w:rPr>
            </w:pPr>
            <w:r>
              <w:rPr>
                <w:b/>
                <w:color w:val="auto"/>
                <w:sz w:val="24"/>
              </w:rPr>
              <w:t>表3-1环境空气质量标准限值表</w:t>
            </w: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340"/>
              <w:gridCol w:w="1135"/>
              <w:gridCol w:w="890"/>
              <w:gridCol w:w="1125"/>
              <w:gridCol w:w="964"/>
              <w:gridCol w:w="937"/>
              <w:gridCol w:w="926"/>
              <w:gridCol w:w="902"/>
            </w:tblGrid>
            <w:tr w14:paraId="187E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restart"/>
                  <w:vAlign w:val="center"/>
                </w:tcPr>
                <w:p w14:paraId="6F7A30A2">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区域名</w:t>
                  </w:r>
                </w:p>
              </w:tc>
              <w:tc>
                <w:tcPr>
                  <w:tcW w:w="1340" w:type="dxa"/>
                  <w:vMerge w:val="restart"/>
                  <w:vAlign w:val="center"/>
                </w:tcPr>
                <w:p w14:paraId="399B7A20">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执行标准</w:t>
                  </w:r>
                </w:p>
              </w:tc>
              <w:tc>
                <w:tcPr>
                  <w:tcW w:w="1135" w:type="dxa"/>
                  <w:vMerge w:val="restart"/>
                  <w:vAlign w:val="center"/>
                </w:tcPr>
                <w:p w14:paraId="7429E6BB">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表号及级别</w:t>
                  </w:r>
                </w:p>
              </w:tc>
              <w:tc>
                <w:tcPr>
                  <w:tcW w:w="890" w:type="dxa"/>
                  <w:vMerge w:val="restart"/>
                  <w:vAlign w:val="center"/>
                </w:tcPr>
                <w:p w14:paraId="0784AF7F">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污染物指标</w:t>
                  </w:r>
                </w:p>
              </w:tc>
              <w:tc>
                <w:tcPr>
                  <w:tcW w:w="1125" w:type="dxa"/>
                  <w:vMerge w:val="restart"/>
                  <w:vAlign w:val="center"/>
                </w:tcPr>
                <w:p w14:paraId="79C4A0C7">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单位</w:t>
                  </w:r>
                </w:p>
              </w:tc>
              <w:tc>
                <w:tcPr>
                  <w:tcW w:w="3729" w:type="dxa"/>
                  <w:gridSpan w:val="4"/>
                  <w:vAlign w:val="center"/>
                </w:tcPr>
                <w:p w14:paraId="44C9DFF8">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标准限值</w:t>
                  </w:r>
                </w:p>
              </w:tc>
            </w:tr>
            <w:tr w14:paraId="6A42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vAlign w:val="center"/>
                </w:tcPr>
                <w:p w14:paraId="116E584B">
                  <w:pPr>
                    <w:keepNext w:val="0"/>
                    <w:keepLines w:val="0"/>
                    <w:pageBreakBefore w:val="0"/>
                    <w:widowControl w:val="0"/>
                    <w:kinsoku/>
                    <w:wordWrap/>
                    <w:overflowPunct/>
                    <w:topLinePunct w:val="0"/>
                    <w:bidi w:val="0"/>
                    <w:adjustRightInd w:val="0"/>
                    <w:snapToGrid w:val="0"/>
                    <w:jc w:val="center"/>
                    <w:textAlignment w:val="auto"/>
                    <w:rPr>
                      <w:b/>
                      <w:color w:val="auto"/>
                    </w:rPr>
                  </w:pPr>
                </w:p>
              </w:tc>
              <w:tc>
                <w:tcPr>
                  <w:tcW w:w="1340" w:type="dxa"/>
                  <w:vMerge w:val="continue"/>
                  <w:vAlign w:val="center"/>
                </w:tcPr>
                <w:p w14:paraId="76ADB358">
                  <w:pPr>
                    <w:keepNext w:val="0"/>
                    <w:keepLines w:val="0"/>
                    <w:pageBreakBefore w:val="0"/>
                    <w:widowControl w:val="0"/>
                    <w:kinsoku/>
                    <w:wordWrap/>
                    <w:overflowPunct/>
                    <w:topLinePunct w:val="0"/>
                    <w:bidi w:val="0"/>
                    <w:adjustRightInd w:val="0"/>
                    <w:snapToGrid w:val="0"/>
                    <w:jc w:val="center"/>
                    <w:textAlignment w:val="auto"/>
                    <w:rPr>
                      <w:b/>
                      <w:color w:val="auto"/>
                    </w:rPr>
                  </w:pPr>
                </w:p>
              </w:tc>
              <w:tc>
                <w:tcPr>
                  <w:tcW w:w="1135" w:type="dxa"/>
                  <w:vMerge w:val="continue"/>
                  <w:vAlign w:val="center"/>
                </w:tcPr>
                <w:p w14:paraId="29E83D4A">
                  <w:pPr>
                    <w:keepNext w:val="0"/>
                    <w:keepLines w:val="0"/>
                    <w:pageBreakBefore w:val="0"/>
                    <w:widowControl w:val="0"/>
                    <w:kinsoku/>
                    <w:wordWrap/>
                    <w:overflowPunct/>
                    <w:topLinePunct w:val="0"/>
                    <w:bidi w:val="0"/>
                    <w:adjustRightInd w:val="0"/>
                    <w:snapToGrid w:val="0"/>
                    <w:jc w:val="center"/>
                    <w:textAlignment w:val="auto"/>
                    <w:rPr>
                      <w:b/>
                      <w:color w:val="auto"/>
                    </w:rPr>
                  </w:pPr>
                </w:p>
              </w:tc>
              <w:tc>
                <w:tcPr>
                  <w:tcW w:w="890" w:type="dxa"/>
                  <w:vMerge w:val="continue"/>
                  <w:vAlign w:val="center"/>
                </w:tcPr>
                <w:p w14:paraId="75A604F7">
                  <w:pPr>
                    <w:keepNext w:val="0"/>
                    <w:keepLines w:val="0"/>
                    <w:pageBreakBefore w:val="0"/>
                    <w:widowControl w:val="0"/>
                    <w:kinsoku/>
                    <w:wordWrap/>
                    <w:overflowPunct/>
                    <w:topLinePunct w:val="0"/>
                    <w:bidi w:val="0"/>
                    <w:adjustRightInd w:val="0"/>
                    <w:snapToGrid w:val="0"/>
                    <w:jc w:val="center"/>
                    <w:textAlignment w:val="auto"/>
                    <w:rPr>
                      <w:b/>
                      <w:color w:val="auto"/>
                    </w:rPr>
                  </w:pPr>
                </w:p>
              </w:tc>
              <w:tc>
                <w:tcPr>
                  <w:tcW w:w="1125" w:type="dxa"/>
                  <w:vMerge w:val="continue"/>
                  <w:vAlign w:val="center"/>
                </w:tcPr>
                <w:p w14:paraId="184E9AC9">
                  <w:pPr>
                    <w:keepNext w:val="0"/>
                    <w:keepLines w:val="0"/>
                    <w:pageBreakBefore w:val="0"/>
                    <w:widowControl w:val="0"/>
                    <w:kinsoku/>
                    <w:wordWrap/>
                    <w:overflowPunct/>
                    <w:topLinePunct w:val="0"/>
                    <w:bidi w:val="0"/>
                    <w:adjustRightInd w:val="0"/>
                    <w:snapToGrid w:val="0"/>
                    <w:jc w:val="center"/>
                    <w:textAlignment w:val="auto"/>
                    <w:rPr>
                      <w:b/>
                      <w:color w:val="auto"/>
                    </w:rPr>
                  </w:pPr>
                </w:p>
              </w:tc>
              <w:tc>
                <w:tcPr>
                  <w:tcW w:w="964" w:type="dxa"/>
                  <w:vAlign w:val="center"/>
                </w:tcPr>
                <w:p w14:paraId="6C60AAEB">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年平均</w:t>
                  </w:r>
                </w:p>
              </w:tc>
              <w:tc>
                <w:tcPr>
                  <w:tcW w:w="937" w:type="dxa"/>
                  <w:vAlign w:val="center"/>
                </w:tcPr>
                <w:p w14:paraId="09EB5FAD">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日平均</w:t>
                  </w:r>
                </w:p>
              </w:tc>
              <w:tc>
                <w:tcPr>
                  <w:tcW w:w="926" w:type="dxa"/>
                  <w:vAlign w:val="center"/>
                </w:tcPr>
                <w:p w14:paraId="4D3AAF0E">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8小时</w:t>
                  </w:r>
                </w:p>
              </w:tc>
              <w:tc>
                <w:tcPr>
                  <w:tcW w:w="902" w:type="dxa"/>
                  <w:vAlign w:val="center"/>
                </w:tcPr>
                <w:p w14:paraId="6C28851D">
                  <w:pPr>
                    <w:keepNext w:val="0"/>
                    <w:keepLines w:val="0"/>
                    <w:pageBreakBefore w:val="0"/>
                    <w:widowControl w:val="0"/>
                    <w:kinsoku/>
                    <w:wordWrap/>
                    <w:overflowPunct/>
                    <w:topLinePunct w:val="0"/>
                    <w:bidi w:val="0"/>
                    <w:adjustRightInd w:val="0"/>
                    <w:snapToGrid w:val="0"/>
                    <w:jc w:val="center"/>
                    <w:textAlignment w:val="auto"/>
                    <w:rPr>
                      <w:b/>
                      <w:color w:val="auto"/>
                    </w:rPr>
                  </w:pPr>
                  <w:r>
                    <w:rPr>
                      <w:b/>
                      <w:color w:val="auto"/>
                    </w:rPr>
                    <w:t>小时</w:t>
                  </w:r>
                </w:p>
              </w:tc>
            </w:tr>
            <w:tr w14:paraId="02BF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restart"/>
                  <w:vAlign w:val="center"/>
                </w:tcPr>
                <w:p w14:paraId="0BBD6FB2">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项目所在地周围</w:t>
                  </w:r>
                </w:p>
              </w:tc>
              <w:tc>
                <w:tcPr>
                  <w:tcW w:w="1340" w:type="dxa"/>
                  <w:vMerge w:val="restart"/>
                  <w:vAlign w:val="center"/>
                </w:tcPr>
                <w:p w14:paraId="3DAF471D">
                  <w:pPr>
                    <w:keepNext w:val="0"/>
                    <w:keepLines w:val="0"/>
                    <w:pageBreakBefore w:val="0"/>
                    <w:widowControl w:val="0"/>
                    <w:kinsoku/>
                    <w:wordWrap/>
                    <w:overflowPunct/>
                    <w:topLinePunct w:val="0"/>
                    <w:bidi w:val="0"/>
                    <w:adjustRightInd w:val="0"/>
                    <w:snapToGrid w:val="0"/>
                    <w:textAlignment w:val="auto"/>
                    <w:rPr>
                      <w:color w:val="auto"/>
                    </w:rPr>
                  </w:pPr>
                  <w:r>
                    <w:rPr>
                      <w:color w:val="auto"/>
                    </w:rPr>
                    <w:t>《环境空气质量标准》（GB3095-2012）</w:t>
                  </w:r>
                </w:p>
              </w:tc>
              <w:tc>
                <w:tcPr>
                  <w:tcW w:w="1135" w:type="dxa"/>
                  <w:vMerge w:val="restart"/>
                  <w:vAlign w:val="center"/>
                </w:tcPr>
                <w:p w14:paraId="6AA6533F">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表1二级</w:t>
                  </w:r>
                </w:p>
              </w:tc>
              <w:tc>
                <w:tcPr>
                  <w:tcW w:w="890" w:type="dxa"/>
                  <w:vAlign w:val="center"/>
                </w:tcPr>
                <w:p w14:paraId="27C837B3">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SO</w:t>
                  </w:r>
                  <w:r>
                    <w:rPr>
                      <w:color w:val="auto"/>
                      <w:vertAlign w:val="subscript"/>
                    </w:rPr>
                    <w:t>2</w:t>
                  </w:r>
                </w:p>
              </w:tc>
              <w:tc>
                <w:tcPr>
                  <w:tcW w:w="1125" w:type="dxa"/>
                  <w:vAlign w:val="center"/>
                </w:tcPr>
                <w:p w14:paraId="3E019388">
                  <w:pPr>
                    <w:keepNext w:val="0"/>
                    <w:keepLines w:val="0"/>
                    <w:pageBreakBefore w:val="0"/>
                    <w:widowControl w:val="0"/>
                    <w:kinsoku/>
                    <w:wordWrap/>
                    <w:overflowPunct/>
                    <w:topLinePunct w:val="0"/>
                    <w:bidi w:val="0"/>
                    <w:adjustRightInd w:val="0"/>
                    <w:snapToGrid w:val="0"/>
                    <w:jc w:val="center"/>
                    <w:textAlignment w:val="auto"/>
                    <w:rPr>
                      <w:color w:val="auto"/>
                    </w:rPr>
                  </w:pPr>
                  <w:r>
                    <w:rPr>
                      <w:rFonts w:hint="eastAsia"/>
                      <w:color w:val="auto"/>
                      <w:lang w:eastAsia="zh-CN"/>
                    </w:rPr>
                    <w:t>μg</w:t>
                  </w:r>
                  <w:r>
                    <w:rPr>
                      <w:color w:val="auto"/>
                    </w:rPr>
                    <w:t>/m</w:t>
                  </w:r>
                  <w:r>
                    <w:rPr>
                      <w:color w:val="auto"/>
                      <w:vertAlign w:val="superscript"/>
                    </w:rPr>
                    <w:t>3</w:t>
                  </w:r>
                </w:p>
              </w:tc>
              <w:tc>
                <w:tcPr>
                  <w:tcW w:w="964" w:type="dxa"/>
                  <w:vAlign w:val="center"/>
                </w:tcPr>
                <w:p w14:paraId="094B4174">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60</w:t>
                  </w:r>
                </w:p>
              </w:tc>
              <w:tc>
                <w:tcPr>
                  <w:tcW w:w="937" w:type="dxa"/>
                  <w:vAlign w:val="center"/>
                </w:tcPr>
                <w:p w14:paraId="526D780A">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150</w:t>
                  </w:r>
                </w:p>
              </w:tc>
              <w:tc>
                <w:tcPr>
                  <w:tcW w:w="926" w:type="dxa"/>
                  <w:vAlign w:val="center"/>
                </w:tcPr>
                <w:p w14:paraId="661FFE74">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c>
                <w:tcPr>
                  <w:tcW w:w="902" w:type="dxa"/>
                  <w:vAlign w:val="center"/>
                </w:tcPr>
                <w:p w14:paraId="6ABF3996">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500</w:t>
                  </w:r>
                </w:p>
              </w:tc>
            </w:tr>
            <w:tr w14:paraId="34AF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vAlign w:val="center"/>
                </w:tcPr>
                <w:p w14:paraId="53BABAF4">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340" w:type="dxa"/>
                  <w:vMerge w:val="continue"/>
                  <w:vAlign w:val="center"/>
                </w:tcPr>
                <w:p w14:paraId="5E9BD49F">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135" w:type="dxa"/>
                  <w:vMerge w:val="continue"/>
                  <w:vAlign w:val="center"/>
                </w:tcPr>
                <w:p w14:paraId="6FE30FB6">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890" w:type="dxa"/>
                  <w:vAlign w:val="center"/>
                </w:tcPr>
                <w:p w14:paraId="5752EB13">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NO</w:t>
                  </w:r>
                  <w:r>
                    <w:rPr>
                      <w:color w:val="auto"/>
                      <w:vertAlign w:val="subscript"/>
                    </w:rPr>
                    <w:t>2</w:t>
                  </w:r>
                </w:p>
              </w:tc>
              <w:tc>
                <w:tcPr>
                  <w:tcW w:w="1125" w:type="dxa"/>
                  <w:vAlign w:val="center"/>
                </w:tcPr>
                <w:p w14:paraId="1C7E559A">
                  <w:pPr>
                    <w:keepNext w:val="0"/>
                    <w:keepLines w:val="0"/>
                    <w:pageBreakBefore w:val="0"/>
                    <w:widowControl w:val="0"/>
                    <w:kinsoku/>
                    <w:wordWrap/>
                    <w:overflowPunct/>
                    <w:topLinePunct w:val="0"/>
                    <w:bidi w:val="0"/>
                    <w:adjustRightInd w:val="0"/>
                    <w:snapToGrid w:val="0"/>
                    <w:jc w:val="center"/>
                    <w:textAlignment w:val="auto"/>
                    <w:rPr>
                      <w:color w:val="auto"/>
                    </w:rPr>
                  </w:pPr>
                  <w:r>
                    <w:rPr>
                      <w:rFonts w:hint="eastAsia"/>
                      <w:color w:val="auto"/>
                      <w:lang w:eastAsia="zh-CN"/>
                    </w:rPr>
                    <w:t>μg</w:t>
                  </w:r>
                  <w:r>
                    <w:rPr>
                      <w:color w:val="auto"/>
                    </w:rPr>
                    <w:t>/m</w:t>
                  </w:r>
                  <w:r>
                    <w:rPr>
                      <w:color w:val="auto"/>
                      <w:vertAlign w:val="superscript"/>
                    </w:rPr>
                    <w:t>3</w:t>
                  </w:r>
                </w:p>
              </w:tc>
              <w:tc>
                <w:tcPr>
                  <w:tcW w:w="964" w:type="dxa"/>
                  <w:vAlign w:val="center"/>
                </w:tcPr>
                <w:p w14:paraId="759B61A1">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40</w:t>
                  </w:r>
                </w:p>
              </w:tc>
              <w:tc>
                <w:tcPr>
                  <w:tcW w:w="937" w:type="dxa"/>
                  <w:vAlign w:val="center"/>
                </w:tcPr>
                <w:p w14:paraId="56632842">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80</w:t>
                  </w:r>
                </w:p>
              </w:tc>
              <w:tc>
                <w:tcPr>
                  <w:tcW w:w="926" w:type="dxa"/>
                  <w:vAlign w:val="center"/>
                </w:tcPr>
                <w:p w14:paraId="1C6C1210">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c>
                <w:tcPr>
                  <w:tcW w:w="902" w:type="dxa"/>
                  <w:vAlign w:val="center"/>
                </w:tcPr>
                <w:p w14:paraId="07BE04CC">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200</w:t>
                  </w:r>
                </w:p>
              </w:tc>
            </w:tr>
            <w:tr w14:paraId="7DE1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vAlign w:val="center"/>
                </w:tcPr>
                <w:p w14:paraId="6D9D31C0">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340" w:type="dxa"/>
                  <w:vMerge w:val="continue"/>
                  <w:vAlign w:val="center"/>
                </w:tcPr>
                <w:p w14:paraId="73F4FC76">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135" w:type="dxa"/>
                  <w:vMerge w:val="continue"/>
                  <w:vAlign w:val="center"/>
                </w:tcPr>
                <w:p w14:paraId="489E4C77">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890" w:type="dxa"/>
                  <w:vAlign w:val="center"/>
                </w:tcPr>
                <w:p w14:paraId="52E3DD7A">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PM</w:t>
                  </w:r>
                  <w:r>
                    <w:rPr>
                      <w:color w:val="auto"/>
                      <w:vertAlign w:val="subscript"/>
                    </w:rPr>
                    <w:t>10</w:t>
                  </w:r>
                </w:p>
              </w:tc>
              <w:tc>
                <w:tcPr>
                  <w:tcW w:w="1125" w:type="dxa"/>
                  <w:vAlign w:val="center"/>
                </w:tcPr>
                <w:p w14:paraId="5EB4BC22">
                  <w:pPr>
                    <w:keepNext w:val="0"/>
                    <w:keepLines w:val="0"/>
                    <w:pageBreakBefore w:val="0"/>
                    <w:widowControl w:val="0"/>
                    <w:kinsoku/>
                    <w:wordWrap/>
                    <w:overflowPunct/>
                    <w:topLinePunct w:val="0"/>
                    <w:bidi w:val="0"/>
                    <w:adjustRightInd w:val="0"/>
                    <w:snapToGrid w:val="0"/>
                    <w:jc w:val="center"/>
                    <w:textAlignment w:val="auto"/>
                    <w:rPr>
                      <w:color w:val="auto"/>
                    </w:rPr>
                  </w:pPr>
                  <w:r>
                    <w:rPr>
                      <w:rFonts w:hint="eastAsia"/>
                      <w:color w:val="auto"/>
                      <w:lang w:eastAsia="zh-CN"/>
                    </w:rPr>
                    <w:t>μg</w:t>
                  </w:r>
                  <w:r>
                    <w:rPr>
                      <w:color w:val="auto"/>
                    </w:rPr>
                    <w:t>/m</w:t>
                  </w:r>
                  <w:r>
                    <w:rPr>
                      <w:color w:val="auto"/>
                      <w:vertAlign w:val="superscript"/>
                    </w:rPr>
                    <w:t>3</w:t>
                  </w:r>
                </w:p>
              </w:tc>
              <w:tc>
                <w:tcPr>
                  <w:tcW w:w="964" w:type="dxa"/>
                  <w:vAlign w:val="center"/>
                </w:tcPr>
                <w:p w14:paraId="40EE8C44">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70</w:t>
                  </w:r>
                </w:p>
              </w:tc>
              <w:tc>
                <w:tcPr>
                  <w:tcW w:w="937" w:type="dxa"/>
                  <w:vAlign w:val="center"/>
                </w:tcPr>
                <w:p w14:paraId="17DF84FA">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150</w:t>
                  </w:r>
                </w:p>
              </w:tc>
              <w:tc>
                <w:tcPr>
                  <w:tcW w:w="926" w:type="dxa"/>
                  <w:vAlign w:val="center"/>
                </w:tcPr>
                <w:p w14:paraId="33481A2F">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c>
                <w:tcPr>
                  <w:tcW w:w="902" w:type="dxa"/>
                  <w:vAlign w:val="center"/>
                </w:tcPr>
                <w:p w14:paraId="79C860BC">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r>
            <w:tr w14:paraId="2CCB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vAlign w:val="center"/>
                </w:tcPr>
                <w:p w14:paraId="61CF5B38">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340" w:type="dxa"/>
                  <w:vMerge w:val="continue"/>
                  <w:vAlign w:val="center"/>
                </w:tcPr>
                <w:p w14:paraId="061085CC">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135" w:type="dxa"/>
                  <w:vMerge w:val="continue"/>
                  <w:vAlign w:val="center"/>
                </w:tcPr>
                <w:p w14:paraId="75B1BE55">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890" w:type="dxa"/>
                  <w:vAlign w:val="center"/>
                </w:tcPr>
                <w:p w14:paraId="09B8CB58">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PM</w:t>
                  </w:r>
                  <w:r>
                    <w:rPr>
                      <w:color w:val="auto"/>
                      <w:vertAlign w:val="subscript"/>
                    </w:rPr>
                    <w:t>2.5</w:t>
                  </w:r>
                </w:p>
              </w:tc>
              <w:tc>
                <w:tcPr>
                  <w:tcW w:w="1125" w:type="dxa"/>
                  <w:vAlign w:val="center"/>
                </w:tcPr>
                <w:p w14:paraId="0EA5D0DD">
                  <w:pPr>
                    <w:keepNext w:val="0"/>
                    <w:keepLines w:val="0"/>
                    <w:pageBreakBefore w:val="0"/>
                    <w:widowControl w:val="0"/>
                    <w:kinsoku/>
                    <w:wordWrap/>
                    <w:overflowPunct/>
                    <w:topLinePunct w:val="0"/>
                    <w:bidi w:val="0"/>
                    <w:adjustRightInd w:val="0"/>
                    <w:snapToGrid w:val="0"/>
                    <w:jc w:val="center"/>
                    <w:textAlignment w:val="auto"/>
                    <w:rPr>
                      <w:color w:val="auto"/>
                    </w:rPr>
                  </w:pPr>
                  <w:r>
                    <w:rPr>
                      <w:rFonts w:hint="eastAsia"/>
                      <w:color w:val="auto"/>
                      <w:lang w:eastAsia="zh-CN"/>
                    </w:rPr>
                    <w:t>μg</w:t>
                  </w:r>
                  <w:r>
                    <w:rPr>
                      <w:color w:val="auto"/>
                    </w:rPr>
                    <w:t>/m</w:t>
                  </w:r>
                  <w:r>
                    <w:rPr>
                      <w:color w:val="auto"/>
                      <w:vertAlign w:val="superscript"/>
                    </w:rPr>
                    <w:t>3</w:t>
                  </w:r>
                </w:p>
              </w:tc>
              <w:tc>
                <w:tcPr>
                  <w:tcW w:w="964" w:type="dxa"/>
                  <w:vAlign w:val="center"/>
                </w:tcPr>
                <w:p w14:paraId="0FC1288B">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35</w:t>
                  </w:r>
                </w:p>
              </w:tc>
              <w:tc>
                <w:tcPr>
                  <w:tcW w:w="937" w:type="dxa"/>
                  <w:vAlign w:val="center"/>
                </w:tcPr>
                <w:p w14:paraId="35BDCC9E">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75</w:t>
                  </w:r>
                </w:p>
              </w:tc>
              <w:tc>
                <w:tcPr>
                  <w:tcW w:w="926" w:type="dxa"/>
                  <w:vAlign w:val="center"/>
                </w:tcPr>
                <w:p w14:paraId="69D1791A">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c>
                <w:tcPr>
                  <w:tcW w:w="902" w:type="dxa"/>
                  <w:vAlign w:val="center"/>
                </w:tcPr>
                <w:p w14:paraId="3214E08E">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r>
            <w:tr w14:paraId="2F36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vAlign w:val="center"/>
                </w:tcPr>
                <w:p w14:paraId="74DF3100">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340" w:type="dxa"/>
                  <w:vMerge w:val="continue"/>
                  <w:vAlign w:val="center"/>
                </w:tcPr>
                <w:p w14:paraId="4752E457">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135" w:type="dxa"/>
                  <w:vMerge w:val="continue"/>
                  <w:vAlign w:val="center"/>
                </w:tcPr>
                <w:p w14:paraId="1B82415C">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890" w:type="dxa"/>
                  <w:vAlign w:val="center"/>
                </w:tcPr>
                <w:p w14:paraId="381DD96B">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CO</w:t>
                  </w:r>
                </w:p>
              </w:tc>
              <w:tc>
                <w:tcPr>
                  <w:tcW w:w="1125" w:type="dxa"/>
                  <w:vAlign w:val="center"/>
                </w:tcPr>
                <w:p w14:paraId="681E8D25">
                  <w:pPr>
                    <w:keepNext w:val="0"/>
                    <w:keepLines w:val="0"/>
                    <w:pageBreakBefore w:val="0"/>
                    <w:widowControl w:val="0"/>
                    <w:kinsoku/>
                    <w:wordWrap/>
                    <w:overflowPunct/>
                    <w:topLinePunct w:val="0"/>
                    <w:bidi w:val="0"/>
                    <w:adjustRightInd w:val="0"/>
                    <w:snapToGrid w:val="0"/>
                    <w:jc w:val="center"/>
                    <w:textAlignment w:val="auto"/>
                    <w:rPr>
                      <w:color w:val="auto"/>
                    </w:rPr>
                  </w:pPr>
                  <w:r>
                    <w:rPr>
                      <w:rFonts w:hint="eastAsia"/>
                      <w:color w:val="auto"/>
                      <w:lang w:eastAsia="zh-CN"/>
                    </w:rPr>
                    <w:t>μg</w:t>
                  </w:r>
                  <w:r>
                    <w:rPr>
                      <w:color w:val="auto"/>
                    </w:rPr>
                    <w:t>/m</w:t>
                  </w:r>
                  <w:r>
                    <w:rPr>
                      <w:color w:val="auto"/>
                      <w:vertAlign w:val="superscript"/>
                    </w:rPr>
                    <w:t>3</w:t>
                  </w:r>
                </w:p>
              </w:tc>
              <w:tc>
                <w:tcPr>
                  <w:tcW w:w="964" w:type="dxa"/>
                  <w:vAlign w:val="center"/>
                </w:tcPr>
                <w:p w14:paraId="69756901">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c>
                <w:tcPr>
                  <w:tcW w:w="937" w:type="dxa"/>
                  <w:vAlign w:val="center"/>
                </w:tcPr>
                <w:p w14:paraId="58B3AB47">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4000</w:t>
                  </w:r>
                </w:p>
              </w:tc>
              <w:tc>
                <w:tcPr>
                  <w:tcW w:w="926" w:type="dxa"/>
                  <w:vAlign w:val="center"/>
                </w:tcPr>
                <w:p w14:paraId="7BFE9689">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c>
                <w:tcPr>
                  <w:tcW w:w="902" w:type="dxa"/>
                  <w:vAlign w:val="center"/>
                </w:tcPr>
                <w:p w14:paraId="1C8A7D30">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10000</w:t>
                  </w:r>
                </w:p>
              </w:tc>
            </w:tr>
            <w:tr w14:paraId="66A0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vAlign w:val="center"/>
                </w:tcPr>
                <w:p w14:paraId="2E02D36D">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340" w:type="dxa"/>
                  <w:vMerge w:val="continue"/>
                  <w:vAlign w:val="center"/>
                </w:tcPr>
                <w:p w14:paraId="7775A667">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135" w:type="dxa"/>
                  <w:vMerge w:val="continue"/>
                  <w:vAlign w:val="center"/>
                </w:tcPr>
                <w:p w14:paraId="4857CC17">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890" w:type="dxa"/>
                  <w:vAlign w:val="center"/>
                </w:tcPr>
                <w:p w14:paraId="521DCC21">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O</w:t>
                  </w:r>
                  <w:r>
                    <w:rPr>
                      <w:color w:val="auto"/>
                      <w:vertAlign w:val="subscript"/>
                    </w:rPr>
                    <w:t>3</w:t>
                  </w:r>
                </w:p>
              </w:tc>
              <w:tc>
                <w:tcPr>
                  <w:tcW w:w="1125" w:type="dxa"/>
                  <w:vAlign w:val="center"/>
                </w:tcPr>
                <w:p w14:paraId="1A49E869">
                  <w:pPr>
                    <w:keepNext w:val="0"/>
                    <w:keepLines w:val="0"/>
                    <w:pageBreakBefore w:val="0"/>
                    <w:widowControl w:val="0"/>
                    <w:kinsoku/>
                    <w:wordWrap/>
                    <w:overflowPunct/>
                    <w:topLinePunct w:val="0"/>
                    <w:bidi w:val="0"/>
                    <w:adjustRightInd w:val="0"/>
                    <w:snapToGrid w:val="0"/>
                    <w:jc w:val="center"/>
                    <w:textAlignment w:val="auto"/>
                    <w:rPr>
                      <w:color w:val="auto"/>
                    </w:rPr>
                  </w:pPr>
                  <w:r>
                    <w:rPr>
                      <w:rFonts w:hint="eastAsia"/>
                      <w:color w:val="auto"/>
                      <w:lang w:eastAsia="zh-CN"/>
                    </w:rPr>
                    <w:t>μg</w:t>
                  </w:r>
                  <w:r>
                    <w:rPr>
                      <w:color w:val="auto"/>
                    </w:rPr>
                    <w:t>/m</w:t>
                  </w:r>
                  <w:r>
                    <w:rPr>
                      <w:color w:val="auto"/>
                      <w:vertAlign w:val="superscript"/>
                    </w:rPr>
                    <w:t>3</w:t>
                  </w:r>
                </w:p>
              </w:tc>
              <w:tc>
                <w:tcPr>
                  <w:tcW w:w="964" w:type="dxa"/>
                  <w:vAlign w:val="center"/>
                </w:tcPr>
                <w:p w14:paraId="0A25C676">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c>
                <w:tcPr>
                  <w:tcW w:w="937" w:type="dxa"/>
                  <w:vAlign w:val="center"/>
                </w:tcPr>
                <w:p w14:paraId="7E292BBB">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c>
                <w:tcPr>
                  <w:tcW w:w="926" w:type="dxa"/>
                  <w:vAlign w:val="center"/>
                </w:tcPr>
                <w:p w14:paraId="4D14E99A">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160</w:t>
                  </w:r>
                </w:p>
              </w:tc>
              <w:tc>
                <w:tcPr>
                  <w:tcW w:w="902" w:type="dxa"/>
                  <w:vAlign w:val="center"/>
                </w:tcPr>
                <w:p w14:paraId="2A747BBB">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200</w:t>
                  </w:r>
                </w:p>
              </w:tc>
            </w:tr>
            <w:tr w14:paraId="5D48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vAlign w:val="center"/>
                </w:tcPr>
                <w:p w14:paraId="42F53541">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340" w:type="dxa"/>
                  <w:vMerge w:val="continue"/>
                  <w:vAlign w:val="center"/>
                </w:tcPr>
                <w:p w14:paraId="09FB2A36">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1135" w:type="dxa"/>
                  <w:vAlign w:val="center"/>
                </w:tcPr>
                <w:p w14:paraId="3CB346E7">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表2二级</w:t>
                  </w:r>
                </w:p>
              </w:tc>
              <w:tc>
                <w:tcPr>
                  <w:tcW w:w="890" w:type="dxa"/>
                  <w:vAlign w:val="center"/>
                </w:tcPr>
                <w:p w14:paraId="3A43BBC5">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TSP</w:t>
                  </w:r>
                </w:p>
              </w:tc>
              <w:tc>
                <w:tcPr>
                  <w:tcW w:w="1125" w:type="dxa"/>
                  <w:vAlign w:val="center"/>
                </w:tcPr>
                <w:p w14:paraId="1FEDE70C">
                  <w:pPr>
                    <w:keepNext w:val="0"/>
                    <w:keepLines w:val="0"/>
                    <w:pageBreakBefore w:val="0"/>
                    <w:widowControl w:val="0"/>
                    <w:kinsoku/>
                    <w:wordWrap/>
                    <w:overflowPunct/>
                    <w:topLinePunct w:val="0"/>
                    <w:bidi w:val="0"/>
                    <w:adjustRightInd w:val="0"/>
                    <w:snapToGrid w:val="0"/>
                    <w:jc w:val="center"/>
                    <w:textAlignment w:val="auto"/>
                    <w:rPr>
                      <w:color w:val="auto"/>
                    </w:rPr>
                  </w:pPr>
                  <w:r>
                    <w:rPr>
                      <w:rFonts w:hint="eastAsia"/>
                      <w:color w:val="auto"/>
                      <w:lang w:eastAsia="zh-CN"/>
                    </w:rPr>
                    <w:t>μg</w:t>
                  </w:r>
                  <w:r>
                    <w:rPr>
                      <w:color w:val="auto"/>
                    </w:rPr>
                    <w:t>/m</w:t>
                  </w:r>
                  <w:r>
                    <w:rPr>
                      <w:color w:val="auto"/>
                      <w:vertAlign w:val="superscript"/>
                    </w:rPr>
                    <w:t>3</w:t>
                  </w:r>
                </w:p>
              </w:tc>
              <w:tc>
                <w:tcPr>
                  <w:tcW w:w="964" w:type="dxa"/>
                  <w:vAlign w:val="center"/>
                </w:tcPr>
                <w:p w14:paraId="701FED8A">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200</w:t>
                  </w:r>
                </w:p>
              </w:tc>
              <w:tc>
                <w:tcPr>
                  <w:tcW w:w="937" w:type="dxa"/>
                  <w:vAlign w:val="center"/>
                </w:tcPr>
                <w:p w14:paraId="67D331A4">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300</w:t>
                  </w:r>
                </w:p>
              </w:tc>
              <w:tc>
                <w:tcPr>
                  <w:tcW w:w="926" w:type="dxa"/>
                  <w:vAlign w:val="center"/>
                </w:tcPr>
                <w:p w14:paraId="3E0E98D5">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c>
                <w:tcPr>
                  <w:tcW w:w="902" w:type="dxa"/>
                  <w:vAlign w:val="center"/>
                </w:tcPr>
                <w:p w14:paraId="5D7CCF35">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w:t>
                  </w:r>
                </w:p>
              </w:tc>
            </w:tr>
            <w:tr w14:paraId="7D9D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vMerge w:val="continue"/>
                  <w:vAlign w:val="center"/>
                </w:tcPr>
                <w:p w14:paraId="16AD9A66">
                  <w:pPr>
                    <w:keepNext w:val="0"/>
                    <w:keepLines w:val="0"/>
                    <w:pageBreakBefore w:val="0"/>
                    <w:widowControl w:val="0"/>
                    <w:kinsoku/>
                    <w:wordWrap/>
                    <w:overflowPunct/>
                    <w:topLinePunct w:val="0"/>
                    <w:bidi w:val="0"/>
                    <w:adjustRightInd w:val="0"/>
                    <w:snapToGrid w:val="0"/>
                    <w:jc w:val="center"/>
                    <w:textAlignment w:val="auto"/>
                    <w:rPr>
                      <w:color w:val="auto"/>
                    </w:rPr>
                  </w:pPr>
                </w:p>
              </w:tc>
              <w:tc>
                <w:tcPr>
                  <w:tcW w:w="2475" w:type="dxa"/>
                  <w:gridSpan w:val="2"/>
                  <w:vAlign w:val="center"/>
                </w:tcPr>
                <w:p w14:paraId="5CE0F3E2">
                  <w:pPr>
                    <w:keepNext w:val="0"/>
                    <w:keepLines w:val="0"/>
                    <w:pageBreakBefore w:val="0"/>
                    <w:widowControl w:val="0"/>
                    <w:kinsoku/>
                    <w:wordWrap/>
                    <w:overflowPunct/>
                    <w:topLinePunct w:val="0"/>
                    <w:autoSpaceDE w:val="0"/>
                    <w:autoSpaceDN w:val="0"/>
                    <w:bidi w:val="0"/>
                    <w:adjustRightInd w:val="0"/>
                    <w:snapToGrid w:val="0"/>
                    <w:textAlignment w:val="auto"/>
                    <w:rPr>
                      <w:color w:val="auto"/>
                      <w:kern w:val="0"/>
                    </w:rPr>
                  </w:pPr>
                  <w:r>
                    <w:rPr>
                      <w:color w:val="auto"/>
                      <w:kern w:val="0"/>
                    </w:rPr>
                    <w:t>《大气污染物综合排放标准详解》（国家环境保护局科技标准司）推荐值</w:t>
                  </w:r>
                </w:p>
              </w:tc>
              <w:tc>
                <w:tcPr>
                  <w:tcW w:w="890" w:type="dxa"/>
                  <w:vAlign w:val="center"/>
                </w:tcPr>
                <w:p w14:paraId="36191E9C">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非甲烷总烃</w:t>
                  </w:r>
                </w:p>
              </w:tc>
              <w:tc>
                <w:tcPr>
                  <w:tcW w:w="1125" w:type="dxa"/>
                  <w:vAlign w:val="center"/>
                </w:tcPr>
                <w:p w14:paraId="4E645B10">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mg/Nm</w:t>
                  </w:r>
                  <w:r>
                    <w:rPr>
                      <w:color w:val="auto"/>
                      <w:vertAlign w:val="superscript"/>
                    </w:rPr>
                    <w:t>3</w:t>
                  </w:r>
                </w:p>
              </w:tc>
              <w:tc>
                <w:tcPr>
                  <w:tcW w:w="3729" w:type="dxa"/>
                  <w:gridSpan w:val="4"/>
                  <w:vAlign w:val="center"/>
                </w:tcPr>
                <w:p w14:paraId="58B5BFB6">
                  <w:pPr>
                    <w:keepNext w:val="0"/>
                    <w:keepLines w:val="0"/>
                    <w:pageBreakBefore w:val="0"/>
                    <w:widowControl w:val="0"/>
                    <w:kinsoku/>
                    <w:wordWrap/>
                    <w:overflowPunct/>
                    <w:topLinePunct w:val="0"/>
                    <w:bidi w:val="0"/>
                    <w:adjustRightInd w:val="0"/>
                    <w:snapToGrid w:val="0"/>
                    <w:jc w:val="center"/>
                    <w:textAlignment w:val="auto"/>
                    <w:rPr>
                      <w:color w:val="auto"/>
                    </w:rPr>
                  </w:pPr>
                  <w:r>
                    <w:rPr>
                      <w:color w:val="auto"/>
                    </w:rPr>
                    <w:t>一次值2.0</w:t>
                  </w:r>
                </w:p>
              </w:tc>
            </w:tr>
          </w:tbl>
          <w:p w14:paraId="53254D37">
            <w:pPr>
              <w:spacing w:line="360" w:lineRule="auto"/>
              <w:ind w:firstLine="480" w:firstLineChars="200"/>
              <w:rPr>
                <w:color w:val="auto"/>
                <w:sz w:val="24"/>
                <w:lang w:val="zh-CN"/>
              </w:rPr>
            </w:pPr>
            <w:r>
              <w:rPr>
                <w:color w:val="auto"/>
                <w:sz w:val="24"/>
                <w:lang w:val="zh-CN"/>
              </w:rPr>
              <w:t>（2）区域环境质量达标情况分析</w:t>
            </w:r>
          </w:p>
          <w:p w14:paraId="7E0971AC">
            <w:pPr>
              <w:spacing w:line="360" w:lineRule="auto"/>
              <w:ind w:firstLine="480" w:firstLineChars="200"/>
              <w:rPr>
                <w:b/>
                <w:bCs/>
                <w:color w:val="auto"/>
                <w:sz w:val="24"/>
              </w:rPr>
            </w:pPr>
            <w:r>
              <w:rPr>
                <w:color w:val="auto"/>
                <w:sz w:val="24"/>
                <w:lang w:val="zh-CN"/>
              </w:rPr>
              <w:t>根据《环境影响评价技术导则大气环境》（HJ2.2-2018），项目所在区域达标情况判定优先采用国家或地方生态环境主管部门公开发布的环境质量报告或环境质量报告书中的数据或结论</w:t>
            </w:r>
            <w:r>
              <w:rPr>
                <w:rFonts w:hint="eastAsia"/>
                <w:color w:val="auto"/>
                <w:sz w:val="24"/>
                <w:lang w:val="zh-CN"/>
              </w:rPr>
              <w:t>，</w:t>
            </w:r>
            <w:r>
              <w:rPr>
                <w:rFonts w:hint="eastAsia"/>
                <w:color w:val="auto"/>
                <w:sz w:val="24"/>
              </w:rPr>
              <w:t>本次采用2023年常州市生态环境质量公报中数据</w:t>
            </w:r>
            <w:r>
              <w:rPr>
                <w:color w:val="auto"/>
                <w:sz w:val="24"/>
                <w:lang w:val="zh-CN"/>
              </w:rPr>
              <w:t>。</w:t>
            </w:r>
          </w:p>
          <w:p w14:paraId="70BE7EB7">
            <w:pPr>
              <w:spacing w:line="480" w:lineRule="exact"/>
              <w:jc w:val="center"/>
              <w:rPr>
                <w:b/>
                <w:color w:val="auto"/>
                <w:sz w:val="24"/>
              </w:rPr>
            </w:pPr>
            <w:r>
              <w:rPr>
                <w:rFonts w:hint="eastAsia"/>
                <w:b/>
                <w:color w:val="auto"/>
                <w:sz w:val="24"/>
              </w:rPr>
              <w:t>表3-2环境空气质量现状一览表</w:t>
            </w:r>
          </w:p>
          <w:tbl>
            <w:tblPr>
              <w:tblStyle w:val="22"/>
              <w:tblW w:w="89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975"/>
              <w:gridCol w:w="2357"/>
              <w:gridCol w:w="1181"/>
              <w:gridCol w:w="906"/>
              <w:gridCol w:w="894"/>
              <w:gridCol w:w="1390"/>
              <w:gridCol w:w="1292"/>
            </w:tblGrid>
            <w:tr w14:paraId="1E666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Align w:val="center"/>
                </w:tcPr>
                <w:p w14:paraId="05C822E3">
                  <w:pPr>
                    <w:jc w:val="center"/>
                    <w:rPr>
                      <w:b/>
                      <w:color w:val="auto"/>
                    </w:rPr>
                  </w:pPr>
                  <w:r>
                    <w:rPr>
                      <w:b/>
                      <w:color w:val="auto"/>
                    </w:rPr>
                    <w:t>评价因子</w:t>
                  </w:r>
                </w:p>
              </w:tc>
              <w:tc>
                <w:tcPr>
                  <w:tcW w:w="2357" w:type="dxa"/>
                  <w:vAlign w:val="center"/>
                </w:tcPr>
                <w:p w14:paraId="62F67B94">
                  <w:pPr>
                    <w:jc w:val="center"/>
                    <w:rPr>
                      <w:b/>
                      <w:color w:val="auto"/>
                    </w:rPr>
                  </w:pPr>
                  <w:r>
                    <w:rPr>
                      <w:b/>
                      <w:color w:val="auto"/>
                    </w:rPr>
                    <w:t>平均时段</w:t>
                  </w:r>
                </w:p>
              </w:tc>
              <w:tc>
                <w:tcPr>
                  <w:tcW w:w="1181" w:type="dxa"/>
                  <w:vAlign w:val="center"/>
                </w:tcPr>
                <w:p w14:paraId="09208536">
                  <w:pPr>
                    <w:jc w:val="center"/>
                    <w:rPr>
                      <w:b/>
                      <w:color w:val="auto"/>
                    </w:rPr>
                  </w:pPr>
                  <w:r>
                    <w:rPr>
                      <w:b/>
                      <w:color w:val="auto"/>
                    </w:rPr>
                    <w:t>现状浓度</w:t>
                  </w:r>
                </w:p>
              </w:tc>
              <w:tc>
                <w:tcPr>
                  <w:tcW w:w="906" w:type="dxa"/>
                  <w:vAlign w:val="center"/>
                </w:tcPr>
                <w:p w14:paraId="4FFA42AE">
                  <w:pPr>
                    <w:jc w:val="center"/>
                    <w:rPr>
                      <w:b/>
                      <w:color w:val="auto"/>
                    </w:rPr>
                  </w:pPr>
                  <w:r>
                    <w:rPr>
                      <w:b/>
                      <w:color w:val="auto"/>
                    </w:rPr>
                    <w:t>标准值</w:t>
                  </w:r>
                </w:p>
              </w:tc>
              <w:tc>
                <w:tcPr>
                  <w:tcW w:w="894" w:type="dxa"/>
                  <w:vAlign w:val="center"/>
                </w:tcPr>
                <w:p w14:paraId="61716CB9">
                  <w:pPr>
                    <w:jc w:val="center"/>
                    <w:rPr>
                      <w:b/>
                      <w:color w:val="auto"/>
                    </w:rPr>
                  </w:pPr>
                  <w:r>
                    <w:rPr>
                      <w:b/>
                      <w:color w:val="auto"/>
                    </w:rPr>
                    <w:t>单位</w:t>
                  </w:r>
                </w:p>
              </w:tc>
              <w:tc>
                <w:tcPr>
                  <w:tcW w:w="1390" w:type="dxa"/>
                  <w:vAlign w:val="center"/>
                </w:tcPr>
                <w:p w14:paraId="274A0377">
                  <w:pPr>
                    <w:jc w:val="center"/>
                    <w:rPr>
                      <w:b/>
                      <w:color w:val="auto"/>
                    </w:rPr>
                  </w:pPr>
                  <w:r>
                    <w:rPr>
                      <w:rFonts w:hint="eastAsia"/>
                      <w:b/>
                      <w:color w:val="auto"/>
                    </w:rPr>
                    <w:t>达标</w:t>
                  </w:r>
                  <w:r>
                    <w:rPr>
                      <w:b/>
                      <w:color w:val="auto"/>
                    </w:rPr>
                    <w:t>率（%）</w:t>
                  </w:r>
                </w:p>
              </w:tc>
              <w:tc>
                <w:tcPr>
                  <w:tcW w:w="1292" w:type="dxa"/>
                  <w:vAlign w:val="center"/>
                </w:tcPr>
                <w:p w14:paraId="209D483E">
                  <w:pPr>
                    <w:jc w:val="center"/>
                    <w:rPr>
                      <w:b/>
                      <w:color w:val="auto"/>
                    </w:rPr>
                  </w:pPr>
                  <w:r>
                    <w:rPr>
                      <w:b/>
                      <w:color w:val="auto"/>
                    </w:rPr>
                    <w:t>达标情</w:t>
                  </w:r>
                  <w:r>
                    <w:rPr>
                      <w:rFonts w:hint="eastAsia"/>
                      <w:b/>
                      <w:color w:val="auto"/>
                    </w:rPr>
                    <w:t>况</w:t>
                  </w:r>
                </w:p>
              </w:tc>
            </w:tr>
            <w:tr w14:paraId="372E1F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Merge w:val="restart"/>
                  <w:vAlign w:val="center"/>
                </w:tcPr>
                <w:p w14:paraId="0F16A443">
                  <w:pPr>
                    <w:jc w:val="center"/>
                    <w:rPr>
                      <w:color w:val="auto"/>
                    </w:rPr>
                  </w:pPr>
                  <w:r>
                    <w:rPr>
                      <w:color w:val="auto"/>
                    </w:rPr>
                    <w:t>SO</w:t>
                  </w:r>
                  <w:r>
                    <w:rPr>
                      <w:color w:val="auto"/>
                      <w:vertAlign w:val="subscript"/>
                    </w:rPr>
                    <w:t>2</w:t>
                  </w:r>
                </w:p>
              </w:tc>
              <w:tc>
                <w:tcPr>
                  <w:tcW w:w="2357" w:type="dxa"/>
                  <w:vAlign w:val="center"/>
                </w:tcPr>
                <w:p w14:paraId="279B17A6">
                  <w:pPr>
                    <w:jc w:val="center"/>
                    <w:rPr>
                      <w:color w:val="auto"/>
                    </w:rPr>
                  </w:pPr>
                  <w:r>
                    <w:rPr>
                      <w:color w:val="auto"/>
                    </w:rPr>
                    <w:t>年均值</w:t>
                  </w:r>
                </w:p>
              </w:tc>
              <w:tc>
                <w:tcPr>
                  <w:tcW w:w="1181" w:type="dxa"/>
                  <w:vAlign w:val="center"/>
                </w:tcPr>
                <w:p w14:paraId="0F627AB7">
                  <w:pPr>
                    <w:jc w:val="center"/>
                    <w:rPr>
                      <w:color w:val="auto"/>
                    </w:rPr>
                  </w:pPr>
                  <w:r>
                    <w:rPr>
                      <w:rFonts w:hint="eastAsia"/>
                      <w:color w:val="auto"/>
                    </w:rPr>
                    <w:t>8</w:t>
                  </w:r>
                </w:p>
              </w:tc>
              <w:tc>
                <w:tcPr>
                  <w:tcW w:w="906" w:type="dxa"/>
                  <w:vAlign w:val="center"/>
                </w:tcPr>
                <w:p w14:paraId="4347DBF7">
                  <w:pPr>
                    <w:jc w:val="center"/>
                    <w:rPr>
                      <w:color w:val="auto"/>
                    </w:rPr>
                  </w:pPr>
                  <w:r>
                    <w:rPr>
                      <w:color w:val="auto"/>
                    </w:rPr>
                    <w:t>60</w:t>
                  </w:r>
                </w:p>
              </w:tc>
              <w:tc>
                <w:tcPr>
                  <w:tcW w:w="894" w:type="dxa"/>
                  <w:vMerge w:val="restart"/>
                  <w:vAlign w:val="center"/>
                </w:tcPr>
                <w:p w14:paraId="2BF754E5">
                  <w:pPr>
                    <w:jc w:val="center"/>
                    <w:rPr>
                      <w:color w:val="auto"/>
                    </w:rPr>
                  </w:pPr>
                  <w:r>
                    <w:rPr>
                      <w:color w:val="auto"/>
                    </w:rPr>
                    <w:t>μg/m</w:t>
                  </w:r>
                  <w:r>
                    <w:rPr>
                      <w:color w:val="auto"/>
                      <w:vertAlign w:val="superscript"/>
                    </w:rPr>
                    <w:t>3</w:t>
                  </w:r>
                </w:p>
              </w:tc>
              <w:tc>
                <w:tcPr>
                  <w:tcW w:w="1390" w:type="dxa"/>
                  <w:vAlign w:val="center"/>
                </w:tcPr>
                <w:p w14:paraId="05AB45C2">
                  <w:pPr>
                    <w:jc w:val="center"/>
                    <w:rPr>
                      <w:color w:val="auto"/>
                    </w:rPr>
                  </w:pPr>
                  <w:r>
                    <w:rPr>
                      <w:rFonts w:hint="eastAsia"/>
                      <w:color w:val="auto"/>
                    </w:rPr>
                    <w:t>100</w:t>
                  </w:r>
                </w:p>
              </w:tc>
              <w:tc>
                <w:tcPr>
                  <w:tcW w:w="1292" w:type="dxa"/>
                  <w:vMerge w:val="restart"/>
                  <w:vAlign w:val="center"/>
                </w:tcPr>
                <w:p w14:paraId="472191EB">
                  <w:pPr>
                    <w:jc w:val="center"/>
                    <w:rPr>
                      <w:color w:val="auto"/>
                    </w:rPr>
                  </w:pPr>
                  <w:r>
                    <w:rPr>
                      <w:color w:val="auto"/>
                    </w:rPr>
                    <w:t>达标</w:t>
                  </w:r>
                </w:p>
              </w:tc>
            </w:tr>
            <w:tr w14:paraId="73A0A9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Merge w:val="continue"/>
                  <w:vAlign w:val="center"/>
                </w:tcPr>
                <w:p w14:paraId="3D647A67">
                  <w:pPr>
                    <w:jc w:val="center"/>
                    <w:rPr>
                      <w:color w:val="auto"/>
                    </w:rPr>
                  </w:pPr>
                </w:p>
              </w:tc>
              <w:tc>
                <w:tcPr>
                  <w:tcW w:w="2357" w:type="dxa"/>
                  <w:vAlign w:val="center"/>
                </w:tcPr>
                <w:p w14:paraId="167D2BCD">
                  <w:pPr>
                    <w:jc w:val="center"/>
                    <w:rPr>
                      <w:color w:val="auto"/>
                    </w:rPr>
                  </w:pPr>
                  <w:r>
                    <w:rPr>
                      <w:rFonts w:hint="eastAsia"/>
                      <w:color w:val="auto"/>
                    </w:rPr>
                    <w:t>24小时平均值</w:t>
                  </w:r>
                </w:p>
              </w:tc>
              <w:tc>
                <w:tcPr>
                  <w:tcW w:w="1181" w:type="dxa"/>
                  <w:vAlign w:val="center"/>
                </w:tcPr>
                <w:p w14:paraId="3AF9DC78">
                  <w:pPr>
                    <w:jc w:val="center"/>
                    <w:rPr>
                      <w:color w:val="auto"/>
                    </w:rPr>
                  </w:pPr>
                  <w:r>
                    <w:rPr>
                      <w:rFonts w:hint="eastAsia"/>
                      <w:color w:val="auto"/>
                    </w:rPr>
                    <w:t>4-17</w:t>
                  </w:r>
                </w:p>
              </w:tc>
              <w:tc>
                <w:tcPr>
                  <w:tcW w:w="906" w:type="dxa"/>
                  <w:vAlign w:val="center"/>
                </w:tcPr>
                <w:p w14:paraId="210D48AD">
                  <w:pPr>
                    <w:jc w:val="center"/>
                    <w:rPr>
                      <w:color w:val="auto"/>
                    </w:rPr>
                  </w:pPr>
                  <w:r>
                    <w:rPr>
                      <w:rFonts w:hint="eastAsia"/>
                      <w:color w:val="auto"/>
                    </w:rPr>
                    <w:t>150</w:t>
                  </w:r>
                </w:p>
              </w:tc>
              <w:tc>
                <w:tcPr>
                  <w:tcW w:w="894" w:type="dxa"/>
                  <w:vMerge w:val="continue"/>
                  <w:vAlign w:val="center"/>
                </w:tcPr>
                <w:p w14:paraId="40D32D42">
                  <w:pPr>
                    <w:jc w:val="center"/>
                    <w:rPr>
                      <w:color w:val="auto"/>
                    </w:rPr>
                  </w:pPr>
                </w:p>
              </w:tc>
              <w:tc>
                <w:tcPr>
                  <w:tcW w:w="1390" w:type="dxa"/>
                  <w:vAlign w:val="center"/>
                </w:tcPr>
                <w:p w14:paraId="0F7400E4">
                  <w:pPr>
                    <w:jc w:val="center"/>
                    <w:rPr>
                      <w:color w:val="auto"/>
                    </w:rPr>
                  </w:pPr>
                  <w:r>
                    <w:rPr>
                      <w:rFonts w:hint="eastAsia"/>
                      <w:color w:val="auto"/>
                    </w:rPr>
                    <w:t>100</w:t>
                  </w:r>
                </w:p>
              </w:tc>
              <w:tc>
                <w:tcPr>
                  <w:tcW w:w="1292" w:type="dxa"/>
                  <w:vMerge w:val="continue"/>
                  <w:vAlign w:val="center"/>
                </w:tcPr>
                <w:p w14:paraId="379AF380">
                  <w:pPr>
                    <w:jc w:val="center"/>
                    <w:rPr>
                      <w:color w:val="auto"/>
                    </w:rPr>
                  </w:pPr>
                </w:p>
              </w:tc>
            </w:tr>
            <w:tr w14:paraId="2AE849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Merge w:val="restart"/>
                  <w:vAlign w:val="center"/>
                </w:tcPr>
                <w:p w14:paraId="4AF989DE">
                  <w:pPr>
                    <w:jc w:val="center"/>
                    <w:rPr>
                      <w:color w:val="auto"/>
                    </w:rPr>
                  </w:pPr>
                  <w:r>
                    <w:rPr>
                      <w:color w:val="auto"/>
                    </w:rPr>
                    <w:t>NO</w:t>
                  </w:r>
                  <w:r>
                    <w:rPr>
                      <w:color w:val="auto"/>
                      <w:vertAlign w:val="subscript"/>
                    </w:rPr>
                    <w:t>2</w:t>
                  </w:r>
                </w:p>
              </w:tc>
              <w:tc>
                <w:tcPr>
                  <w:tcW w:w="2357" w:type="dxa"/>
                  <w:vAlign w:val="center"/>
                </w:tcPr>
                <w:p w14:paraId="2FB2C36A">
                  <w:pPr>
                    <w:jc w:val="center"/>
                    <w:rPr>
                      <w:color w:val="auto"/>
                    </w:rPr>
                  </w:pPr>
                  <w:r>
                    <w:rPr>
                      <w:color w:val="auto"/>
                    </w:rPr>
                    <w:t>年均值</w:t>
                  </w:r>
                </w:p>
              </w:tc>
              <w:tc>
                <w:tcPr>
                  <w:tcW w:w="1181" w:type="dxa"/>
                  <w:vAlign w:val="center"/>
                </w:tcPr>
                <w:p w14:paraId="176D32E4">
                  <w:pPr>
                    <w:jc w:val="center"/>
                    <w:rPr>
                      <w:color w:val="auto"/>
                    </w:rPr>
                  </w:pPr>
                  <w:r>
                    <w:rPr>
                      <w:rFonts w:hint="eastAsia"/>
                      <w:color w:val="auto"/>
                    </w:rPr>
                    <w:t>30</w:t>
                  </w:r>
                </w:p>
              </w:tc>
              <w:tc>
                <w:tcPr>
                  <w:tcW w:w="906" w:type="dxa"/>
                  <w:vAlign w:val="center"/>
                </w:tcPr>
                <w:p w14:paraId="784D1702">
                  <w:pPr>
                    <w:jc w:val="center"/>
                    <w:rPr>
                      <w:color w:val="auto"/>
                    </w:rPr>
                  </w:pPr>
                  <w:r>
                    <w:rPr>
                      <w:color w:val="auto"/>
                    </w:rPr>
                    <w:t>40</w:t>
                  </w:r>
                </w:p>
              </w:tc>
              <w:tc>
                <w:tcPr>
                  <w:tcW w:w="894" w:type="dxa"/>
                  <w:vMerge w:val="continue"/>
                  <w:vAlign w:val="center"/>
                </w:tcPr>
                <w:p w14:paraId="200A38EF">
                  <w:pPr>
                    <w:jc w:val="center"/>
                    <w:rPr>
                      <w:color w:val="auto"/>
                    </w:rPr>
                  </w:pPr>
                </w:p>
              </w:tc>
              <w:tc>
                <w:tcPr>
                  <w:tcW w:w="1390" w:type="dxa"/>
                  <w:vAlign w:val="center"/>
                </w:tcPr>
                <w:p w14:paraId="58A4E18A">
                  <w:pPr>
                    <w:jc w:val="center"/>
                    <w:rPr>
                      <w:color w:val="auto"/>
                    </w:rPr>
                  </w:pPr>
                  <w:r>
                    <w:rPr>
                      <w:rFonts w:hint="eastAsia"/>
                      <w:color w:val="auto"/>
                    </w:rPr>
                    <w:t>100</w:t>
                  </w:r>
                </w:p>
              </w:tc>
              <w:tc>
                <w:tcPr>
                  <w:tcW w:w="1292" w:type="dxa"/>
                  <w:vMerge w:val="restart"/>
                  <w:vAlign w:val="center"/>
                </w:tcPr>
                <w:p w14:paraId="69AFC2C0">
                  <w:pPr>
                    <w:jc w:val="center"/>
                    <w:rPr>
                      <w:color w:val="auto"/>
                    </w:rPr>
                  </w:pPr>
                  <w:r>
                    <w:rPr>
                      <w:color w:val="auto"/>
                    </w:rPr>
                    <w:t>达标</w:t>
                  </w:r>
                </w:p>
              </w:tc>
            </w:tr>
            <w:tr w14:paraId="3D614D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Merge w:val="continue"/>
                  <w:vAlign w:val="center"/>
                </w:tcPr>
                <w:p w14:paraId="36363F69">
                  <w:pPr>
                    <w:jc w:val="center"/>
                    <w:rPr>
                      <w:color w:val="auto"/>
                    </w:rPr>
                  </w:pPr>
                </w:p>
              </w:tc>
              <w:tc>
                <w:tcPr>
                  <w:tcW w:w="2357" w:type="dxa"/>
                  <w:vAlign w:val="center"/>
                </w:tcPr>
                <w:p w14:paraId="6F58A300">
                  <w:pPr>
                    <w:jc w:val="center"/>
                    <w:rPr>
                      <w:color w:val="auto"/>
                    </w:rPr>
                  </w:pPr>
                  <w:r>
                    <w:rPr>
                      <w:rFonts w:hint="eastAsia"/>
                      <w:color w:val="auto"/>
                    </w:rPr>
                    <w:t>24小时平均值</w:t>
                  </w:r>
                </w:p>
              </w:tc>
              <w:tc>
                <w:tcPr>
                  <w:tcW w:w="1181" w:type="dxa"/>
                  <w:vAlign w:val="center"/>
                </w:tcPr>
                <w:p w14:paraId="0107D74F">
                  <w:pPr>
                    <w:jc w:val="center"/>
                    <w:rPr>
                      <w:color w:val="auto"/>
                    </w:rPr>
                  </w:pPr>
                  <w:r>
                    <w:rPr>
                      <w:rFonts w:hint="eastAsia"/>
                      <w:color w:val="auto"/>
                    </w:rPr>
                    <w:t>6-106</w:t>
                  </w:r>
                </w:p>
              </w:tc>
              <w:tc>
                <w:tcPr>
                  <w:tcW w:w="906" w:type="dxa"/>
                  <w:vAlign w:val="center"/>
                </w:tcPr>
                <w:p w14:paraId="20A09C4E">
                  <w:pPr>
                    <w:jc w:val="center"/>
                    <w:rPr>
                      <w:color w:val="auto"/>
                    </w:rPr>
                  </w:pPr>
                  <w:r>
                    <w:rPr>
                      <w:rFonts w:hint="eastAsia"/>
                      <w:color w:val="auto"/>
                    </w:rPr>
                    <w:t>80</w:t>
                  </w:r>
                </w:p>
              </w:tc>
              <w:tc>
                <w:tcPr>
                  <w:tcW w:w="894" w:type="dxa"/>
                  <w:vMerge w:val="continue"/>
                  <w:vAlign w:val="center"/>
                </w:tcPr>
                <w:p w14:paraId="2356D328">
                  <w:pPr>
                    <w:jc w:val="center"/>
                    <w:rPr>
                      <w:color w:val="auto"/>
                    </w:rPr>
                  </w:pPr>
                </w:p>
              </w:tc>
              <w:tc>
                <w:tcPr>
                  <w:tcW w:w="1390" w:type="dxa"/>
                  <w:vAlign w:val="center"/>
                </w:tcPr>
                <w:p w14:paraId="5C96B14E">
                  <w:pPr>
                    <w:jc w:val="center"/>
                    <w:rPr>
                      <w:color w:val="auto"/>
                    </w:rPr>
                  </w:pPr>
                  <w:r>
                    <w:rPr>
                      <w:rFonts w:hint="eastAsia"/>
                      <w:color w:val="auto"/>
                    </w:rPr>
                    <w:t>98.1</w:t>
                  </w:r>
                </w:p>
              </w:tc>
              <w:tc>
                <w:tcPr>
                  <w:tcW w:w="1292" w:type="dxa"/>
                  <w:vMerge w:val="continue"/>
                  <w:vAlign w:val="center"/>
                </w:tcPr>
                <w:p w14:paraId="22EBAEE0">
                  <w:pPr>
                    <w:jc w:val="center"/>
                    <w:rPr>
                      <w:color w:val="auto"/>
                    </w:rPr>
                  </w:pPr>
                </w:p>
              </w:tc>
            </w:tr>
            <w:tr w14:paraId="5D9E11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Merge w:val="restart"/>
                  <w:vAlign w:val="center"/>
                </w:tcPr>
                <w:p w14:paraId="699C4CEB">
                  <w:pPr>
                    <w:jc w:val="center"/>
                    <w:rPr>
                      <w:color w:val="auto"/>
                    </w:rPr>
                  </w:pPr>
                  <w:r>
                    <w:rPr>
                      <w:color w:val="auto"/>
                    </w:rPr>
                    <w:t>PM</w:t>
                  </w:r>
                  <w:r>
                    <w:rPr>
                      <w:color w:val="auto"/>
                      <w:vertAlign w:val="subscript"/>
                    </w:rPr>
                    <w:t>10</w:t>
                  </w:r>
                </w:p>
              </w:tc>
              <w:tc>
                <w:tcPr>
                  <w:tcW w:w="2357" w:type="dxa"/>
                  <w:vAlign w:val="center"/>
                </w:tcPr>
                <w:p w14:paraId="07A80768">
                  <w:pPr>
                    <w:jc w:val="center"/>
                    <w:rPr>
                      <w:color w:val="auto"/>
                    </w:rPr>
                  </w:pPr>
                  <w:r>
                    <w:rPr>
                      <w:color w:val="auto"/>
                    </w:rPr>
                    <w:t>年均值</w:t>
                  </w:r>
                </w:p>
              </w:tc>
              <w:tc>
                <w:tcPr>
                  <w:tcW w:w="1181" w:type="dxa"/>
                  <w:vAlign w:val="center"/>
                </w:tcPr>
                <w:p w14:paraId="5FE6F896">
                  <w:pPr>
                    <w:jc w:val="center"/>
                    <w:rPr>
                      <w:color w:val="auto"/>
                    </w:rPr>
                  </w:pPr>
                  <w:r>
                    <w:rPr>
                      <w:rFonts w:hint="eastAsia"/>
                      <w:color w:val="auto"/>
                    </w:rPr>
                    <w:t>57</w:t>
                  </w:r>
                </w:p>
              </w:tc>
              <w:tc>
                <w:tcPr>
                  <w:tcW w:w="906" w:type="dxa"/>
                  <w:vAlign w:val="center"/>
                </w:tcPr>
                <w:p w14:paraId="1A42428D">
                  <w:pPr>
                    <w:jc w:val="center"/>
                    <w:rPr>
                      <w:color w:val="auto"/>
                    </w:rPr>
                  </w:pPr>
                  <w:r>
                    <w:rPr>
                      <w:color w:val="auto"/>
                    </w:rPr>
                    <w:t>70</w:t>
                  </w:r>
                </w:p>
              </w:tc>
              <w:tc>
                <w:tcPr>
                  <w:tcW w:w="894" w:type="dxa"/>
                  <w:vMerge w:val="continue"/>
                  <w:vAlign w:val="center"/>
                </w:tcPr>
                <w:p w14:paraId="6B7710F3">
                  <w:pPr>
                    <w:jc w:val="center"/>
                    <w:rPr>
                      <w:color w:val="auto"/>
                    </w:rPr>
                  </w:pPr>
                </w:p>
              </w:tc>
              <w:tc>
                <w:tcPr>
                  <w:tcW w:w="1390" w:type="dxa"/>
                  <w:vAlign w:val="center"/>
                </w:tcPr>
                <w:p w14:paraId="0A7D166F">
                  <w:pPr>
                    <w:jc w:val="center"/>
                    <w:rPr>
                      <w:color w:val="auto"/>
                    </w:rPr>
                  </w:pPr>
                  <w:r>
                    <w:rPr>
                      <w:rFonts w:hint="eastAsia"/>
                      <w:color w:val="auto"/>
                    </w:rPr>
                    <w:t>100</w:t>
                  </w:r>
                </w:p>
              </w:tc>
              <w:tc>
                <w:tcPr>
                  <w:tcW w:w="1292" w:type="dxa"/>
                  <w:vMerge w:val="restart"/>
                  <w:vAlign w:val="center"/>
                </w:tcPr>
                <w:p w14:paraId="0209B94D">
                  <w:pPr>
                    <w:jc w:val="center"/>
                    <w:rPr>
                      <w:color w:val="auto"/>
                    </w:rPr>
                  </w:pPr>
                  <w:r>
                    <w:rPr>
                      <w:color w:val="auto"/>
                    </w:rPr>
                    <w:t>达标</w:t>
                  </w:r>
                </w:p>
              </w:tc>
            </w:tr>
            <w:tr w14:paraId="065546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Merge w:val="continue"/>
                  <w:vAlign w:val="center"/>
                </w:tcPr>
                <w:p w14:paraId="6FF70188">
                  <w:pPr>
                    <w:jc w:val="center"/>
                    <w:rPr>
                      <w:color w:val="auto"/>
                    </w:rPr>
                  </w:pPr>
                </w:p>
              </w:tc>
              <w:tc>
                <w:tcPr>
                  <w:tcW w:w="2357" w:type="dxa"/>
                  <w:vAlign w:val="center"/>
                </w:tcPr>
                <w:p w14:paraId="0A1A09FB">
                  <w:pPr>
                    <w:jc w:val="center"/>
                    <w:rPr>
                      <w:color w:val="auto"/>
                    </w:rPr>
                  </w:pPr>
                  <w:r>
                    <w:rPr>
                      <w:rFonts w:hint="eastAsia"/>
                      <w:color w:val="auto"/>
                    </w:rPr>
                    <w:t>24小时平均值</w:t>
                  </w:r>
                </w:p>
              </w:tc>
              <w:tc>
                <w:tcPr>
                  <w:tcW w:w="1181" w:type="dxa"/>
                  <w:vAlign w:val="center"/>
                </w:tcPr>
                <w:p w14:paraId="4EB32221">
                  <w:pPr>
                    <w:jc w:val="center"/>
                    <w:rPr>
                      <w:color w:val="auto"/>
                    </w:rPr>
                  </w:pPr>
                  <w:r>
                    <w:rPr>
                      <w:rFonts w:hint="eastAsia"/>
                      <w:color w:val="auto"/>
                    </w:rPr>
                    <w:t>12-188</w:t>
                  </w:r>
                </w:p>
              </w:tc>
              <w:tc>
                <w:tcPr>
                  <w:tcW w:w="906" w:type="dxa"/>
                  <w:vAlign w:val="center"/>
                </w:tcPr>
                <w:p w14:paraId="4B489271">
                  <w:pPr>
                    <w:jc w:val="center"/>
                    <w:rPr>
                      <w:color w:val="auto"/>
                    </w:rPr>
                  </w:pPr>
                  <w:r>
                    <w:rPr>
                      <w:rFonts w:hint="eastAsia"/>
                      <w:color w:val="auto"/>
                    </w:rPr>
                    <w:t>150</w:t>
                  </w:r>
                </w:p>
              </w:tc>
              <w:tc>
                <w:tcPr>
                  <w:tcW w:w="894" w:type="dxa"/>
                  <w:vMerge w:val="continue"/>
                  <w:vAlign w:val="center"/>
                </w:tcPr>
                <w:p w14:paraId="3B10ACBD">
                  <w:pPr>
                    <w:jc w:val="center"/>
                    <w:rPr>
                      <w:color w:val="auto"/>
                    </w:rPr>
                  </w:pPr>
                </w:p>
              </w:tc>
              <w:tc>
                <w:tcPr>
                  <w:tcW w:w="1390" w:type="dxa"/>
                  <w:vAlign w:val="center"/>
                </w:tcPr>
                <w:p w14:paraId="61F59769">
                  <w:pPr>
                    <w:jc w:val="center"/>
                    <w:rPr>
                      <w:color w:val="auto"/>
                    </w:rPr>
                  </w:pPr>
                  <w:r>
                    <w:rPr>
                      <w:rFonts w:hint="eastAsia"/>
                      <w:color w:val="auto"/>
                    </w:rPr>
                    <w:t>98.8</w:t>
                  </w:r>
                </w:p>
              </w:tc>
              <w:tc>
                <w:tcPr>
                  <w:tcW w:w="1292" w:type="dxa"/>
                  <w:vMerge w:val="continue"/>
                  <w:vAlign w:val="center"/>
                </w:tcPr>
                <w:p w14:paraId="2849F237">
                  <w:pPr>
                    <w:jc w:val="center"/>
                    <w:rPr>
                      <w:color w:val="auto"/>
                    </w:rPr>
                  </w:pPr>
                </w:p>
              </w:tc>
            </w:tr>
            <w:tr w14:paraId="090ACB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Merge w:val="restart"/>
                  <w:vAlign w:val="center"/>
                </w:tcPr>
                <w:p w14:paraId="65159DFF">
                  <w:pPr>
                    <w:jc w:val="center"/>
                    <w:rPr>
                      <w:color w:val="auto"/>
                    </w:rPr>
                  </w:pPr>
                  <w:r>
                    <w:rPr>
                      <w:color w:val="auto"/>
                    </w:rPr>
                    <w:t>PM</w:t>
                  </w:r>
                  <w:r>
                    <w:rPr>
                      <w:color w:val="auto"/>
                      <w:vertAlign w:val="subscript"/>
                    </w:rPr>
                    <w:t>2.5</w:t>
                  </w:r>
                </w:p>
              </w:tc>
              <w:tc>
                <w:tcPr>
                  <w:tcW w:w="2357" w:type="dxa"/>
                  <w:vAlign w:val="center"/>
                </w:tcPr>
                <w:p w14:paraId="111976AF">
                  <w:pPr>
                    <w:jc w:val="center"/>
                    <w:rPr>
                      <w:color w:val="auto"/>
                    </w:rPr>
                  </w:pPr>
                  <w:r>
                    <w:rPr>
                      <w:color w:val="auto"/>
                    </w:rPr>
                    <w:t>年均值</w:t>
                  </w:r>
                </w:p>
              </w:tc>
              <w:tc>
                <w:tcPr>
                  <w:tcW w:w="1181" w:type="dxa"/>
                  <w:vAlign w:val="center"/>
                </w:tcPr>
                <w:p w14:paraId="0145F342">
                  <w:pPr>
                    <w:jc w:val="center"/>
                    <w:rPr>
                      <w:color w:val="auto"/>
                    </w:rPr>
                  </w:pPr>
                  <w:r>
                    <w:rPr>
                      <w:rFonts w:hint="eastAsia"/>
                      <w:color w:val="auto"/>
                    </w:rPr>
                    <w:t>34</w:t>
                  </w:r>
                </w:p>
              </w:tc>
              <w:tc>
                <w:tcPr>
                  <w:tcW w:w="906" w:type="dxa"/>
                  <w:vAlign w:val="center"/>
                </w:tcPr>
                <w:p w14:paraId="1C61F6B0">
                  <w:pPr>
                    <w:jc w:val="center"/>
                    <w:rPr>
                      <w:color w:val="auto"/>
                    </w:rPr>
                  </w:pPr>
                  <w:r>
                    <w:rPr>
                      <w:color w:val="auto"/>
                    </w:rPr>
                    <w:t>35</w:t>
                  </w:r>
                </w:p>
              </w:tc>
              <w:tc>
                <w:tcPr>
                  <w:tcW w:w="894" w:type="dxa"/>
                  <w:vMerge w:val="continue"/>
                  <w:vAlign w:val="center"/>
                </w:tcPr>
                <w:p w14:paraId="61CDFF0C">
                  <w:pPr>
                    <w:jc w:val="center"/>
                    <w:rPr>
                      <w:color w:val="auto"/>
                    </w:rPr>
                  </w:pPr>
                </w:p>
              </w:tc>
              <w:tc>
                <w:tcPr>
                  <w:tcW w:w="1390" w:type="dxa"/>
                  <w:vAlign w:val="center"/>
                </w:tcPr>
                <w:p w14:paraId="76E7BC98">
                  <w:pPr>
                    <w:jc w:val="center"/>
                    <w:rPr>
                      <w:color w:val="auto"/>
                    </w:rPr>
                  </w:pPr>
                  <w:r>
                    <w:rPr>
                      <w:rFonts w:hint="eastAsia"/>
                      <w:color w:val="auto"/>
                    </w:rPr>
                    <w:t>100</w:t>
                  </w:r>
                </w:p>
              </w:tc>
              <w:tc>
                <w:tcPr>
                  <w:tcW w:w="1292" w:type="dxa"/>
                  <w:vAlign w:val="center"/>
                </w:tcPr>
                <w:p w14:paraId="68515DED">
                  <w:pPr>
                    <w:jc w:val="center"/>
                    <w:rPr>
                      <w:color w:val="auto"/>
                    </w:rPr>
                  </w:pPr>
                  <w:r>
                    <w:rPr>
                      <w:rFonts w:hint="eastAsia"/>
                      <w:color w:val="auto"/>
                    </w:rPr>
                    <w:t>达标</w:t>
                  </w:r>
                </w:p>
              </w:tc>
            </w:tr>
            <w:tr w14:paraId="3FFB1B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Merge w:val="continue"/>
                  <w:vAlign w:val="center"/>
                </w:tcPr>
                <w:p w14:paraId="7D5B5043">
                  <w:pPr>
                    <w:jc w:val="center"/>
                    <w:rPr>
                      <w:color w:val="auto"/>
                    </w:rPr>
                  </w:pPr>
                </w:p>
              </w:tc>
              <w:tc>
                <w:tcPr>
                  <w:tcW w:w="2357" w:type="dxa"/>
                  <w:vAlign w:val="center"/>
                </w:tcPr>
                <w:p w14:paraId="28EB606D">
                  <w:pPr>
                    <w:jc w:val="center"/>
                    <w:rPr>
                      <w:color w:val="auto"/>
                    </w:rPr>
                  </w:pPr>
                  <w:r>
                    <w:rPr>
                      <w:rFonts w:hint="eastAsia"/>
                      <w:color w:val="auto"/>
                    </w:rPr>
                    <w:t>24小时平均值</w:t>
                  </w:r>
                </w:p>
              </w:tc>
              <w:tc>
                <w:tcPr>
                  <w:tcW w:w="1181" w:type="dxa"/>
                  <w:vAlign w:val="center"/>
                </w:tcPr>
                <w:p w14:paraId="09DE6E4A">
                  <w:pPr>
                    <w:jc w:val="center"/>
                    <w:rPr>
                      <w:color w:val="auto"/>
                    </w:rPr>
                  </w:pPr>
                  <w:r>
                    <w:rPr>
                      <w:rFonts w:hint="eastAsia"/>
                      <w:color w:val="auto"/>
                    </w:rPr>
                    <w:t>6-151</w:t>
                  </w:r>
                </w:p>
              </w:tc>
              <w:tc>
                <w:tcPr>
                  <w:tcW w:w="906" w:type="dxa"/>
                  <w:vAlign w:val="center"/>
                </w:tcPr>
                <w:p w14:paraId="491703D6">
                  <w:pPr>
                    <w:jc w:val="center"/>
                    <w:rPr>
                      <w:color w:val="auto"/>
                    </w:rPr>
                  </w:pPr>
                  <w:r>
                    <w:rPr>
                      <w:rFonts w:hint="eastAsia"/>
                      <w:color w:val="auto"/>
                    </w:rPr>
                    <w:t>75</w:t>
                  </w:r>
                </w:p>
              </w:tc>
              <w:tc>
                <w:tcPr>
                  <w:tcW w:w="894" w:type="dxa"/>
                  <w:vMerge w:val="continue"/>
                  <w:vAlign w:val="center"/>
                </w:tcPr>
                <w:p w14:paraId="239C5F01">
                  <w:pPr>
                    <w:jc w:val="center"/>
                    <w:rPr>
                      <w:color w:val="auto"/>
                    </w:rPr>
                  </w:pPr>
                </w:p>
              </w:tc>
              <w:tc>
                <w:tcPr>
                  <w:tcW w:w="1390" w:type="dxa"/>
                  <w:vAlign w:val="center"/>
                </w:tcPr>
                <w:p w14:paraId="61C14548">
                  <w:pPr>
                    <w:jc w:val="center"/>
                    <w:rPr>
                      <w:color w:val="auto"/>
                    </w:rPr>
                  </w:pPr>
                  <w:r>
                    <w:rPr>
                      <w:rFonts w:hint="eastAsia"/>
                      <w:color w:val="auto"/>
                    </w:rPr>
                    <w:t>93.6</w:t>
                  </w:r>
                </w:p>
              </w:tc>
              <w:tc>
                <w:tcPr>
                  <w:tcW w:w="1292" w:type="dxa"/>
                  <w:vAlign w:val="center"/>
                </w:tcPr>
                <w:p w14:paraId="6011CDE6">
                  <w:pPr>
                    <w:jc w:val="center"/>
                    <w:rPr>
                      <w:color w:val="auto"/>
                    </w:rPr>
                  </w:pPr>
                  <w:r>
                    <w:rPr>
                      <w:rFonts w:hint="eastAsia"/>
                      <w:color w:val="auto"/>
                    </w:rPr>
                    <w:t>超标</w:t>
                  </w:r>
                </w:p>
              </w:tc>
            </w:tr>
            <w:tr w14:paraId="450F4F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Align w:val="center"/>
                </w:tcPr>
                <w:p w14:paraId="27E7868B">
                  <w:pPr>
                    <w:jc w:val="center"/>
                    <w:rPr>
                      <w:color w:val="auto"/>
                    </w:rPr>
                  </w:pPr>
                  <w:r>
                    <w:rPr>
                      <w:color w:val="auto"/>
                    </w:rPr>
                    <w:t>O</w:t>
                  </w:r>
                  <w:r>
                    <w:rPr>
                      <w:color w:val="auto"/>
                      <w:vertAlign w:val="subscript"/>
                    </w:rPr>
                    <w:t>3</w:t>
                  </w:r>
                </w:p>
              </w:tc>
              <w:tc>
                <w:tcPr>
                  <w:tcW w:w="2357" w:type="dxa"/>
                  <w:vAlign w:val="center"/>
                </w:tcPr>
                <w:p w14:paraId="65437DF8">
                  <w:pPr>
                    <w:jc w:val="center"/>
                    <w:rPr>
                      <w:color w:val="auto"/>
                    </w:rPr>
                  </w:pPr>
                  <w:r>
                    <w:rPr>
                      <w:color w:val="auto"/>
                    </w:rPr>
                    <w:t>日最大8小时滑动平均值</w:t>
                  </w:r>
                </w:p>
              </w:tc>
              <w:tc>
                <w:tcPr>
                  <w:tcW w:w="1181" w:type="dxa"/>
                  <w:vAlign w:val="center"/>
                </w:tcPr>
                <w:p w14:paraId="1B86C8EA">
                  <w:pPr>
                    <w:jc w:val="center"/>
                    <w:rPr>
                      <w:color w:val="auto"/>
                    </w:rPr>
                  </w:pPr>
                  <w:r>
                    <w:rPr>
                      <w:rFonts w:hint="eastAsia"/>
                      <w:color w:val="auto"/>
                    </w:rPr>
                    <w:t>174（第90百分位）</w:t>
                  </w:r>
                </w:p>
              </w:tc>
              <w:tc>
                <w:tcPr>
                  <w:tcW w:w="906" w:type="dxa"/>
                  <w:vAlign w:val="center"/>
                </w:tcPr>
                <w:p w14:paraId="1E83F6F2">
                  <w:pPr>
                    <w:jc w:val="center"/>
                    <w:rPr>
                      <w:color w:val="auto"/>
                    </w:rPr>
                  </w:pPr>
                  <w:r>
                    <w:rPr>
                      <w:color w:val="auto"/>
                    </w:rPr>
                    <w:t>160</w:t>
                  </w:r>
                </w:p>
              </w:tc>
              <w:tc>
                <w:tcPr>
                  <w:tcW w:w="894" w:type="dxa"/>
                  <w:vMerge w:val="continue"/>
                  <w:vAlign w:val="center"/>
                </w:tcPr>
                <w:p w14:paraId="5999185A">
                  <w:pPr>
                    <w:jc w:val="center"/>
                    <w:rPr>
                      <w:color w:val="auto"/>
                    </w:rPr>
                  </w:pPr>
                </w:p>
              </w:tc>
              <w:tc>
                <w:tcPr>
                  <w:tcW w:w="1390" w:type="dxa"/>
                  <w:vAlign w:val="center"/>
                </w:tcPr>
                <w:p w14:paraId="66882E35">
                  <w:pPr>
                    <w:jc w:val="center"/>
                    <w:rPr>
                      <w:color w:val="auto"/>
                    </w:rPr>
                  </w:pPr>
                  <w:r>
                    <w:rPr>
                      <w:rFonts w:hint="eastAsia"/>
                      <w:color w:val="auto"/>
                    </w:rPr>
                    <w:t>85.5</w:t>
                  </w:r>
                </w:p>
              </w:tc>
              <w:tc>
                <w:tcPr>
                  <w:tcW w:w="1292" w:type="dxa"/>
                  <w:vAlign w:val="center"/>
                </w:tcPr>
                <w:p w14:paraId="272EA773">
                  <w:pPr>
                    <w:jc w:val="center"/>
                    <w:rPr>
                      <w:color w:val="auto"/>
                    </w:rPr>
                  </w:pPr>
                  <w:r>
                    <w:rPr>
                      <w:rFonts w:hint="eastAsia"/>
                      <w:color w:val="auto"/>
                    </w:rPr>
                    <w:t>超标</w:t>
                  </w:r>
                </w:p>
              </w:tc>
            </w:tr>
            <w:tr w14:paraId="214AAC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75" w:type="dxa"/>
                  <w:vAlign w:val="center"/>
                </w:tcPr>
                <w:p w14:paraId="4AFD0FB7">
                  <w:pPr>
                    <w:jc w:val="center"/>
                    <w:rPr>
                      <w:color w:val="auto"/>
                    </w:rPr>
                  </w:pPr>
                  <w:r>
                    <w:rPr>
                      <w:color w:val="auto"/>
                    </w:rPr>
                    <w:t>CO</w:t>
                  </w:r>
                </w:p>
              </w:tc>
              <w:tc>
                <w:tcPr>
                  <w:tcW w:w="2357" w:type="dxa"/>
                  <w:vAlign w:val="center"/>
                </w:tcPr>
                <w:p w14:paraId="2F32CB26">
                  <w:pPr>
                    <w:jc w:val="center"/>
                    <w:rPr>
                      <w:color w:val="auto"/>
                    </w:rPr>
                  </w:pPr>
                  <w:r>
                    <w:rPr>
                      <w:rFonts w:hint="eastAsia"/>
                      <w:color w:val="auto"/>
                    </w:rPr>
                    <w:t>24小时平均值</w:t>
                  </w:r>
                </w:p>
              </w:tc>
              <w:tc>
                <w:tcPr>
                  <w:tcW w:w="1181" w:type="dxa"/>
                  <w:vAlign w:val="center"/>
                </w:tcPr>
                <w:p w14:paraId="26C90DBE">
                  <w:pPr>
                    <w:jc w:val="center"/>
                    <w:rPr>
                      <w:color w:val="auto"/>
                    </w:rPr>
                  </w:pPr>
                  <w:r>
                    <w:rPr>
                      <w:rFonts w:hint="eastAsia"/>
                      <w:color w:val="auto"/>
                    </w:rPr>
                    <w:t>1100（第95百分位）</w:t>
                  </w:r>
                </w:p>
              </w:tc>
              <w:tc>
                <w:tcPr>
                  <w:tcW w:w="906" w:type="dxa"/>
                  <w:vAlign w:val="center"/>
                </w:tcPr>
                <w:p w14:paraId="4730E942">
                  <w:pPr>
                    <w:jc w:val="center"/>
                    <w:rPr>
                      <w:color w:val="auto"/>
                    </w:rPr>
                  </w:pPr>
                  <w:r>
                    <w:rPr>
                      <w:color w:val="auto"/>
                    </w:rPr>
                    <w:t>4</w:t>
                  </w:r>
                  <w:r>
                    <w:rPr>
                      <w:rFonts w:hint="eastAsia"/>
                      <w:color w:val="auto"/>
                    </w:rPr>
                    <w:t>000</w:t>
                  </w:r>
                </w:p>
              </w:tc>
              <w:tc>
                <w:tcPr>
                  <w:tcW w:w="894" w:type="dxa"/>
                  <w:vAlign w:val="center"/>
                </w:tcPr>
                <w:p w14:paraId="125579EB">
                  <w:pPr>
                    <w:autoSpaceDE w:val="0"/>
                    <w:autoSpaceDN w:val="0"/>
                    <w:jc w:val="center"/>
                    <w:rPr>
                      <w:color w:val="auto"/>
                      <w:kern w:val="0"/>
                      <w:vertAlign w:val="superscript"/>
                    </w:rPr>
                  </w:pPr>
                  <w:r>
                    <w:rPr>
                      <w:color w:val="auto"/>
                    </w:rPr>
                    <w:t>μ</w:t>
                  </w:r>
                  <w:r>
                    <w:rPr>
                      <w:color w:val="auto"/>
                      <w:kern w:val="0"/>
                    </w:rPr>
                    <w:t>g/m</w:t>
                  </w:r>
                  <w:r>
                    <w:rPr>
                      <w:color w:val="auto"/>
                      <w:kern w:val="0"/>
                      <w:vertAlign w:val="superscript"/>
                    </w:rPr>
                    <w:t>3</w:t>
                  </w:r>
                </w:p>
              </w:tc>
              <w:tc>
                <w:tcPr>
                  <w:tcW w:w="1390" w:type="dxa"/>
                  <w:vAlign w:val="center"/>
                </w:tcPr>
                <w:p w14:paraId="0CDF5838">
                  <w:pPr>
                    <w:jc w:val="center"/>
                    <w:rPr>
                      <w:color w:val="auto"/>
                    </w:rPr>
                  </w:pPr>
                  <w:r>
                    <w:rPr>
                      <w:rFonts w:hint="eastAsia"/>
                      <w:color w:val="auto"/>
                    </w:rPr>
                    <w:t>100</w:t>
                  </w:r>
                </w:p>
              </w:tc>
              <w:tc>
                <w:tcPr>
                  <w:tcW w:w="1292" w:type="dxa"/>
                  <w:vAlign w:val="center"/>
                </w:tcPr>
                <w:p w14:paraId="6B3FCE45">
                  <w:pPr>
                    <w:jc w:val="center"/>
                    <w:rPr>
                      <w:color w:val="auto"/>
                    </w:rPr>
                  </w:pPr>
                  <w:r>
                    <w:rPr>
                      <w:color w:val="auto"/>
                    </w:rPr>
                    <w:t>达标</w:t>
                  </w:r>
                </w:p>
              </w:tc>
            </w:tr>
          </w:tbl>
          <w:p w14:paraId="31BA2BD1">
            <w:pPr>
              <w:spacing w:line="360" w:lineRule="auto"/>
              <w:ind w:firstLine="480" w:firstLineChars="200"/>
              <w:rPr>
                <w:color w:val="auto"/>
                <w:sz w:val="24"/>
                <w:szCs w:val="24"/>
                <w:lang w:val="zh-CN"/>
              </w:rPr>
            </w:pPr>
            <w:r>
              <w:rPr>
                <w:color w:val="auto"/>
                <w:sz w:val="24"/>
                <w:szCs w:val="24"/>
                <w:lang w:val="zh-CN"/>
              </w:rPr>
              <w:t>由上表可知，202</w:t>
            </w:r>
            <w:r>
              <w:rPr>
                <w:rFonts w:hint="eastAsia"/>
                <w:color w:val="auto"/>
                <w:sz w:val="24"/>
                <w:szCs w:val="24"/>
              </w:rPr>
              <w:t>3</w:t>
            </w:r>
            <w:r>
              <w:rPr>
                <w:color w:val="auto"/>
                <w:sz w:val="24"/>
                <w:szCs w:val="24"/>
                <w:lang w:val="zh-CN"/>
              </w:rPr>
              <w:t>年常州市为不达标区域，不达标因子为O</w:t>
            </w:r>
            <w:r>
              <w:rPr>
                <w:color w:val="auto"/>
                <w:sz w:val="24"/>
                <w:szCs w:val="24"/>
                <w:vertAlign w:val="subscript"/>
                <w:lang w:val="zh-CN"/>
              </w:rPr>
              <w:t>3</w:t>
            </w:r>
            <w:r>
              <w:rPr>
                <w:rFonts w:hint="eastAsia"/>
                <w:color w:val="auto"/>
                <w:sz w:val="24"/>
                <w:szCs w:val="24"/>
                <w:lang w:val="zh-CN"/>
              </w:rPr>
              <w:t>、</w:t>
            </w:r>
            <w:r>
              <w:rPr>
                <w:rFonts w:hint="eastAsia"/>
                <w:color w:val="auto"/>
                <w:sz w:val="24"/>
                <w:szCs w:val="24"/>
              </w:rPr>
              <w:t>PM</w:t>
            </w:r>
            <w:r>
              <w:rPr>
                <w:rFonts w:hint="eastAsia"/>
                <w:color w:val="auto"/>
                <w:sz w:val="24"/>
                <w:szCs w:val="24"/>
                <w:vertAlign w:val="subscript"/>
              </w:rPr>
              <w:t>2.5</w:t>
            </w:r>
            <w:r>
              <w:rPr>
                <w:color w:val="auto"/>
                <w:sz w:val="24"/>
                <w:szCs w:val="24"/>
                <w:lang w:val="zh-CN"/>
              </w:rPr>
              <w:t>。</w:t>
            </w:r>
          </w:p>
          <w:p w14:paraId="3BECA6B4">
            <w:pPr>
              <w:adjustRightInd w:val="0"/>
              <w:spacing w:line="360" w:lineRule="auto"/>
              <w:ind w:firstLine="361" w:firstLineChars="150"/>
              <w:rPr>
                <w:rFonts w:hAnsi="宋体"/>
                <w:b/>
                <w:bCs/>
                <w:color w:val="auto"/>
                <w:sz w:val="24"/>
                <w:lang w:val="zh-CN"/>
              </w:rPr>
            </w:pPr>
            <w:r>
              <w:rPr>
                <w:rFonts w:hAnsi="宋体"/>
                <w:b/>
                <w:bCs/>
                <w:color w:val="auto"/>
                <w:sz w:val="24"/>
                <w:lang w:val="zh-CN"/>
              </w:rPr>
              <w:t>区域削减计划：</w:t>
            </w:r>
          </w:p>
          <w:p w14:paraId="70373261">
            <w:pPr>
              <w:pStyle w:val="3"/>
              <w:spacing w:line="360" w:lineRule="auto"/>
              <w:ind w:firstLine="480" w:firstLineChars="200"/>
              <w:outlineLvl w:val="2"/>
              <w:rPr>
                <w:color w:val="auto"/>
                <w:sz w:val="24"/>
                <w:szCs w:val="24"/>
                <w:lang w:val="zh-CN"/>
              </w:rPr>
            </w:pPr>
            <w:r>
              <w:rPr>
                <w:rFonts w:hint="eastAsia"/>
                <w:color w:val="auto"/>
                <w:sz w:val="24"/>
                <w:szCs w:val="24"/>
              </w:rPr>
              <w:t>为加快改善环境空气质量，常州市人民政府发布了《常州市空气质量持续改善行动计划实施方案》（常政发〔2024〕51号），进一步提出如下大气污染防治工作计划，</w:t>
            </w:r>
            <w:r>
              <w:rPr>
                <w:color w:val="auto"/>
                <w:sz w:val="24"/>
                <w:szCs w:val="24"/>
              </w:rPr>
              <w:t>调整优化产业结构</w:t>
            </w:r>
            <w:r>
              <w:rPr>
                <w:rFonts w:hint="eastAsia"/>
                <w:color w:val="auto"/>
                <w:sz w:val="24"/>
                <w:szCs w:val="24"/>
              </w:rPr>
              <w:t>，</w:t>
            </w:r>
            <w:r>
              <w:rPr>
                <w:color w:val="auto"/>
                <w:sz w:val="24"/>
                <w:szCs w:val="24"/>
              </w:rPr>
              <w:t>推进产业绿色低碳发展</w:t>
            </w:r>
            <w:r>
              <w:rPr>
                <w:color w:val="auto"/>
                <w:sz w:val="24"/>
                <w:szCs w:val="24"/>
                <w:lang w:val="zh-CN"/>
              </w:rPr>
              <w:t>；</w:t>
            </w:r>
            <w:r>
              <w:rPr>
                <w:color w:val="auto"/>
                <w:sz w:val="24"/>
                <w:szCs w:val="24"/>
              </w:rPr>
              <w:t>推进能源高效利用，加快能源清洁低碳转型</w:t>
            </w:r>
            <w:r>
              <w:rPr>
                <w:color w:val="auto"/>
                <w:sz w:val="24"/>
                <w:szCs w:val="24"/>
                <w:lang w:val="zh-CN"/>
              </w:rPr>
              <w:t>；</w:t>
            </w:r>
            <w:r>
              <w:rPr>
                <w:color w:val="auto"/>
                <w:sz w:val="24"/>
                <w:szCs w:val="24"/>
              </w:rPr>
              <w:t>优化调整交通结构</w:t>
            </w:r>
            <w:r>
              <w:rPr>
                <w:rFonts w:hint="eastAsia"/>
                <w:color w:val="auto"/>
                <w:sz w:val="24"/>
                <w:szCs w:val="24"/>
              </w:rPr>
              <w:t>，</w:t>
            </w:r>
            <w:r>
              <w:rPr>
                <w:color w:val="auto"/>
                <w:sz w:val="24"/>
                <w:szCs w:val="24"/>
              </w:rPr>
              <w:t>大力发展绿色运输体系</w:t>
            </w:r>
            <w:r>
              <w:rPr>
                <w:color w:val="auto"/>
                <w:sz w:val="24"/>
                <w:szCs w:val="24"/>
                <w:lang w:val="zh-CN"/>
              </w:rPr>
              <w:t>；</w:t>
            </w:r>
            <w:r>
              <w:rPr>
                <w:color w:val="auto"/>
                <w:sz w:val="24"/>
                <w:szCs w:val="24"/>
              </w:rPr>
              <w:t>加强面源污染治理，提高精细化管理水平</w:t>
            </w:r>
            <w:r>
              <w:rPr>
                <w:color w:val="auto"/>
                <w:sz w:val="24"/>
                <w:szCs w:val="24"/>
                <w:lang w:val="zh-CN"/>
              </w:rPr>
              <w:t>；</w:t>
            </w:r>
            <w:r>
              <w:rPr>
                <w:color w:val="auto"/>
                <w:sz w:val="24"/>
                <w:szCs w:val="24"/>
              </w:rPr>
              <w:t>强化协同减排</w:t>
            </w:r>
            <w:r>
              <w:rPr>
                <w:rFonts w:hint="eastAsia"/>
                <w:color w:val="auto"/>
                <w:sz w:val="24"/>
                <w:szCs w:val="24"/>
              </w:rPr>
              <w:t>，</w:t>
            </w:r>
            <w:r>
              <w:rPr>
                <w:color w:val="auto"/>
                <w:sz w:val="24"/>
                <w:szCs w:val="24"/>
              </w:rPr>
              <w:t>切实降低污染物排放强度</w:t>
            </w:r>
            <w:r>
              <w:rPr>
                <w:rFonts w:hint="eastAsia"/>
                <w:color w:val="auto"/>
                <w:sz w:val="24"/>
                <w:szCs w:val="24"/>
                <w:lang w:val="zh-CN"/>
              </w:rPr>
              <w:t>；</w:t>
            </w:r>
            <w:r>
              <w:rPr>
                <w:color w:val="auto"/>
                <w:sz w:val="24"/>
                <w:szCs w:val="24"/>
              </w:rPr>
              <w:t>完善工作机制，健全大气环境管理体系</w:t>
            </w:r>
            <w:r>
              <w:rPr>
                <w:rFonts w:hint="eastAsia"/>
                <w:color w:val="auto"/>
                <w:sz w:val="24"/>
                <w:szCs w:val="24"/>
                <w:lang w:val="zh-CN"/>
              </w:rPr>
              <w:t>；</w:t>
            </w:r>
            <w:r>
              <w:rPr>
                <w:color w:val="auto"/>
                <w:sz w:val="24"/>
                <w:szCs w:val="24"/>
              </w:rPr>
              <w:t>加强能力建设，提升生态环境治理体系和治理能力现代化水平</w:t>
            </w:r>
            <w:r>
              <w:rPr>
                <w:rFonts w:hint="eastAsia"/>
                <w:color w:val="auto"/>
                <w:sz w:val="24"/>
                <w:szCs w:val="24"/>
              </w:rPr>
              <w:t>；</w:t>
            </w:r>
            <w:r>
              <w:rPr>
                <w:color w:val="auto"/>
                <w:sz w:val="24"/>
                <w:szCs w:val="24"/>
              </w:rPr>
              <w:t>健全标准规范体系，完善生态环境经济政策</w:t>
            </w:r>
            <w:r>
              <w:rPr>
                <w:rFonts w:hint="eastAsia"/>
                <w:color w:val="auto"/>
                <w:sz w:val="24"/>
                <w:szCs w:val="24"/>
              </w:rPr>
              <w:t>；</w:t>
            </w:r>
            <w:r>
              <w:rPr>
                <w:color w:val="auto"/>
                <w:sz w:val="24"/>
                <w:szCs w:val="24"/>
              </w:rPr>
              <w:t>落实各方责任</w:t>
            </w:r>
            <w:r>
              <w:rPr>
                <w:rFonts w:hint="eastAsia"/>
                <w:color w:val="auto"/>
                <w:sz w:val="24"/>
                <w:szCs w:val="24"/>
              </w:rPr>
              <w:t>，</w:t>
            </w:r>
            <w:r>
              <w:rPr>
                <w:color w:val="auto"/>
                <w:sz w:val="24"/>
                <w:szCs w:val="24"/>
              </w:rPr>
              <w:t>构建全民行动格局</w:t>
            </w:r>
            <w:r>
              <w:rPr>
                <w:color w:val="auto"/>
                <w:sz w:val="24"/>
                <w:szCs w:val="24"/>
                <w:lang w:val="zh-CN"/>
              </w:rPr>
              <w:t>。</w:t>
            </w:r>
          </w:p>
          <w:p w14:paraId="628FDD5E">
            <w:pPr>
              <w:pStyle w:val="3"/>
              <w:spacing w:line="360" w:lineRule="auto"/>
              <w:ind w:firstLine="480" w:firstLineChars="200"/>
              <w:outlineLvl w:val="2"/>
              <w:rPr>
                <w:color w:val="auto"/>
                <w:sz w:val="24"/>
                <w:szCs w:val="24"/>
                <w:lang w:val="zh-CN"/>
              </w:rPr>
            </w:pPr>
            <w:r>
              <w:rPr>
                <w:color w:val="auto"/>
                <w:sz w:val="24"/>
                <w:szCs w:val="24"/>
              </w:rPr>
              <w:t>到2025年，全市PM</w:t>
            </w:r>
            <w:r>
              <w:rPr>
                <w:color w:val="auto"/>
                <w:sz w:val="24"/>
                <w:szCs w:val="24"/>
                <w:vertAlign w:val="subscript"/>
              </w:rPr>
              <w:t>2.5</w:t>
            </w:r>
            <w:r>
              <w:rPr>
                <w:color w:val="auto"/>
                <w:sz w:val="24"/>
                <w:szCs w:val="24"/>
              </w:rPr>
              <w:t>浓度总体达标，PM</w:t>
            </w:r>
            <w:r>
              <w:rPr>
                <w:color w:val="auto"/>
                <w:sz w:val="24"/>
                <w:szCs w:val="24"/>
                <w:vertAlign w:val="subscript"/>
              </w:rPr>
              <w:t>2.5</w:t>
            </w:r>
            <w:r>
              <w:rPr>
                <w:color w:val="auto"/>
                <w:sz w:val="24"/>
                <w:szCs w:val="24"/>
              </w:rPr>
              <w:t>浓度比2020年下降10%，基本消除重度及以上污染天气，空气质量持续改善；氮氧化物和VOCs排放总量比2020年分别下降10%以上</w:t>
            </w:r>
            <w:r>
              <w:rPr>
                <w:rFonts w:hint="eastAsia"/>
                <w:color w:val="auto"/>
                <w:sz w:val="24"/>
                <w:szCs w:val="24"/>
              </w:rPr>
              <w:t>，</w:t>
            </w:r>
            <w:r>
              <w:rPr>
                <w:color w:val="auto"/>
                <w:sz w:val="24"/>
                <w:szCs w:val="24"/>
              </w:rPr>
              <w:t>完成省下达的减排目标</w:t>
            </w:r>
            <w:r>
              <w:rPr>
                <w:rFonts w:hint="eastAsia"/>
                <w:color w:val="auto"/>
                <w:sz w:val="24"/>
                <w:szCs w:val="24"/>
              </w:rPr>
              <w:t>。</w:t>
            </w:r>
          </w:p>
          <w:p w14:paraId="4A368B32">
            <w:pPr>
              <w:pStyle w:val="3"/>
              <w:spacing w:line="360" w:lineRule="auto"/>
              <w:ind w:firstLine="480" w:firstLineChars="200"/>
              <w:outlineLvl w:val="2"/>
              <w:rPr>
                <w:color w:val="auto"/>
                <w:sz w:val="24"/>
                <w:szCs w:val="24"/>
                <w:lang w:val="zh-CN"/>
              </w:rPr>
            </w:pPr>
            <w:r>
              <w:rPr>
                <w:color w:val="auto"/>
                <w:sz w:val="24"/>
                <w:szCs w:val="24"/>
                <w:lang w:val="zh-CN"/>
              </w:rPr>
              <w:t>（3）其他污染物环境质量现状评价</w:t>
            </w:r>
          </w:p>
          <w:p w14:paraId="7E844970">
            <w:pPr>
              <w:pStyle w:val="3"/>
              <w:spacing w:line="360" w:lineRule="auto"/>
              <w:ind w:firstLine="480" w:firstLineChars="200"/>
              <w:outlineLvl w:val="2"/>
              <w:rPr>
                <w:color w:val="auto"/>
                <w:sz w:val="24"/>
                <w:szCs w:val="24"/>
                <w:lang w:val="zh-CN"/>
              </w:rPr>
            </w:pPr>
            <w:r>
              <w:rPr>
                <w:color w:val="auto"/>
                <w:sz w:val="24"/>
                <w:szCs w:val="24"/>
                <w:lang w:val="zh-CN"/>
              </w:rPr>
              <w:t>本项目评价因子“非甲烷总烃”的数据引用江苏久诚检验检测有限公司于202</w:t>
            </w:r>
            <w:r>
              <w:rPr>
                <w:rFonts w:hint="eastAsia"/>
                <w:color w:val="auto"/>
                <w:sz w:val="24"/>
                <w:szCs w:val="24"/>
              </w:rPr>
              <w:t>2</w:t>
            </w:r>
            <w:r>
              <w:rPr>
                <w:color w:val="auto"/>
                <w:sz w:val="24"/>
                <w:szCs w:val="24"/>
                <w:lang w:val="zh-CN"/>
              </w:rPr>
              <w:t>年</w:t>
            </w:r>
            <w:r>
              <w:rPr>
                <w:rFonts w:hint="eastAsia"/>
                <w:color w:val="auto"/>
                <w:sz w:val="24"/>
                <w:szCs w:val="24"/>
              </w:rPr>
              <w:t>2</w:t>
            </w:r>
            <w:r>
              <w:rPr>
                <w:color w:val="auto"/>
                <w:sz w:val="24"/>
                <w:szCs w:val="24"/>
                <w:lang w:val="zh-CN"/>
              </w:rPr>
              <w:t>月</w:t>
            </w:r>
            <w:r>
              <w:rPr>
                <w:rFonts w:hint="eastAsia"/>
                <w:color w:val="auto"/>
                <w:sz w:val="24"/>
                <w:szCs w:val="24"/>
              </w:rPr>
              <w:t>26</w:t>
            </w:r>
            <w:r>
              <w:rPr>
                <w:color w:val="auto"/>
                <w:sz w:val="24"/>
                <w:szCs w:val="24"/>
                <w:lang w:val="zh-CN"/>
              </w:rPr>
              <w:t>日-202</w:t>
            </w:r>
            <w:r>
              <w:rPr>
                <w:rFonts w:hint="eastAsia"/>
                <w:color w:val="auto"/>
                <w:sz w:val="24"/>
                <w:szCs w:val="24"/>
              </w:rPr>
              <w:t>2</w:t>
            </w:r>
            <w:r>
              <w:rPr>
                <w:color w:val="auto"/>
                <w:sz w:val="24"/>
                <w:szCs w:val="24"/>
                <w:lang w:val="zh-CN"/>
              </w:rPr>
              <w:t>年</w:t>
            </w:r>
            <w:r>
              <w:rPr>
                <w:rFonts w:hint="eastAsia"/>
                <w:color w:val="auto"/>
                <w:sz w:val="24"/>
                <w:szCs w:val="24"/>
              </w:rPr>
              <w:t>2</w:t>
            </w:r>
            <w:r>
              <w:rPr>
                <w:color w:val="auto"/>
                <w:sz w:val="24"/>
                <w:szCs w:val="24"/>
                <w:lang w:val="zh-CN"/>
              </w:rPr>
              <w:t>月</w:t>
            </w:r>
            <w:r>
              <w:rPr>
                <w:rFonts w:hint="eastAsia"/>
                <w:color w:val="auto"/>
                <w:sz w:val="24"/>
                <w:szCs w:val="24"/>
              </w:rPr>
              <w:t>28</w:t>
            </w:r>
            <w:r>
              <w:rPr>
                <w:color w:val="auto"/>
                <w:sz w:val="24"/>
                <w:szCs w:val="24"/>
                <w:lang w:val="zh-CN"/>
              </w:rPr>
              <w:t>日在G</w:t>
            </w:r>
            <w:r>
              <w:rPr>
                <w:rFonts w:hint="eastAsia"/>
                <w:color w:val="auto"/>
                <w:sz w:val="24"/>
                <w:szCs w:val="24"/>
              </w:rPr>
              <w:t>1</w:t>
            </w:r>
            <w:r>
              <w:rPr>
                <w:color w:val="auto"/>
                <w:sz w:val="24"/>
                <w:szCs w:val="24"/>
                <w:lang w:val="zh-CN"/>
              </w:rPr>
              <w:t>中</w:t>
            </w:r>
            <w:r>
              <w:rPr>
                <w:rFonts w:hint="eastAsia"/>
                <w:color w:val="auto"/>
                <w:sz w:val="24"/>
                <w:szCs w:val="24"/>
              </w:rPr>
              <w:t>直溪镇人民政府</w:t>
            </w:r>
            <w:r>
              <w:rPr>
                <w:color w:val="auto"/>
                <w:sz w:val="24"/>
                <w:szCs w:val="24"/>
                <w:lang w:val="zh-CN"/>
              </w:rPr>
              <w:t>的监测数据，监测报告编号</w:t>
            </w:r>
            <w:r>
              <w:rPr>
                <w:rFonts w:hint="eastAsia"/>
                <w:color w:val="auto"/>
                <w:sz w:val="24"/>
                <w:szCs w:val="24"/>
                <w:lang w:val="zh-CN"/>
              </w:rPr>
              <w:t>〔</w:t>
            </w:r>
            <w:r>
              <w:rPr>
                <w:color w:val="auto"/>
                <w:sz w:val="24"/>
                <w:szCs w:val="24"/>
                <w:lang w:val="zh-CN"/>
              </w:rPr>
              <w:t>JCH202</w:t>
            </w:r>
            <w:r>
              <w:rPr>
                <w:rFonts w:hint="eastAsia"/>
                <w:color w:val="auto"/>
                <w:sz w:val="24"/>
                <w:szCs w:val="24"/>
              </w:rPr>
              <w:t>40531</w:t>
            </w:r>
            <w:r>
              <w:rPr>
                <w:rFonts w:hint="eastAsia"/>
                <w:color w:val="auto"/>
                <w:sz w:val="24"/>
                <w:szCs w:val="24"/>
                <w:lang w:val="zh-CN"/>
              </w:rPr>
              <w:t>〕</w:t>
            </w:r>
            <w:r>
              <w:rPr>
                <w:color w:val="auto"/>
                <w:sz w:val="24"/>
                <w:szCs w:val="24"/>
                <w:lang w:val="zh-CN"/>
              </w:rPr>
              <w:t>，该引用点位与本项目距离约为</w:t>
            </w:r>
            <w:r>
              <w:rPr>
                <w:rFonts w:hint="eastAsia"/>
                <w:color w:val="auto"/>
                <w:sz w:val="24"/>
                <w:szCs w:val="24"/>
              </w:rPr>
              <w:t>1500</w:t>
            </w:r>
            <w:r>
              <w:rPr>
                <w:color w:val="auto"/>
                <w:sz w:val="24"/>
                <w:szCs w:val="24"/>
                <w:lang w:val="zh-CN"/>
              </w:rPr>
              <w:t>m</w:t>
            </w:r>
            <w:r>
              <w:rPr>
                <w:rFonts w:hint="eastAsia"/>
                <w:color w:val="auto"/>
                <w:sz w:val="24"/>
                <w:szCs w:val="24"/>
              </w:rPr>
              <w:t>，</w:t>
            </w:r>
            <w:r>
              <w:rPr>
                <w:color w:val="auto"/>
                <w:sz w:val="24"/>
                <w:szCs w:val="24"/>
                <w:lang w:val="zh-CN"/>
              </w:rPr>
              <w:t>具体监测结果见表3-</w:t>
            </w:r>
            <w:r>
              <w:rPr>
                <w:rFonts w:hint="eastAsia"/>
                <w:color w:val="auto"/>
                <w:sz w:val="24"/>
                <w:szCs w:val="24"/>
              </w:rPr>
              <w:t>4</w:t>
            </w:r>
            <w:r>
              <w:rPr>
                <w:color w:val="auto"/>
                <w:sz w:val="24"/>
                <w:szCs w:val="24"/>
                <w:lang w:val="zh-CN"/>
              </w:rPr>
              <w:t>。</w:t>
            </w:r>
          </w:p>
          <w:p w14:paraId="191792A7">
            <w:pPr>
              <w:pStyle w:val="3"/>
              <w:spacing w:line="360" w:lineRule="auto"/>
              <w:ind w:firstLine="480" w:firstLineChars="200"/>
              <w:outlineLvl w:val="2"/>
              <w:rPr>
                <w:color w:val="auto"/>
                <w:sz w:val="24"/>
                <w:szCs w:val="24"/>
                <w:lang w:val="zh-CN"/>
              </w:rPr>
            </w:pPr>
            <w:r>
              <w:rPr>
                <w:color w:val="auto"/>
                <w:sz w:val="24"/>
                <w:szCs w:val="24"/>
                <w:lang w:val="zh-CN"/>
              </w:rPr>
              <w:t>引用数据有效性分析：根据《建设项目环境影响报告表编制技术指南》（污染影响类）（试行）可知，排放国家、地方环境空气质量标准中有标准限值要求的特征污染物时，引用建设项目周边5千米范围内近3年的现有监测数据，本次选取点位位于本项目</w:t>
            </w:r>
            <w:r>
              <w:rPr>
                <w:rFonts w:hint="eastAsia"/>
                <w:color w:val="auto"/>
                <w:sz w:val="24"/>
                <w:szCs w:val="24"/>
              </w:rPr>
              <w:t>西北</w:t>
            </w:r>
            <w:r>
              <w:rPr>
                <w:color w:val="auto"/>
                <w:sz w:val="24"/>
                <w:szCs w:val="24"/>
                <w:lang w:val="zh-CN"/>
              </w:rPr>
              <w:t>侧</w:t>
            </w:r>
            <w:r>
              <w:rPr>
                <w:rFonts w:hint="eastAsia"/>
                <w:color w:val="auto"/>
                <w:sz w:val="24"/>
                <w:szCs w:val="24"/>
              </w:rPr>
              <w:t>1500</w:t>
            </w:r>
            <w:r>
              <w:rPr>
                <w:color w:val="auto"/>
                <w:sz w:val="24"/>
                <w:szCs w:val="24"/>
                <w:lang w:val="zh-CN"/>
              </w:rPr>
              <w:t>米且均为3年内监测数据，符合点位选择要求。</w:t>
            </w:r>
          </w:p>
          <w:p w14:paraId="49E22ED8">
            <w:pPr>
              <w:pStyle w:val="3"/>
              <w:spacing w:line="240" w:lineRule="auto"/>
              <w:jc w:val="center"/>
              <w:outlineLvl w:val="2"/>
              <w:rPr>
                <w:b/>
                <w:color w:val="auto"/>
                <w:sz w:val="24"/>
                <w:szCs w:val="24"/>
              </w:rPr>
            </w:pPr>
            <w:r>
              <w:rPr>
                <w:rFonts w:hint="eastAsia"/>
                <w:b/>
                <w:color w:val="auto"/>
                <w:kern w:val="2"/>
                <w:sz w:val="24"/>
              </w:rPr>
              <w:t>表3-3大气环境质量引用（监测）点位布置</w:t>
            </w:r>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195"/>
              <w:gridCol w:w="1172"/>
              <w:gridCol w:w="1628"/>
              <w:gridCol w:w="2082"/>
              <w:gridCol w:w="2248"/>
            </w:tblGrid>
            <w:tr w14:paraId="0B82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47" w:type="dxa"/>
                  <w:vAlign w:val="center"/>
                </w:tcPr>
                <w:p w14:paraId="6520BE03">
                  <w:pPr>
                    <w:jc w:val="center"/>
                    <w:rPr>
                      <w:rFonts w:ascii="宋体" w:hAnsi="宋体"/>
                      <w:b/>
                      <w:color w:val="auto"/>
                    </w:rPr>
                  </w:pPr>
                  <w:r>
                    <w:rPr>
                      <w:rFonts w:ascii="宋体" w:hAnsi="宋体"/>
                      <w:b/>
                      <w:color w:val="auto"/>
                    </w:rPr>
                    <w:t>序号</w:t>
                  </w:r>
                </w:p>
              </w:tc>
              <w:tc>
                <w:tcPr>
                  <w:tcW w:w="1195" w:type="dxa"/>
                  <w:vAlign w:val="center"/>
                </w:tcPr>
                <w:p w14:paraId="2C527015">
                  <w:pPr>
                    <w:jc w:val="center"/>
                    <w:rPr>
                      <w:rFonts w:ascii="宋体" w:hAnsi="宋体"/>
                      <w:b/>
                      <w:color w:val="auto"/>
                    </w:rPr>
                  </w:pPr>
                  <w:r>
                    <w:rPr>
                      <w:rFonts w:hint="eastAsia" w:ascii="宋体" w:hAnsi="宋体"/>
                      <w:b/>
                      <w:color w:val="auto"/>
                    </w:rPr>
                    <w:t>监测</w:t>
                  </w:r>
                  <w:r>
                    <w:rPr>
                      <w:rFonts w:ascii="宋体" w:hAnsi="宋体"/>
                      <w:b/>
                      <w:color w:val="auto"/>
                    </w:rPr>
                    <w:t>点位</w:t>
                  </w:r>
                </w:p>
              </w:tc>
              <w:tc>
                <w:tcPr>
                  <w:tcW w:w="1172" w:type="dxa"/>
                  <w:vAlign w:val="center"/>
                </w:tcPr>
                <w:p w14:paraId="29E799AE">
                  <w:pPr>
                    <w:jc w:val="center"/>
                    <w:rPr>
                      <w:rFonts w:ascii="宋体" w:hAnsi="宋体"/>
                      <w:b/>
                      <w:color w:val="auto"/>
                    </w:rPr>
                  </w:pPr>
                  <w:r>
                    <w:rPr>
                      <w:rFonts w:ascii="宋体" w:hAnsi="宋体"/>
                      <w:b/>
                      <w:color w:val="auto"/>
                    </w:rPr>
                    <w:t>相对方位</w:t>
                  </w:r>
                </w:p>
              </w:tc>
              <w:tc>
                <w:tcPr>
                  <w:tcW w:w="1628" w:type="dxa"/>
                  <w:vAlign w:val="center"/>
                </w:tcPr>
                <w:p w14:paraId="0B1E1454">
                  <w:pPr>
                    <w:jc w:val="center"/>
                    <w:rPr>
                      <w:rFonts w:ascii="宋体" w:hAnsi="宋体"/>
                      <w:b/>
                      <w:color w:val="auto"/>
                    </w:rPr>
                  </w:pPr>
                  <w:r>
                    <w:rPr>
                      <w:rFonts w:ascii="宋体" w:hAnsi="宋体"/>
                      <w:b/>
                      <w:color w:val="auto"/>
                    </w:rPr>
                    <w:t>直线距离</w:t>
                  </w:r>
                </w:p>
              </w:tc>
              <w:tc>
                <w:tcPr>
                  <w:tcW w:w="2082" w:type="dxa"/>
                  <w:vAlign w:val="center"/>
                </w:tcPr>
                <w:p w14:paraId="3FB9DC74">
                  <w:pPr>
                    <w:jc w:val="center"/>
                    <w:rPr>
                      <w:rFonts w:ascii="宋体" w:hAnsi="宋体"/>
                      <w:b/>
                      <w:color w:val="auto"/>
                    </w:rPr>
                  </w:pPr>
                  <w:r>
                    <w:rPr>
                      <w:rFonts w:ascii="宋体" w:hAnsi="宋体"/>
                      <w:b/>
                      <w:color w:val="auto"/>
                    </w:rPr>
                    <w:t>引用</w:t>
                  </w:r>
                  <w:r>
                    <w:rPr>
                      <w:rFonts w:hint="eastAsia" w:ascii="宋体" w:hAnsi="宋体"/>
                      <w:b/>
                      <w:color w:val="auto"/>
                    </w:rPr>
                    <w:t>(监测)</w:t>
                  </w:r>
                  <w:r>
                    <w:rPr>
                      <w:rFonts w:ascii="宋体" w:hAnsi="宋体"/>
                      <w:b/>
                      <w:color w:val="auto"/>
                    </w:rPr>
                    <w:t>项目</w:t>
                  </w:r>
                </w:p>
              </w:tc>
              <w:tc>
                <w:tcPr>
                  <w:tcW w:w="2248" w:type="dxa"/>
                  <w:vAlign w:val="center"/>
                </w:tcPr>
                <w:p w14:paraId="3D16088F">
                  <w:pPr>
                    <w:jc w:val="center"/>
                    <w:rPr>
                      <w:rFonts w:ascii="宋体" w:hAnsi="宋体"/>
                      <w:b/>
                      <w:color w:val="auto"/>
                    </w:rPr>
                  </w:pPr>
                  <w:r>
                    <w:rPr>
                      <w:rFonts w:ascii="宋体" w:hAnsi="宋体"/>
                      <w:b/>
                      <w:color w:val="auto"/>
                    </w:rPr>
                    <w:t>所在环境功能区</w:t>
                  </w:r>
                </w:p>
              </w:tc>
            </w:tr>
            <w:tr w14:paraId="46BC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47" w:type="dxa"/>
                  <w:vAlign w:val="center"/>
                </w:tcPr>
                <w:p w14:paraId="5552DB4E">
                  <w:pPr>
                    <w:jc w:val="center"/>
                    <w:rPr>
                      <w:color w:val="auto"/>
                    </w:rPr>
                  </w:pPr>
                  <w:r>
                    <w:rPr>
                      <w:color w:val="auto"/>
                    </w:rPr>
                    <w:t>G</w:t>
                  </w:r>
                  <w:r>
                    <w:rPr>
                      <w:rFonts w:hint="eastAsia"/>
                      <w:color w:val="auto"/>
                    </w:rPr>
                    <w:t>1</w:t>
                  </w:r>
                </w:p>
              </w:tc>
              <w:tc>
                <w:tcPr>
                  <w:tcW w:w="1195" w:type="dxa"/>
                  <w:vAlign w:val="center"/>
                </w:tcPr>
                <w:p w14:paraId="5D60197A">
                  <w:pPr>
                    <w:jc w:val="center"/>
                    <w:rPr>
                      <w:color w:val="auto"/>
                    </w:rPr>
                  </w:pPr>
                  <w:r>
                    <w:rPr>
                      <w:rFonts w:hint="eastAsia"/>
                      <w:color w:val="auto"/>
                    </w:rPr>
                    <w:t>直溪镇人民政府</w:t>
                  </w:r>
                </w:p>
              </w:tc>
              <w:tc>
                <w:tcPr>
                  <w:tcW w:w="1172" w:type="dxa"/>
                  <w:vAlign w:val="center"/>
                </w:tcPr>
                <w:p w14:paraId="008E7129">
                  <w:pPr>
                    <w:jc w:val="center"/>
                    <w:rPr>
                      <w:color w:val="auto"/>
                    </w:rPr>
                  </w:pPr>
                  <w:r>
                    <w:rPr>
                      <w:rFonts w:hint="eastAsia"/>
                      <w:color w:val="auto"/>
                    </w:rPr>
                    <w:t>NW</w:t>
                  </w:r>
                </w:p>
              </w:tc>
              <w:tc>
                <w:tcPr>
                  <w:tcW w:w="1628" w:type="dxa"/>
                  <w:vAlign w:val="center"/>
                </w:tcPr>
                <w:p w14:paraId="5BA69B24">
                  <w:pPr>
                    <w:jc w:val="center"/>
                    <w:rPr>
                      <w:color w:val="auto"/>
                    </w:rPr>
                  </w:pPr>
                  <w:r>
                    <w:rPr>
                      <w:rFonts w:hint="eastAsia"/>
                      <w:color w:val="auto"/>
                    </w:rPr>
                    <w:t>1500</w:t>
                  </w:r>
                  <w:r>
                    <w:rPr>
                      <w:color w:val="auto"/>
                    </w:rPr>
                    <w:t>m</w:t>
                  </w:r>
                </w:p>
              </w:tc>
              <w:tc>
                <w:tcPr>
                  <w:tcW w:w="2082" w:type="dxa"/>
                  <w:vAlign w:val="center"/>
                </w:tcPr>
                <w:p w14:paraId="6D35E84B">
                  <w:pPr>
                    <w:jc w:val="center"/>
                    <w:rPr>
                      <w:color w:val="auto"/>
                    </w:rPr>
                  </w:pPr>
                  <w:r>
                    <w:rPr>
                      <w:color w:val="auto"/>
                    </w:rPr>
                    <w:t>非甲烷总烃</w:t>
                  </w:r>
                </w:p>
              </w:tc>
              <w:tc>
                <w:tcPr>
                  <w:tcW w:w="2248" w:type="dxa"/>
                  <w:vAlign w:val="center"/>
                </w:tcPr>
                <w:p w14:paraId="681D9535">
                  <w:pPr>
                    <w:jc w:val="center"/>
                    <w:rPr>
                      <w:color w:val="auto"/>
                    </w:rPr>
                  </w:pPr>
                  <w:r>
                    <w:rPr>
                      <w:rFonts w:hint="eastAsia"/>
                      <w:color w:val="auto"/>
                    </w:rPr>
                    <w:t>二类区</w:t>
                  </w:r>
                </w:p>
              </w:tc>
            </w:tr>
          </w:tbl>
          <w:p w14:paraId="2619976E">
            <w:pPr>
              <w:pStyle w:val="3"/>
              <w:jc w:val="center"/>
              <w:outlineLvl w:val="2"/>
              <w:rPr>
                <w:rFonts w:hAnsi="宋体"/>
                <w:b/>
                <w:color w:val="auto"/>
                <w:sz w:val="24"/>
                <w:szCs w:val="24"/>
              </w:rPr>
            </w:pPr>
          </w:p>
          <w:p w14:paraId="3C2A1EDB">
            <w:pPr>
              <w:pStyle w:val="3"/>
              <w:spacing w:line="240" w:lineRule="auto"/>
              <w:jc w:val="center"/>
              <w:outlineLvl w:val="2"/>
              <w:rPr>
                <w:rFonts w:hint="eastAsia" w:hAnsi="宋体"/>
                <w:b/>
                <w:color w:val="auto"/>
                <w:sz w:val="24"/>
                <w:szCs w:val="24"/>
              </w:rPr>
            </w:pPr>
          </w:p>
          <w:p w14:paraId="7E1F586C">
            <w:pPr>
              <w:pStyle w:val="3"/>
              <w:spacing w:line="240" w:lineRule="auto"/>
              <w:jc w:val="center"/>
              <w:outlineLvl w:val="2"/>
              <w:rPr>
                <w:rFonts w:hint="eastAsia" w:hAnsi="宋体"/>
                <w:b/>
                <w:color w:val="auto"/>
                <w:sz w:val="24"/>
                <w:szCs w:val="24"/>
              </w:rPr>
            </w:pPr>
          </w:p>
          <w:p w14:paraId="1D1129F5">
            <w:pPr>
              <w:pStyle w:val="3"/>
              <w:spacing w:line="240" w:lineRule="auto"/>
              <w:jc w:val="center"/>
              <w:outlineLvl w:val="2"/>
              <w:rPr>
                <w:b/>
                <w:color w:val="auto"/>
                <w:sz w:val="24"/>
                <w:szCs w:val="24"/>
              </w:rPr>
            </w:pPr>
            <w:r>
              <w:rPr>
                <w:rFonts w:hint="eastAsia" w:hAnsi="宋体"/>
                <w:b/>
                <w:color w:val="auto"/>
                <w:sz w:val="24"/>
                <w:szCs w:val="24"/>
              </w:rPr>
              <w:t xml:space="preserve">表3-4  </w:t>
            </w:r>
            <w:r>
              <w:rPr>
                <w:rFonts w:hAnsi="宋体"/>
                <w:b/>
                <w:color w:val="auto"/>
                <w:sz w:val="24"/>
                <w:szCs w:val="24"/>
              </w:rPr>
              <w:t>监测结果汇总表mg/m</w:t>
            </w:r>
            <w:r>
              <w:rPr>
                <w:rFonts w:hAnsi="宋体"/>
                <w:b/>
                <w:color w:val="auto"/>
                <w:sz w:val="24"/>
                <w:szCs w:val="24"/>
                <w:vertAlign w:val="superscript"/>
              </w:rPr>
              <w:t>3</w:t>
            </w:r>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2"/>
              <w:gridCol w:w="971"/>
              <w:gridCol w:w="1192"/>
              <w:gridCol w:w="1311"/>
              <w:gridCol w:w="738"/>
              <w:gridCol w:w="932"/>
              <w:gridCol w:w="1365"/>
              <w:gridCol w:w="753"/>
              <w:gridCol w:w="1218"/>
            </w:tblGrid>
            <w:tr w14:paraId="012A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9" w:hRule="atLeast"/>
                <w:jc w:val="center"/>
              </w:trPr>
              <w:tc>
                <w:tcPr>
                  <w:tcW w:w="592" w:type="dxa"/>
                  <w:vMerge w:val="restart"/>
                  <w:vAlign w:val="center"/>
                </w:tcPr>
                <w:p w14:paraId="747B7122">
                  <w:pPr>
                    <w:jc w:val="center"/>
                    <w:rPr>
                      <w:b/>
                      <w:color w:val="auto"/>
                    </w:rPr>
                  </w:pPr>
                  <w:r>
                    <w:rPr>
                      <w:b/>
                      <w:color w:val="auto"/>
                    </w:rPr>
                    <w:t>点位</w:t>
                  </w:r>
                </w:p>
                <w:p w14:paraId="7A055AA3">
                  <w:pPr>
                    <w:jc w:val="center"/>
                    <w:rPr>
                      <w:b/>
                      <w:color w:val="auto"/>
                    </w:rPr>
                  </w:pPr>
                  <w:r>
                    <w:rPr>
                      <w:b/>
                      <w:color w:val="auto"/>
                    </w:rPr>
                    <w:t>编号</w:t>
                  </w:r>
                </w:p>
              </w:tc>
              <w:tc>
                <w:tcPr>
                  <w:tcW w:w="971" w:type="dxa"/>
                  <w:vMerge w:val="restart"/>
                  <w:vAlign w:val="center"/>
                </w:tcPr>
                <w:p w14:paraId="5FFF1B36">
                  <w:pPr>
                    <w:jc w:val="center"/>
                    <w:rPr>
                      <w:b/>
                      <w:color w:val="auto"/>
                    </w:rPr>
                  </w:pPr>
                  <w:r>
                    <w:rPr>
                      <w:b/>
                      <w:color w:val="auto"/>
                    </w:rPr>
                    <w:t>点位</w:t>
                  </w:r>
                </w:p>
                <w:p w14:paraId="3D287222">
                  <w:pPr>
                    <w:jc w:val="center"/>
                    <w:rPr>
                      <w:b/>
                      <w:color w:val="auto"/>
                    </w:rPr>
                  </w:pPr>
                  <w:r>
                    <w:rPr>
                      <w:b/>
                      <w:color w:val="auto"/>
                    </w:rPr>
                    <w:t>名称</w:t>
                  </w:r>
                </w:p>
              </w:tc>
              <w:tc>
                <w:tcPr>
                  <w:tcW w:w="1192" w:type="dxa"/>
                  <w:vMerge w:val="restart"/>
                  <w:vAlign w:val="center"/>
                </w:tcPr>
                <w:p w14:paraId="6977030C">
                  <w:pPr>
                    <w:adjustRightInd w:val="0"/>
                    <w:jc w:val="center"/>
                    <w:rPr>
                      <w:b/>
                      <w:color w:val="auto"/>
                    </w:rPr>
                  </w:pPr>
                  <w:r>
                    <w:rPr>
                      <w:b/>
                      <w:color w:val="auto"/>
                    </w:rPr>
                    <w:t>污染物</w:t>
                  </w:r>
                </w:p>
                <w:p w14:paraId="7F466DF3">
                  <w:pPr>
                    <w:adjustRightInd w:val="0"/>
                    <w:jc w:val="center"/>
                    <w:rPr>
                      <w:b/>
                      <w:color w:val="auto"/>
                    </w:rPr>
                  </w:pPr>
                  <w:r>
                    <w:rPr>
                      <w:b/>
                      <w:color w:val="auto"/>
                    </w:rPr>
                    <w:t>名称</w:t>
                  </w:r>
                </w:p>
              </w:tc>
              <w:tc>
                <w:tcPr>
                  <w:tcW w:w="2981" w:type="dxa"/>
                  <w:gridSpan w:val="3"/>
                  <w:vAlign w:val="center"/>
                </w:tcPr>
                <w:p w14:paraId="11EAE862">
                  <w:pPr>
                    <w:adjustRightInd w:val="0"/>
                    <w:jc w:val="center"/>
                    <w:rPr>
                      <w:b/>
                      <w:color w:val="auto"/>
                    </w:rPr>
                  </w:pPr>
                  <w:r>
                    <w:rPr>
                      <w:b/>
                      <w:color w:val="auto"/>
                    </w:rPr>
                    <w:t>小时浓度</w:t>
                  </w:r>
                </w:p>
              </w:tc>
              <w:tc>
                <w:tcPr>
                  <w:tcW w:w="3336" w:type="dxa"/>
                  <w:gridSpan w:val="3"/>
                  <w:vAlign w:val="center"/>
                </w:tcPr>
                <w:p w14:paraId="5A9BFD2C">
                  <w:pPr>
                    <w:adjustRightInd w:val="0"/>
                    <w:jc w:val="center"/>
                    <w:rPr>
                      <w:b/>
                      <w:color w:val="auto"/>
                    </w:rPr>
                  </w:pPr>
                  <w:r>
                    <w:rPr>
                      <w:b/>
                      <w:color w:val="auto"/>
                    </w:rPr>
                    <w:t>日均浓度</w:t>
                  </w:r>
                </w:p>
              </w:tc>
            </w:tr>
            <w:tr w14:paraId="32AC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9" w:hRule="atLeast"/>
                <w:jc w:val="center"/>
              </w:trPr>
              <w:tc>
                <w:tcPr>
                  <w:tcW w:w="592" w:type="dxa"/>
                  <w:vMerge w:val="continue"/>
                  <w:vAlign w:val="center"/>
                </w:tcPr>
                <w:p w14:paraId="6E85033F">
                  <w:pPr>
                    <w:adjustRightInd w:val="0"/>
                    <w:jc w:val="center"/>
                    <w:rPr>
                      <w:b/>
                      <w:color w:val="auto"/>
                    </w:rPr>
                  </w:pPr>
                </w:p>
              </w:tc>
              <w:tc>
                <w:tcPr>
                  <w:tcW w:w="971" w:type="dxa"/>
                  <w:vMerge w:val="continue"/>
                  <w:vAlign w:val="center"/>
                </w:tcPr>
                <w:p w14:paraId="165DD18C">
                  <w:pPr>
                    <w:adjustRightInd w:val="0"/>
                    <w:jc w:val="center"/>
                    <w:rPr>
                      <w:b/>
                      <w:color w:val="auto"/>
                    </w:rPr>
                  </w:pPr>
                </w:p>
              </w:tc>
              <w:tc>
                <w:tcPr>
                  <w:tcW w:w="1192" w:type="dxa"/>
                  <w:vMerge w:val="continue"/>
                  <w:vAlign w:val="center"/>
                </w:tcPr>
                <w:p w14:paraId="0BE05338">
                  <w:pPr>
                    <w:adjustRightInd w:val="0"/>
                    <w:jc w:val="center"/>
                    <w:rPr>
                      <w:b/>
                      <w:color w:val="auto"/>
                    </w:rPr>
                  </w:pPr>
                </w:p>
              </w:tc>
              <w:tc>
                <w:tcPr>
                  <w:tcW w:w="1311" w:type="dxa"/>
                  <w:vAlign w:val="center"/>
                </w:tcPr>
                <w:p w14:paraId="4DBEB65D">
                  <w:pPr>
                    <w:adjustRightInd w:val="0"/>
                    <w:jc w:val="center"/>
                    <w:rPr>
                      <w:b/>
                      <w:color w:val="auto"/>
                    </w:rPr>
                  </w:pPr>
                  <w:r>
                    <w:rPr>
                      <w:b/>
                      <w:color w:val="auto"/>
                    </w:rPr>
                    <w:t>监测浓度的范围/(mg/m</w:t>
                  </w:r>
                  <w:r>
                    <w:rPr>
                      <w:b/>
                      <w:color w:val="auto"/>
                      <w:vertAlign w:val="superscript"/>
                    </w:rPr>
                    <w:t>3</w:t>
                  </w:r>
                  <w:r>
                    <w:rPr>
                      <w:b/>
                      <w:color w:val="auto"/>
                    </w:rPr>
                    <w:t>)</w:t>
                  </w:r>
                </w:p>
              </w:tc>
              <w:tc>
                <w:tcPr>
                  <w:tcW w:w="738" w:type="dxa"/>
                  <w:vAlign w:val="center"/>
                </w:tcPr>
                <w:p w14:paraId="12CCC1C6">
                  <w:pPr>
                    <w:adjustRightInd w:val="0"/>
                    <w:jc w:val="center"/>
                    <w:rPr>
                      <w:b/>
                      <w:color w:val="auto"/>
                    </w:rPr>
                  </w:pPr>
                  <w:r>
                    <w:rPr>
                      <w:b/>
                      <w:color w:val="auto"/>
                    </w:rPr>
                    <w:t>标准</w:t>
                  </w:r>
                </w:p>
              </w:tc>
              <w:tc>
                <w:tcPr>
                  <w:tcW w:w="932" w:type="dxa"/>
                  <w:vAlign w:val="center"/>
                </w:tcPr>
                <w:p w14:paraId="5DBA825A">
                  <w:pPr>
                    <w:adjustRightInd w:val="0"/>
                    <w:jc w:val="center"/>
                    <w:rPr>
                      <w:b/>
                      <w:color w:val="auto"/>
                    </w:rPr>
                  </w:pPr>
                  <w:r>
                    <w:rPr>
                      <w:b/>
                      <w:color w:val="auto"/>
                    </w:rPr>
                    <w:t>超标率</w:t>
                  </w:r>
                </w:p>
              </w:tc>
              <w:tc>
                <w:tcPr>
                  <w:tcW w:w="1365" w:type="dxa"/>
                  <w:vAlign w:val="center"/>
                </w:tcPr>
                <w:p w14:paraId="643E9089">
                  <w:pPr>
                    <w:adjustRightInd w:val="0"/>
                    <w:jc w:val="center"/>
                    <w:rPr>
                      <w:b/>
                      <w:color w:val="auto"/>
                    </w:rPr>
                  </w:pPr>
                  <w:r>
                    <w:rPr>
                      <w:b/>
                      <w:color w:val="auto"/>
                    </w:rPr>
                    <w:t>实测值</w:t>
                  </w:r>
                </w:p>
              </w:tc>
              <w:tc>
                <w:tcPr>
                  <w:tcW w:w="753" w:type="dxa"/>
                  <w:vAlign w:val="center"/>
                </w:tcPr>
                <w:p w14:paraId="54641839">
                  <w:pPr>
                    <w:adjustRightInd w:val="0"/>
                    <w:jc w:val="center"/>
                    <w:rPr>
                      <w:b/>
                      <w:color w:val="auto"/>
                    </w:rPr>
                  </w:pPr>
                  <w:r>
                    <w:rPr>
                      <w:b/>
                      <w:color w:val="auto"/>
                    </w:rPr>
                    <w:t>标准</w:t>
                  </w:r>
                </w:p>
              </w:tc>
              <w:tc>
                <w:tcPr>
                  <w:tcW w:w="1218" w:type="dxa"/>
                  <w:vAlign w:val="center"/>
                </w:tcPr>
                <w:p w14:paraId="0411E770">
                  <w:pPr>
                    <w:adjustRightInd w:val="0"/>
                    <w:jc w:val="center"/>
                    <w:rPr>
                      <w:b/>
                      <w:color w:val="auto"/>
                    </w:rPr>
                  </w:pPr>
                  <w:r>
                    <w:rPr>
                      <w:b/>
                      <w:color w:val="auto"/>
                    </w:rPr>
                    <w:t>超标率</w:t>
                  </w:r>
                </w:p>
              </w:tc>
            </w:tr>
            <w:tr w14:paraId="5E94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9" w:hRule="atLeast"/>
                <w:jc w:val="center"/>
              </w:trPr>
              <w:tc>
                <w:tcPr>
                  <w:tcW w:w="592" w:type="dxa"/>
                  <w:vAlign w:val="center"/>
                </w:tcPr>
                <w:p w14:paraId="65545C29">
                  <w:pPr>
                    <w:adjustRightInd w:val="0"/>
                    <w:jc w:val="center"/>
                    <w:rPr>
                      <w:color w:val="auto"/>
                    </w:rPr>
                  </w:pPr>
                  <w:r>
                    <w:rPr>
                      <w:color w:val="auto"/>
                    </w:rPr>
                    <w:t>G1</w:t>
                  </w:r>
                </w:p>
              </w:tc>
              <w:tc>
                <w:tcPr>
                  <w:tcW w:w="971" w:type="dxa"/>
                  <w:vAlign w:val="center"/>
                </w:tcPr>
                <w:p w14:paraId="0A2F7FDE">
                  <w:pPr>
                    <w:jc w:val="center"/>
                    <w:rPr>
                      <w:color w:val="auto"/>
                    </w:rPr>
                  </w:pPr>
                  <w:r>
                    <w:rPr>
                      <w:rFonts w:hint="eastAsia"/>
                      <w:color w:val="auto"/>
                    </w:rPr>
                    <w:t>直溪镇人民政府</w:t>
                  </w:r>
                </w:p>
              </w:tc>
              <w:tc>
                <w:tcPr>
                  <w:tcW w:w="1192" w:type="dxa"/>
                  <w:vAlign w:val="center"/>
                </w:tcPr>
                <w:p w14:paraId="00198DD7">
                  <w:pPr>
                    <w:jc w:val="center"/>
                    <w:rPr>
                      <w:color w:val="auto"/>
                    </w:rPr>
                  </w:pPr>
                  <w:r>
                    <w:rPr>
                      <w:color w:val="auto"/>
                    </w:rPr>
                    <w:t>非甲烷总烃</w:t>
                  </w:r>
                </w:p>
              </w:tc>
              <w:tc>
                <w:tcPr>
                  <w:tcW w:w="1311" w:type="dxa"/>
                  <w:vAlign w:val="center"/>
                </w:tcPr>
                <w:p w14:paraId="2DCB932E">
                  <w:pPr>
                    <w:jc w:val="center"/>
                    <w:rPr>
                      <w:color w:val="auto"/>
                    </w:rPr>
                  </w:pPr>
                  <w:r>
                    <w:rPr>
                      <w:rFonts w:hint="eastAsia"/>
                      <w:color w:val="auto"/>
                    </w:rPr>
                    <w:t>0.48-0.63</w:t>
                  </w:r>
                </w:p>
              </w:tc>
              <w:tc>
                <w:tcPr>
                  <w:tcW w:w="738" w:type="dxa"/>
                  <w:vAlign w:val="center"/>
                </w:tcPr>
                <w:p w14:paraId="508A450C">
                  <w:pPr>
                    <w:jc w:val="center"/>
                    <w:rPr>
                      <w:color w:val="auto"/>
                    </w:rPr>
                  </w:pPr>
                  <w:r>
                    <w:rPr>
                      <w:rFonts w:hint="eastAsia"/>
                      <w:color w:val="auto"/>
                    </w:rPr>
                    <w:t>2mg</w:t>
                  </w:r>
                  <w:r>
                    <w:rPr>
                      <w:bCs/>
                      <w:color w:val="auto"/>
                    </w:rPr>
                    <w:t>/m</w:t>
                  </w:r>
                  <w:r>
                    <w:rPr>
                      <w:bCs/>
                      <w:color w:val="auto"/>
                      <w:vertAlign w:val="superscript"/>
                    </w:rPr>
                    <w:t>3</w:t>
                  </w:r>
                </w:p>
              </w:tc>
              <w:tc>
                <w:tcPr>
                  <w:tcW w:w="932" w:type="dxa"/>
                  <w:vAlign w:val="center"/>
                </w:tcPr>
                <w:p w14:paraId="7FAE878A">
                  <w:pPr>
                    <w:adjustRightInd w:val="0"/>
                    <w:jc w:val="center"/>
                    <w:rPr>
                      <w:color w:val="auto"/>
                    </w:rPr>
                  </w:pPr>
                  <w:r>
                    <w:rPr>
                      <w:color w:val="auto"/>
                    </w:rPr>
                    <w:t>0</w:t>
                  </w:r>
                  <w:r>
                    <w:rPr>
                      <w:rFonts w:hint="eastAsia"/>
                      <w:color w:val="auto"/>
                    </w:rPr>
                    <w:t>%</w:t>
                  </w:r>
                </w:p>
              </w:tc>
              <w:tc>
                <w:tcPr>
                  <w:tcW w:w="1365" w:type="dxa"/>
                  <w:vAlign w:val="center"/>
                </w:tcPr>
                <w:p w14:paraId="760F19C1">
                  <w:pPr>
                    <w:jc w:val="center"/>
                    <w:rPr>
                      <w:color w:val="auto"/>
                    </w:rPr>
                  </w:pPr>
                  <w:r>
                    <w:rPr>
                      <w:color w:val="auto"/>
                    </w:rPr>
                    <w:t>/</w:t>
                  </w:r>
                </w:p>
              </w:tc>
              <w:tc>
                <w:tcPr>
                  <w:tcW w:w="753" w:type="dxa"/>
                  <w:vAlign w:val="center"/>
                </w:tcPr>
                <w:p w14:paraId="4D432929">
                  <w:pPr>
                    <w:jc w:val="center"/>
                    <w:rPr>
                      <w:color w:val="auto"/>
                    </w:rPr>
                  </w:pPr>
                  <w:r>
                    <w:rPr>
                      <w:color w:val="auto"/>
                    </w:rPr>
                    <w:t>/</w:t>
                  </w:r>
                </w:p>
              </w:tc>
              <w:tc>
                <w:tcPr>
                  <w:tcW w:w="1218" w:type="dxa"/>
                  <w:vAlign w:val="center"/>
                </w:tcPr>
                <w:p w14:paraId="37199096">
                  <w:pPr>
                    <w:jc w:val="center"/>
                    <w:rPr>
                      <w:color w:val="auto"/>
                    </w:rPr>
                  </w:pPr>
                  <w:r>
                    <w:rPr>
                      <w:color w:val="auto"/>
                    </w:rPr>
                    <w:t>/</w:t>
                  </w:r>
                </w:p>
              </w:tc>
            </w:tr>
          </w:tbl>
          <w:p w14:paraId="481EFA38">
            <w:pPr>
              <w:spacing w:line="360" w:lineRule="auto"/>
              <w:ind w:firstLine="480" w:firstLineChars="200"/>
              <w:rPr>
                <w:color w:val="auto"/>
                <w:sz w:val="24"/>
              </w:rPr>
            </w:pPr>
            <w:r>
              <w:rPr>
                <w:color w:val="auto"/>
                <w:sz w:val="24"/>
              </w:rPr>
              <w:t>根据表3-</w:t>
            </w:r>
            <w:r>
              <w:rPr>
                <w:rFonts w:hint="eastAsia"/>
                <w:color w:val="auto"/>
                <w:sz w:val="24"/>
              </w:rPr>
              <w:t>4</w:t>
            </w:r>
            <w:r>
              <w:rPr>
                <w:color w:val="auto"/>
                <w:sz w:val="24"/>
              </w:rPr>
              <w:t>评价结果总汇可以看出，</w:t>
            </w:r>
            <w:r>
              <w:rPr>
                <w:rFonts w:hint="eastAsia"/>
                <w:color w:val="auto"/>
                <w:sz w:val="24"/>
              </w:rPr>
              <w:t>非甲烷总烃未超出</w:t>
            </w:r>
            <w:r>
              <w:rPr>
                <w:color w:val="auto"/>
                <w:sz w:val="24"/>
              </w:rPr>
              <w:t>《大气污染物综合排放标准详解》（国家环境保护局科技标准司）推荐</w:t>
            </w:r>
            <w:r>
              <w:rPr>
                <w:rFonts w:hint="eastAsia"/>
                <w:color w:val="auto"/>
                <w:sz w:val="24"/>
                <w:lang w:val="en-US" w:eastAsia="zh-CN"/>
              </w:rPr>
              <w:t>浓度限</w:t>
            </w:r>
            <w:r>
              <w:rPr>
                <w:color w:val="auto"/>
                <w:sz w:val="24"/>
              </w:rPr>
              <w:t>值</w:t>
            </w:r>
            <w:r>
              <w:rPr>
                <w:rFonts w:hint="eastAsia"/>
                <w:color w:val="auto"/>
                <w:sz w:val="24"/>
              </w:rPr>
              <w:t>。</w:t>
            </w:r>
          </w:p>
          <w:p w14:paraId="45AB08DF">
            <w:pPr>
              <w:spacing w:line="360" w:lineRule="auto"/>
              <w:ind w:firstLine="480" w:firstLineChars="200"/>
              <w:rPr>
                <w:color w:val="auto"/>
                <w:sz w:val="24"/>
              </w:rPr>
            </w:pPr>
            <w:r>
              <w:rPr>
                <w:color w:val="auto"/>
                <w:sz w:val="24"/>
              </w:rPr>
              <w:t>2、声环境质量现状</w:t>
            </w:r>
          </w:p>
          <w:p w14:paraId="1D2BF2E0">
            <w:pPr>
              <w:spacing w:line="360" w:lineRule="auto"/>
              <w:ind w:left="420" w:leftChars="200"/>
              <w:rPr>
                <w:rFonts w:hint="eastAsia"/>
                <w:color w:val="auto"/>
                <w:sz w:val="24"/>
              </w:rPr>
            </w:pPr>
            <w:r>
              <w:rPr>
                <w:rFonts w:hint="eastAsia"/>
                <w:color w:val="auto"/>
                <w:sz w:val="24"/>
              </w:rPr>
              <w:t>厂界外50米范围内无声环境保护目标，无需进行声环境现状调查。</w:t>
            </w:r>
          </w:p>
          <w:p w14:paraId="464FA86B">
            <w:pPr>
              <w:spacing w:line="360" w:lineRule="auto"/>
              <w:ind w:left="420" w:leftChars="200"/>
              <w:rPr>
                <w:color w:val="auto"/>
                <w:sz w:val="24"/>
              </w:rPr>
            </w:pPr>
            <w:r>
              <w:rPr>
                <w:rFonts w:hint="eastAsia"/>
                <w:color w:val="auto"/>
                <w:sz w:val="24"/>
              </w:rPr>
              <w:t>3、</w:t>
            </w:r>
            <w:r>
              <w:rPr>
                <w:color w:val="auto"/>
                <w:sz w:val="24"/>
              </w:rPr>
              <w:t>地表水环境质量</w:t>
            </w:r>
          </w:p>
          <w:p w14:paraId="37121E6A">
            <w:pPr>
              <w:spacing w:line="360" w:lineRule="auto"/>
              <w:ind w:firstLine="480" w:firstLineChars="200"/>
              <w:rPr>
                <w:color w:val="auto"/>
                <w:spacing w:val="-2"/>
                <w:sz w:val="24"/>
              </w:rPr>
            </w:pPr>
            <w:r>
              <w:rPr>
                <w:color w:val="auto"/>
                <w:sz w:val="24"/>
              </w:rPr>
              <w:t>项目所在地属</w:t>
            </w:r>
            <w:r>
              <w:rPr>
                <w:rFonts w:hint="eastAsia"/>
                <w:color w:val="auto"/>
                <w:sz w:val="24"/>
                <w:lang w:eastAsia="zh-CN"/>
              </w:rPr>
              <w:t>常州市金坛区溪城污水处理有限公司直溪污水处理厂</w:t>
            </w:r>
            <w:r>
              <w:rPr>
                <w:color w:val="auto"/>
                <w:sz w:val="24"/>
              </w:rPr>
              <w:t>污水收集系统服务范围内，尾水排放到</w:t>
            </w:r>
            <w:r>
              <w:rPr>
                <w:rFonts w:hint="eastAsia"/>
                <w:color w:val="auto"/>
                <w:sz w:val="24"/>
              </w:rPr>
              <w:t>通济河</w:t>
            </w:r>
            <w:r>
              <w:rPr>
                <w:color w:val="auto"/>
                <w:sz w:val="24"/>
              </w:rPr>
              <w:t>，本次地表水环境质量现状评价引用江苏久诚检验检测有限公司于202</w:t>
            </w:r>
            <w:r>
              <w:rPr>
                <w:rFonts w:hint="eastAsia"/>
                <w:color w:val="auto"/>
                <w:sz w:val="24"/>
              </w:rPr>
              <w:t>4</w:t>
            </w:r>
            <w:r>
              <w:rPr>
                <w:color w:val="auto"/>
                <w:sz w:val="24"/>
              </w:rPr>
              <w:t>年</w:t>
            </w:r>
            <w:r>
              <w:rPr>
                <w:rFonts w:hint="eastAsia"/>
                <w:color w:val="auto"/>
                <w:sz w:val="24"/>
              </w:rPr>
              <w:t>1</w:t>
            </w:r>
            <w:r>
              <w:rPr>
                <w:color w:val="auto"/>
                <w:sz w:val="24"/>
              </w:rPr>
              <w:t>月</w:t>
            </w:r>
            <w:r>
              <w:rPr>
                <w:rFonts w:hint="eastAsia"/>
                <w:color w:val="auto"/>
                <w:sz w:val="24"/>
              </w:rPr>
              <w:t>26</w:t>
            </w:r>
            <w:r>
              <w:rPr>
                <w:color w:val="auto"/>
                <w:sz w:val="24"/>
              </w:rPr>
              <w:t>日～202</w:t>
            </w:r>
            <w:r>
              <w:rPr>
                <w:rFonts w:hint="eastAsia"/>
                <w:color w:val="auto"/>
                <w:sz w:val="24"/>
              </w:rPr>
              <w:t>4</w:t>
            </w:r>
            <w:r>
              <w:rPr>
                <w:color w:val="auto"/>
                <w:sz w:val="24"/>
              </w:rPr>
              <w:t>年</w:t>
            </w:r>
            <w:r>
              <w:rPr>
                <w:rFonts w:hint="eastAsia"/>
                <w:color w:val="auto"/>
                <w:sz w:val="24"/>
              </w:rPr>
              <w:t>1</w:t>
            </w:r>
            <w:r>
              <w:rPr>
                <w:color w:val="auto"/>
                <w:sz w:val="24"/>
              </w:rPr>
              <w:t>月</w:t>
            </w:r>
            <w:r>
              <w:rPr>
                <w:rFonts w:hint="eastAsia"/>
                <w:color w:val="auto"/>
                <w:sz w:val="24"/>
              </w:rPr>
              <w:t>28</w:t>
            </w:r>
            <w:r>
              <w:rPr>
                <w:color w:val="auto"/>
                <w:sz w:val="24"/>
              </w:rPr>
              <w:t>日监测数据，对</w:t>
            </w:r>
            <w:r>
              <w:rPr>
                <w:rFonts w:hint="eastAsia"/>
                <w:color w:val="auto"/>
                <w:sz w:val="24"/>
              </w:rPr>
              <w:t>通济河</w:t>
            </w:r>
            <w:r>
              <w:rPr>
                <w:color w:val="auto"/>
                <w:sz w:val="24"/>
              </w:rPr>
              <w:t>（</w:t>
            </w:r>
            <w:r>
              <w:rPr>
                <w:rFonts w:hint="eastAsia"/>
                <w:color w:val="auto"/>
                <w:sz w:val="24"/>
              </w:rPr>
              <w:t>W1直溪大桥断面、W2亚细路与直溪大道交汇处断面、W3鹤科桥断面、W4熊家河与通济河交汇处下游2000m处断面</w:t>
            </w:r>
            <w:r>
              <w:rPr>
                <w:color w:val="auto"/>
                <w:sz w:val="24"/>
              </w:rPr>
              <w:t>）</w:t>
            </w:r>
            <w:r>
              <w:rPr>
                <w:rFonts w:hint="eastAsia"/>
                <w:color w:val="auto"/>
                <w:sz w:val="24"/>
              </w:rPr>
              <w:t>4</w:t>
            </w:r>
            <w:r>
              <w:rPr>
                <w:color w:val="auto"/>
                <w:sz w:val="24"/>
              </w:rPr>
              <w:t>个</w:t>
            </w:r>
            <w:r>
              <w:rPr>
                <w:color w:val="auto"/>
                <w:spacing w:val="-2"/>
                <w:sz w:val="24"/>
              </w:rPr>
              <w:t>断面，连续3天监测的历史数据，报告编号为：</w:t>
            </w:r>
            <w:r>
              <w:rPr>
                <w:rFonts w:hint="eastAsia" w:eastAsia="仿宋_GB2312"/>
                <w:color w:val="auto"/>
                <w:sz w:val="24"/>
              </w:rPr>
              <w:t>JCH20220361</w:t>
            </w:r>
            <w:r>
              <w:rPr>
                <w:color w:val="auto"/>
                <w:spacing w:val="-2"/>
                <w:sz w:val="24"/>
              </w:rPr>
              <w:t>。</w:t>
            </w:r>
          </w:p>
          <w:p w14:paraId="41F89635">
            <w:pPr>
              <w:spacing w:line="360" w:lineRule="auto"/>
              <w:ind w:firstLine="472" w:firstLineChars="200"/>
              <w:rPr>
                <w:color w:val="auto"/>
                <w:spacing w:val="-2"/>
                <w:sz w:val="24"/>
              </w:rPr>
            </w:pPr>
            <w:r>
              <w:rPr>
                <w:color w:val="auto"/>
                <w:spacing w:val="-2"/>
                <w:sz w:val="24"/>
              </w:rPr>
              <w:t>引用数据有效性分析：</w:t>
            </w:r>
          </w:p>
          <w:p w14:paraId="06F431DC">
            <w:pPr>
              <w:spacing w:line="360" w:lineRule="auto"/>
              <w:ind w:firstLine="472" w:firstLineChars="200"/>
              <w:rPr>
                <w:color w:val="auto"/>
                <w:spacing w:val="-2"/>
                <w:sz w:val="24"/>
              </w:rPr>
            </w:pPr>
            <w:r>
              <w:rPr>
                <w:color w:val="auto"/>
                <w:spacing w:val="-2"/>
                <w:sz w:val="24"/>
              </w:rPr>
              <w:fldChar w:fldCharType="begin"/>
            </w:r>
            <w:r>
              <w:rPr>
                <w:color w:val="auto"/>
                <w:spacing w:val="-2"/>
                <w:sz w:val="24"/>
              </w:rPr>
              <w:instrText xml:space="preserve"> = 1 \* GB3 </w:instrText>
            </w:r>
            <w:r>
              <w:rPr>
                <w:color w:val="auto"/>
                <w:spacing w:val="-2"/>
                <w:sz w:val="24"/>
              </w:rPr>
              <w:fldChar w:fldCharType="separate"/>
            </w:r>
            <w:r>
              <w:rPr>
                <w:rFonts w:hint="eastAsia" w:ascii="宋体" w:hAnsi="宋体" w:cs="宋体"/>
                <w:color w:val="auto"/>
                <w:spacing w:val="-2"/>
                <w:sz w:val="24"/>
              </w:rPr>
              <w:t>①</w:t>
            </w:r>
            <w:r>
              <w:rPr>
                <w:color w:val="auto"/>
                <w:spacing w:val="-2"/>
                <w:sz w:val="24"/>
              </w:rPr>
              <w:fldChar w:fldCharType="end"/>
            </w:r>
            <w:r>
              <w:rPr>
                <w:color w:val="auto"/>
                <w:spacing w:val="-2"/>
                <w:sz w:val="24"/>
              </w:rPr>
              <w:t>本项目引用数据为</w:t>
            </w:r>
            <w:r>
              <w:rPr>
                <w:color w:val="auto"/>
                <w:sz w:val="24"/>
              </w:rPr>
              <w:t>202</w:t>
            </w:r>
            <w:r>
              <w:rPr>
                <w:rFonts w:hint="eastAsia"/>
                <w:color w:val="auto"/>
                <w:sz w:val="24"/>
              </w:rPr>
              <w:t>2</w:t>
            </w:r>
            <w:r>
              <w:rPr>
                <w:color w:val="auto"/>
                <w:sz w:val="24"/>
              </w:rPr>
              <w:t>年</w:t>
            </w:r>
            <w:r>
              <w:rPr>
                <w:rFonts w:hint="eastAsia"/>
                <w:color w:val="auto"/>
                <w:sz w:val="24"/>
              </w:rPr>
              <w:t>5</w:t>
            </w:r>
            <w:r>
              <w:rPr>
                <w:color w:val="auto"/>
                <w:sz w:val="24"/>
              </w:rPr>
              <w:t>月</w:t>
            </w:r>
            <w:r>
              <w:rPr>
                <w:rFonts w:hint="eastAsia"/>
                <w:color w:val="auto"/>
                <w:sz w:val="24"/>
              </w:rPr>
              <w:t>30</w:t>
            </w:r>
            <w:r>
              <w:rPr>
                <w:color w:val="auto"/>
                <w:sz w:val="24"/>
              </w:rPr>
              <w:t>日~20</w:t>
            </w:r>
            <w:r>
              <w:rPr>
                <w:rFonts w:hint="eastAsia"/>
                <w:color w:val="auto"/>
                <w:sz w:val="24"/>
              </w:rPr>
              <w:t>22</w:t>
            </w:r>
            <w:r>
              <w:rPr>
                <w:color w:val="auto"/>
                <w:sz w:val="24"/>
              </w:rPr>
              <w:t>年</w:t>
            </w:r>
            <w:r>
              <w:rPr>
                <w:rFonts w:hint="eastAsia"/>
                <w:color w:val="auto"/>
                <w:sz w:val="24"/>
              </w:rPr>
              <w:t>6</w:t>
            </w:r>
            <w:r>
              <w:rPr>
                <w:color w:val="auto"/>
                <w:sz w:val="24"/>
              </w:rPr>
              <w:t>月</w:t>
            </w:r>
            <w:r>
              <w:rPr>
                <w:rFonts w:hint="eastAsia"/>
                <w:color w:val="auto"/>
                <w:sz w:val="24"/>
              </w:rPr>
              <w:t>1</w:t>
            </w:r>
            <w:r>
              <w:rPr>
                <w:color w:val="auto"/>
                <w:sz w:val="24"/>
              </w:rPr>
              <w:t>日</w:t>
            </w:r>
            <w:r>
              <w:rPr>
                <w:color w:val="auto"/>
                <w:spacing w:val="-2"/>
                <w:sz w:val="24"/>
              </w:rPr>
              <w:t>地表水质量现状的监测数据，引用时间不超过3年，则地表水引用时间有效；</w:t>
            </w:r>
          </w:p>
          <w:p w14:paraId="122A6079">
            <w:pPr>
              <w:spacing w:line="360" w:lineRule="auto"/>
              <w:ind w:firstLine="472" w:firstLineChars="200"/>
              <w:rPr>
                <w:color w:val="auto"/>
                <w:spacing w:val="-2"/>
                <w:sz w:val="24"/>
              </w:rPr>
            </w:pPr>
            <w:r>
              <w:rPr>
                <w:rFonts w:hint="eastAsia" w:ascii="宋体" w:hAnsi="宋体" w:cs="宋体"/>
                <w:color w:val="auto"/>
                <w:spacing w:val="-2"/>
                <w:sz w:val="24"/>
              </w:rPr>
              <w:t>②</w:t>
            </w:r>
            <w:r>
              <w:rPr>
                <w:color w:val="auto"/>
                <w:spacing w:val="-2"/>
                <w:sz w:val="24"/>
              </w:rPr>
              <w:t>项目所在区域内污染源未发生重大变化，则地表水引用数据有效；</w:t>
            </w:r>
          </w:p>
          <w:p w14:paraId="4A448243">
            <w:pPr>
              <w:spacing w:line="360" w:lineRule="auto"/>
              <w:ind w:firstLine="472" w:firstLineChars="200"/>
              <w:rPr>
                <w:color w:val="auto"/>
                <w:spacing w:val="-2"/>
                <w:sz w:val="24"/>
              </w:rPr>
            </w:pPr>
            <w:r>
              <w:rPr>
                <w:rFonts w:hint="eastAsia" w:ascii="宋体" w:hAnsi="宋体" w:cs="宋体"/>
                <w:color w:val="auto"/>
                <w:spacing w:val="-2"/>
                <w:sz w:val="24"/>
              </w:rPr>
              <w:t>③</w:t>
            </w:r>
            <w:r>
              <w:rPr>
                <w:color w:val="auto"/>
                <w:spacing w:val="-2"/>
                <w:sz w:val="24"/>
              </w:rPr>
              <w:t>引用点位在项目相关评价范围内，则地表水引用点位有效。</w:t>
            </w:r>
          </w:p>
          <w:p w14:paraId="07194472">
            <w:pPr>
              <w:spacing w:line="360" w:lineRule="auto"/>
              <w:ind w:firstLine="480" w:firstLineChars="200"/>
              <w:rPr>
                <w:b/>
                <w:bCs/>
                <w:color w:val="auto"/>
                <w:sz w:val="24"/>
                <w:szCs w:val="24"/>
              </w:rPr>
            </w:pPr>
            <w:r>
              <w:rPr>
                <w:color w:val="auto"/>
                <w:sz w:val="24"/>
              </w:rPr>
              <w:t>各监测因子现状监测结果见表3-</w:t>
            </w:r>
            <w:r>
              <w:rPr>
                <w:rFonts w:hint="eastAsia"/>
                <w:color w:val="auto"/>
                <w:sz w:val="24"/>
              </w:rPr>
              <w:t>5。</w:t>
            </w:r>
          </w:p>
          <w:p w14:paraId="72050525">
            <w:pPr>
              <w:jc w:val="center"/>
              <w:rPr>
                <w:color w:val="auto"/>
              </w:rPr>
            </w:pPr>
            <w:r>
              <w:rPr>
                <w:rFonts w:hint="eastAsia"/>
                <w:b/>
                <w:bCs/>
                <w:color w:val="auto"/>
                <w:sz w:val="24"/>
                <w:szCs w:val="24"/>
              </w:rPr>
              <w:t>表3-5</w:t>
            </w:r>
            <w:r>
              <w:rPr>
                <w:rFonts w:hint="eastAsia"/>
                <w:b/>
                <w:bCs/>
                <w:color w:val="auto"/>
                <w:sz w:val="24"/>
                <w:szCs w:val="24"/>
                <w:lang w:val="en-US" w:eastAsia="zh-CN"/>
              </w:rPr>
              <w:t xml:space="preserve">  </w:t>
            </w:r>
            <w:r>
              <w:rPr>
                <w:rFonts w:hint="eastAsia"/>
                <w:b/>
                <w:bCs/>
                <w:color w:val="auto"/>
                <w:sz w:val="24"/>
                <w:szCs w:val="24"/>
              </w:rPr>
              <w:t>水质监测结果</w:t>
            </w:r>
          </w:p>
          <w:tbl>
            <w:tblPr>
              <w:tblStyle w:val="22"/>
              <w:tblW w:w="884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68" w:type="dxa"/>
                <w:bottom w:w="0" w:type="dxa"/>
                <w:right w:w="68" w:type="dxa"/>
              </w:tblCellMar>
            </w:tblPr>
            <w:tblGrid>
              <w:gridCol w:w="794"/>
              <w:gridCol w:w="2321"/>
              <w:gridCol w:w="1696"/>
              <w:gridCol w:w="906"/>
              <w:gridCol w:w="941"/>
              <w:gridCol w:w="1092"/>
              <w:gridCol w:w="1094"/>
            </w:tblGrid>
            <w:tr w14:paraId="2C3923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454" w:hRule="atLeast"/>
                <w:tblHeader/>
                <w:jc w:val="center"/>
              </w:trPr>
              <w:tc>
                <w:tcPr>
                  <w:tcW w:w="725" w:type="dxa"/>
                  <w:vAlign w:val="center"/>
                </w:tcPr>
                <w:p w14:paraId="6BE7C94F">
                  <w:pPr>
                    <w:spacing w:line="0" w:lineRule="atLeast"/>
                    <w:jc w:val="center"/>
                    <w:rPr>
                      <w:b/>
                      <w:bCs/>
                      <w:color w:val="auto"/>
                    </w:rPr>
                  </w:pPr>
                  <w:r>
                    <w:rPr>
                      <w:b/>
                      <w:bCs/>
                      <w:color w:val="auto"/>
                    </w:rPr>
                    <w:t>河流</w:t>
                  </w:r>
                </w:p>
                <w:p w14:paraId="3281958C">
                  <w:pPr>
                    <w:spacing w:line="0" w:lineRule="atLeast"/>
                    <w:jc w:val="center"/>
                    <w:rPr>
                      <w:b/>
                      <w:bCs/>
                      <w:color w:val="auto"/>
                    </w:rPr>
                  </w:pPr>
                  <w:r>
                    <w:rPr>
                      <w:b/>
                      <w:bCs/>
                      <w:color w:val="auto"/>
                    </w:rPr>
                    <w:t>名称</w:t>
                  </w:r>
                </w:p>
              </w:tc>
              <w:tc>
                <w:tcPr>
                  <w:tcW w:w="2119" w:type="dxa"/>
                  <w:vAlign w:val="center"/>
                </w:tcPr>
                <w:p w14:paraId="70FC8BA8">
                  <w:pPr>
                    <w:spacing w:line="0" w:lineRule="atLeast"/>
                    <w:jc w:val="center"/>
                    <w:rPr>
                      <w:b/>
                      <w:bCs/>
                      <w:color w:val="auto"/>
                    </w:rPr>
                  </w:pPr>
                  <w:r>
                    <w:rPr>
                      <w:b/>
                      <w:bCs/>
                      <w:color w:val="auto"/>
                    </w:rPr>
                    <w:t>断面</w:t>
                  </w:r>
                </w:p>
              </w:tc>
              <w:tc>
                <w:tcPr>
                  <w:tcW w:w="1548" w:type="dxa"/>
                  <w:vAlign w:val="center"/>
                </w:tcPr>
                <w:p w14:paraId="643F99C0">
                  <w:pPr>
                    <w:spacing w:line="0" w:lineRule="atLeast"/>
                    <w:jc w:val="center"/>
                    <w:rPr>
                      <w:b/>
                      <w:bCs/>
                      <w:color w:val="auto"/>
                    </w:rPr>
                  </w:pPr>
                  <w:r>
                    <w:rPr>
                      <w:b/>
                      <w:bCs/>
                      <w:color w:val="auto"/>
                    </w:rPr>
                    <w:t>监测项目</w:t>
                  </w:r>
                </w:p>
              </w:tc>
              <w:tc>
                <w:tcPr>
                  <w:tcW w:w="827" w:type="dxa"/>
                  <w:vAlign w:val="center"/>
                </w:tcPr>
                <w:p w14:paraId="603EDB63">
                  <w:pPr>
                    <w:spacing w:line="0" w:lineRule="atLeast"/>
                    <w:jc w:val="center"/>
                    <w:rPr>
                      <w:b/>
                      <w:bCs/>
                      <w:color w:val="auto"/>
                    </w:rPr>
                  </w:pPr>
                  <w:r>
                    <w:rPr>
                      <w:b/>
                      <w:bCs/>
                      <w:color w:val="auto"/>
                    </w:rPr>
                    <w:t>pH</w:t>
                  </w:r>
                </w:p>
              </w:tc>
              <w:tc>
                <w:tcPr>
                  <w:tcW w:w="859" w:type="dxa"/>
                  <w:vAlign w:val="center"/>
                </w:tcPr>
                <w:p w14:paraId="4E8F9604">
                  <w:pPr>
                    <w:spacing w:line="0" w:lineRule="atLeast"/>
                    <w:jc w:val="center"/>
                    <w:rPr>
                      <w:b/>
                      <w:bCs/>
                      <w:color w:val="auto"/>
                    </w:rPr>
                  </w:pPr>
                  <w:r>
                    <w:rPr>
                      <w:b/>
                      <w:bCs/>
                      <w:color w:val="auto"/>
                    </w:rPr>
                    <w:t>COD</w:t>
                  </w:r>
                </w:p>
              </w:tc>
              <w:tc>
                <w:tcPr>
                  <w:tcW w:w="997" w:type="dxa"/>
                  <w:vAlign w:val="center"/>
                </w:tcPr>
                <w:p w14:paraId="6DEEC13D">
                  <w:pPr>
                    <w:spacing w:line="0" w:lineRule="atLeast"/>
                    <w:jc w:val="center"/>
                    <w:rPr>
                      <w:b/>
                      <w:bCs/>
                      <w:color w:val="auto"/>
                    </w:rPr>
                  </w:pPr>
                  <w:r>
                    <w:rPr>
                      <w:b/>
                      <w:bCs/>
                      <w:color w:val="auto"/>
                    </w:rPr>
                    <w:t>NH</w:t>
                  </w:r>
                  <w:r>
                    <w:rPr>
                      <w:b/>
                      <w:bCs/>
                      <w:color w:val="auto"/>
                      <w:vertAlign w:val="subscript"/>
                    </w:rPr>
                    <w:t>3</w:t>
                  </w:r>
                  <w:r>
                    <w:rPr>
                      <w:b/>
                      <w:bCs/>
                      <w:color w:val="auto"/>
                    </w:rPr>
                    <w:t>-N</w:t>
                  </w:r>
                </w:p>
              </w:tc>
              <w:tc>
                <w:tcPr>
                  <w:tcW w:w="998" w:type="dxa"/>
                  <w:tcBorders>
                    <w:right w:val="single" w:color="auto" w:sz="4" w:space="0"/>
                  </w:tcBorders>
                  <w:vAlign w:val="center"/>
                </w:tcPr>
                <w:p w14:paraId="00ED831F">
                  <w:pPr>
                    <w:spacing w:line="0" w:lineRule="atLeast"/>
                    <w:jc w:val="center"/>
                    <w:rPr>
                      <w:b/>
                      <w:bCs/>
                      <w:color w:val="auto"/>
                    </w:rPr>
                  </w:pPr>
                  <w:r>
                    <w:rPr>
                      <w:rFonts w:hint="eastAsia"/>
                      <w:b/>
                      <w:bCs/>
                      <w:color w:val="auto"/>
                    </w:rPr>
                    <w:t>TP</w:t>
                  </w:r>
                </w:p>
              </w:tc>
            </w:tr>
            <w:tr w14:paraId="0B5CEA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restart"/>
                  <w:vAlign w:val="center"/>
                </w:tcPr>
                <w:p w14:paraId="10F6C3FA">
                  <w:pPr>
                    <w:spacing w:line="0" w:lineRule="atLeast"/>
                    <w:jc w:val="center"/>
                    <w:rPr>
                      <w:color w:val="auto"/>
                    </w:rPr>
                  </w:pPr>
                  <w:r>
                    <w:rPr>
                      <w:rFonts w:hint="eastAsia"/>
                      <w:color w:val="auto"/>
                    </w:rPr>
                    <w:t>通济河</w:t>
                  </w:r>
                </w:p>
              </w:tc>
              <w:tc>
                <w:tcPr>
                  <w:tcW w:w="2119" w:type="dxa"/>
                  <w:vMerge w:val="restart"/>
                  <w:vAlign w:val="center"/>
                </w:tcPr>
                <w:p w14:paraId="43364925">
                  <w:pPr>
                    <w:spacing w:line="0" w:lineRule="atLeast"/>
                    <w:jc w:val="center"/>
                    <w:rPr>
                      <w:color w:val="auto"/>
                    </w:rPr>
                  </w:pPr>
                  <w:r>
                    <w:rPr>
                      <w:rFonts w:hint="eastAsia"/>
                      <w:color w:val="auto"/>
                    </w:rPr>
                    <w:t>W1直溪大桥断面</w:t>
                  </w:r>
                </w:p>
              </w:tc>
              <w:tc>
                <w:tcPr>
                  <w:tcW w:w="1548" w:type="dxa"/>
                  <w:vAlign w:val="center"/>
                </w:tcPr>
                <w:p w14:paraId="37CB7BC5">
                  <w:pPr>
                    <w:spacing w:line="0" w:lineRule="atLeast"/>
                    <w:jc w:val="center"/>
                    <w:rPr>
                      <w:color w:val="auto"/>
                    </w:rPr>
                  </w:pPr>
                  <w:r>
                    <w:rPr>
                      <w:color w:val="auto"/>
                    </w:rPr>
                    <w:t>最大值</w:t>
                  </w:r>
                </w:p>
              </w:tc>
              <w:tc>
                <w:tcPr>
                  <w:tcW w:w="827" w:type="dxa"/>
                  <w:vAlign w:val="center"/>
                </w:tcPr>
                <w:p w14:paraId="3ECB2B02">
                  <w:pPr>
                    <w:spacing w:line="0" w:lineRule="atLeast"/>
                    <w:jc w:val="center"/>
                    <w:rPr>
                      <w:color w:val="auto"/>
                    </w:rPr>
                  </w:pPr>
                  <w:r>
                    <w:rPr>
                      <w:rFonts w:hint="eastAsia"/>
                      <w:color w:val="auto"/>
                    </w:rPr>
                    <w:t>7.1</w:t>
                  </w:r>
                </w:p>
              </w:tc>
              <w:tc>
                <w:tcPr>
                  <w:tcW w:w="859" w:type="dxa"/>
                  <w:vAlign w:val="center"/>
                </w:tcPr>
                <w:p w14:paraId="2BC7A7FA">
                  <w:pPr>
                    <w:spacing w:line="0" w:lineRule="atLeast"/>
                    <w:jc w:val="center"/>
                    <w:rPr>
                      <w:color w:val="auto"/>
                    </w:rPr>
                  </w:pPr>
                  <w:r>
                    <w:rPr>
                      <w:rFonts w:hint="eastAsia"/>
                      <w:color w:val="auto"/>
                    </w:rPr>
                    <w:t>16</w:t>
                  </w:r>
                </w:p>
              </w:tc>
              <w:tc>
                <w:tcPr>
                  <w:tcW w:w="997" w:type="dxa"/>
                  <w:vAlign w:val="center"/>
                </w:tcPr>
                <w:p w14:paraId="14CBACF8">
                  <w:pPr>
                    <w:spacing w:line="0" w:lineRule="atLeast"/>
                    <w:jc w:val="center"/>
                    <w:rPr>
                      <w:color w:val="auto"/>
                    </w:rPr>
                  </w:pPr>
                  <w:r>
                    <w:rPr>
                      <w:rFonts w:hint="eastAsia"/>
                      <w:color w:val="auto"/>
                    </w:rPr>
                    <w:t>0.539</w:t>
                  </w:r>
                </w:p>
              </w:tc>
              <w:tc>
                <w:tcPr>
                  <w:tcW w:w="998" w:type="dxa"/>
                  <w:tcBorders>
                    <w:right w:val="single" w:color="auto" w:sz="4" w:space="0"/>
                  </w:tcBorders>
                  <w:vAlign w:val="center"/>
                </w:tcPr>
                <w:p w14:paraId="2D837AEB">
                  <w:pPr>
                    <w:spacing w:line="0" w:lineRule="atLeast"/>
                    <w:jc w:val="center"/>
                    <w:rPr>
                      <w:color w:val="auto"/>
                    </w:rPr>
                  </w:pPr>
                  <w:r>
                    <w:rPr>
                      <w:rFonts w:hint="eastAsia"/>
                      <w:color w:val="auto"/>
                    </w:rPr>
                    <w:t>0.18</w:t>
                  </w:r>
                </w:p>
              </w:tc>
            </w:tr>
            <w:tr w14:paraId="1A5C46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56B15AEC">
                  <w:pPr>
                    <w:spacing w:line="0" w:lineRule="atLeast"/>
                    <w:jc w:val="center"/>
                    <w:rPr>
                      <w:color w:val="auto"/>
                    </w:rPr>
                  </w:pPr>
                </w:p>
              </w:tc>
              <w:tc>
                <w:tcPr>
                  <w:tcW w:w="2119" w:type="dxa"/>
                  <w:vMerge w:val="continue"/>
                  <w:vAlign w:val="center"/>
                </w:tcPr>
                <w:p w14:paraId="7CF9BC86">
                  <w:pPr>
                    <w:spacing w:line="0" w:lineRule="atLeast"/>
                    <w:jc w:val="center"/>
                    <w:rPr>
                      <w:color w:val="auto"/>
                    </w:rPr>
                  </w:pPr>
                </w:p>
              </w:tc>
              <w:tc>
                <w:tcPr>
                  <w:tcW w:w="1548" w:type="dxa"/>
                  <w:vAlign w:val="center"/>
                </w:tcPr>
                <w:p w14:paraId="125C0EAC">
                  <w:pPr>
                    <w:spacing w:line="0" w:lineRule="atLeast"/>
                    <w:jc w:val="center"/>
                    <w:rPr>
                      <w:color w:val="auto"/>
                    </w:rPr>
                  </w:pPr>
                  <w:r>
                    <w:rPr>
                      <w:color w:val="auto"/>
                    </w:rPr>
                    <w:t>最小值</w:t>
                  </w:r>
                </w:p>
              </w:tc>
              <w:tc>
                <w:tcPr>
                  <w:tcW w:w="827" w:type="dxa"/>
                  <w:vAlign w:val="center"/>
                </w:tcPr>
                <w:p w14:paraId="068D79E6">
                  <w:pPr>
                    <w:spacing w:line="0" w:lineRule="atLeast"/>
                    <w:jc w:val="center"/>
                    <w:rPr>
                      <w:color w:val="auto"/>
                    </w:rPr>
                  </w:pPr>
                  <w:r>
                    <w:rPr>
                      <w:rFonts w:hint="eastAsia"/>
                      <w:color w:val="auto"/>
                    </w:rPr>
                    <w:t>7.1</w:t>
                  </w:r>
                </w:p>
              </w:tc>
              <w:tc>
                <w:tcPr>
                  <w:tcW w:w="859" w:type="dxa"/>
                  <w:vAlign w:val="center"/>
                </w:tcPr>
                <w:p w14:paraId="2E38F63D">
                  <w:pPr>
                    <w:spacing w:line="0" w:lineRule="atLeast"/>
                    <w:jc w:val="center"/>
                    <w:rPr>
                      <w:color w:val="auto"/>
                    </w:rPr>
                  </w:pPr>
                  <w:r>
                    <w:rPr>
                      <w:rFonts w:hint="eastAsia"/>
                      <w:color w:val="auto"/>
                    </w:rPr>
                    <w:t>15</w:t>
                  </w:r>
                </w:p>
              </w:tc>
              <w:tc>
                <w:tcPr>
                  <w:tcW w:w="997" w:type="dxa"/>
                  <w:vAlign w:val="center"/>
                </w:tcPr>
                <w:p w14:paraId="65D45E9C">
                  <w:pPr>
                    <w:spacing w:line="0" w:lineRule="atLeast"/>
                    <w:jc w:val="center"/>
                    <w:rPr>
                      <w:color w:val="auto"/>
                    </w:rPr>
                  </w:pPr>
                  <w:r>
                    <w:rPr>
                      <w:rFonts w:hint="eastAsia"/>
                      <w:color w:val="auto"/>
                    </w:rPr>
                    <w:t>0.528</w:t>
                  </w:r>
                </w:p>
              </w:tc>
              <w:tc>
                <w:tcPr>
                  <w:tcW w:w="998" w:type="dxa"/>
                  <w:tcBorders>
                    <w:right w:val="single" w:color="auto" w:sz="4" w:space="0"/>
                  </w:tcBorders>
                  <w:vAlign w:val="center"/>
                </w:tcPr>
                <w:p w14:paraId="52BE3B4B">
                  <w:pPr>
                    <w:spacing w:line="0" w:lineRule="atLeast"/>
                    <w:jc w:val="center"/>
                    <w:rPr>
                      <w:color w:val="auto"/>
                    </w:rPr>
                  </w:pPr>
                  <w:r>
                    <w:rPr>
                      <w:rFonts w:hint="eastAsia"/>
                      <w:color w:val="auto"/>
                    </w:rPr>
                    <w:t>0.16</w:t>
                  </w:r>
                </w:p>
              </w:tc>
            </w:tr>
            <w:tr w14:paraId="3EE638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486B52BD">
                  <w:pPr>
                    <w:spacing w:line="0" w:lineRule="atLeast"/>
                    <w:jc w:val="center"/>
                    <w:rPr>
                      <w:color w:val="auto"/>
                    </w:rPr>
                  </w:pPr>
                </w:p>
              </w:tc>
              <w:tc>
                <w:tcPr>
                  <w:tcW w:w="2119" w:type="dxa"/>
                  <w:vMerge w:val="continue"/>
                  <w:vAlign w:val="center"/>
                </w:tcPr>
                <w:p w14:paraId="63C8E374">
                  <w:pPr>
                    <w:spacing w:line="0" w:lineRule="atLeast"/>
                    <w:jc w:val="center"/>
                    <w:rPr>
                      <w:color w:val="auto"/>
                    </w:rPr>
                  </w:pPr>
                </w:p>
              </w:tc>
              <w:tc>
                <w:tcPr>
                  <w:tcW w:w="1548" w:type="dxa"/>
                  <w:vAlign w:val="center"/>
                </w:tcPr>
                <w:p w14:paraId="25F7DCD4">
                  <w:pPr>
                    <w:spacing w:line="0" w:lineRule="atLeast"/>
                    <w:jc w:val="center"/>
                    <w:rPr>
                      <w:color w:val="auto"/>
                    </w:rPr>
                  </w:pPr>
                  <w:r>
                    <w:rPr>
                      <w:color w:val="auto"/>
                    </w:rPr>
                    <w:t>平均值</w:t>
                  </w:r>
                </w:p>
              </w:tc>
              <w:tc>
                <w:tcPr>
                  <w:tcW w:w="827" w:type="dxa"/>
                  <w:vAlign w:val="center"/>
                </w:tcPr>
                <w:p w14:paraId="1949AB4B">
                  <w:pPr>
                    <w:spacing w:line="0" w:lineRule="atLeast"/>
                    <w:jc w:val="center"/>
                    <w:rPr>
                      <w:color w:val="auto"/>
                    </w:rPr>
                  </w:pPr>
                  <w:r>
                    <w:rPr>
                      <w:rFonts w:hint="eastAsia"/>
                      <w:color w:val="auto"/>
                    </w:rPr>
                    <w:t>7.1</w:t>
                  </w:r>
                </w:p>
              </w:tc>
              <w:tc>
                <w:tcPr>
                  <w:tcW w:w="859" w:type="dxa"/>
                  <w:vAlign w:val="center"/>
                </w:tcPr>
                <w:p w14:paraId="59EC7FD3">
                  <w:pPr>
                    <w:spacing w:line="0" w:lineRule="atLeast"/>
                    <w:jc w:val="center"/>
                    <w:rPr>
                      <w:color w:val="auto"/>
                    </w:rPr>
                  </w:pPr>
                  <w:r>
                    <w:rPr>
                      <w:rFonts w:hint="eastAsia"/>
                      <w:color w:val="auto"/>
                    </w:rPr>
                    <w:t>16</w:t>
                  </w:r>
                </w:p>
              </w:tc>
              <w:tc>
                <w:tcPr>
                  <w:tcW w:w="997" w:type="dxa"/>
                  <w:vAlign w:val="center"/>
                </w:tcPr>
                <w:p w14:paraId="2F9F5C87">
                  <w:pPr>
                    <w:spacing w:line="0" w:lineRule="atLeast"/>
                    <w:jc w:val="center"/>
                    <w:rPr>
                      <w:color w:val="auto"/>
                    </w:rPr>
                  </w:pPr>
                  <w:r>
                    <w:rPr>
                      <w:rFonts w:hint="eastAsia"/>
                      <w:color w:val="auto"/>
                    </w:rPr>
                    <w:t>0.534</w:t>
                  </w:r>
                </w:p>
              </w:tc>
              <w:tc>
                <w:tcPr>
                  <w:tcW w:w="998" w:type="dxa"/>
                  <w:tcBorders>
                    <w:right w:val="single" w:color="auto" w:sz="4" w:space="0"/>
                  </w:tcBorders>
                  <w:vAlign w:val="center"/>
                </w:tcPr>
                <w:p w14:paraId="066CD97D">
                  <w:pPr>
                    <w:spacing w:line="0" w:lineRule="atLeast"/>
                    <w:jc w:val="center"/>
                    <w:rPr>
                      <w:color w:val="auto"/>
                    </w:rPr>
                  </w:pPr>
                  <w:r>
                    <w:rPr>
                      <w:rFonts w:hint="eastAsia"/>
                      <w:color w:val="auto"/>
                    </w:rPr>
                    <w:t>0.17</w:t>
                  </w:r>
                </w:p>
              </w:tc>
            </w:tr>
            <w:tr w14:paraId="7B5C37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257" w:hRule="atLeast"/>
                <w:jc w:val="center"/>
              </w:trPr>
              <w:tc>
                <w:tcPr>
                  <w:tcW w:w="725" w:type="dxa"/>
                  <w:vMerge w:val="continue"/>
                  <w:vAlign w:val="center"/>
                </w:tcPr>
                <w:p w14:paraId="34CF5E19">
                  <w:pPr>
                    <w:spacing w:line="0" w:lineRule="atLeast"/>
                    <w:jc w:val="center"/>
                    <w:rPr>
                      <w:color w:val="auto"/>
                    </w:rPr>
                  </w:pPr>
                </w:p>
              </w:tc>
              <w:tc>
                <w:tcPr>
                  <w:tcW w:w="2119" w:type="dxa"/>
                  <w:vMerge w:val="continue"/>
                  <w:vAlign w:val="center"/>
                </w:tcPr>
                <w:p w14:paraId="0EE8037F">
                  <w:pPr>
                    <w:spacing w:line="0" w:lineRule="atLeast"/>
                    <w:jc w:val="center"/>
                    <w:rPr>
                      <w:color w:val="auto"/>
                    </w:rPr>
                  </w:pPr>
                </w:p>
              </w:tc>
              <w:tc>
                <w:tcPr>
                  <w:tcW w:w="1548" w:type="dxa"/>
                  <w:vAlign w:val="center"/>
                </w:tcPr>
                <w:p w14:paraId="78F692F1">
                  <w:pPr>
                    <w:spacing w:line="0" w:lineRule="atLeast"/>
                    <w:jc w:val="center"/>
                    <w:rPr>
                      <w:color w:val="auto"/>
                    </w:rPr>
                  </w:pPr>
                  <w:r>
                    <w:rPr>
                      <w:color w:val="auto"/>
                    </w:rPr>
                    <w:t>超标率%</w:t>
                  </w:r>
                </w:p>
              </w:tc>
              <w:tc>
                <w:tcPr>
                  <w:tcW w:w="827" w:type="dxa"/>
                </w:tcPr>
                <w:p w14:paraId="5222F23A">
                  <w:pPr>
                    <w:spacing w:line="0" w:lineRule="atLeast"/>
                    <w:jc w:val="center"/>
                    <w:rPr>
                      <w:color w:val="auto"/>
                    </w:rPr>
                  </w:pPr>
                  <w:r>
                    <w:rPr>
                      <w:rFonts w:hint="eastAsia"/>
                      <w:color w:val="auto"/>
                    </w:rPr>
                    <w:t>0</w:t>
                  </w:r>
                </w:p>
              </w:tc>
              <w:tc>
                <w:tcPr>
                  <w:tcW w:w="859" w:type="dxa"/>
                </w:tcPr>
                <w:p w14:paraId="188806C2">
                  <w:pPr>
                    <w:spacing w:line="0" w:lineRule="atLeast"/>
                    <w:jc w:val="center"/>
                    <w:rPr>
                      <w:color w:val="auto"/>
                    </w:rPr>
                  </w:pPr>
                  <w:r>
                    <w:rPr>
                      <w:rFonts w:hint="eastAsia"/>
                      <w:color w:val="auto"/>
                    </w:rPr>
                    <w:t>0</w:t>
                  </w:r>
                </w:p>
              </w:tc>
              <w:tc>
                <w:tcPr>
                  <w:tcW w:w="997" w:type="dxa"/>
                </w:tcPr>
                <w:p w14:paraId="6513C9EA">
                  <w:pPr>
                    <w:spacing w:line="0" w:lineRule="atLeast"/>
                    <w:jc w:val="center"/>
                    <w:rPr>
                      <w:color w:val="auto"/>
                    </w:rPr>
                  </w:pPr>
                  <w:r>
                    <w:rPr>
                      <w:rFonts w:hint="eastAsia"/>
                      <w:color w:val="auto"/>
                    </w:rPr>
                    <w:t>0</w:t>
                  </w:r>
                </w:p>
              </w:tc>
              <w:tc>
                <w:tcPr>
                  <w:tcW w:w="998" w:type="dxa"/>
                  <w:tcBorders>
                    <w:right w:val="single" w:color="auto" w:sz="4" w:space="0"/>
                  </w:tcBorders>
                </w:tcPr>
                <w:p w14:paraId="2CE3679F">
                  <w:pPr>
                    <w:spacing w:line="0" w:lineRule="atLeast"/>
                    <w:jc w:val="center"/>
                    <w:rPr>
                      <w:color w:val="auto"/>
                    </w:rPr>
                  </w:pPr>
                  <w:r>
                    <w:rPr>
                      <w:rFonts w:hint="eastAsia"/>
                      <w:color w:val="auto"/>
                    </w:rPr>
                    <w:t>0</w:t>
                  </w:r>
                </w:p>
              </w:tc>
            </w:tr>
            <w:tr w14:paraId="6A550F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788C152B">
                  <w:pPr>
                    <w:spacing w:line="0" w:lineRule="atLeast"/>
                    <w:jc w:val="center"/>
                    <w:rPr>
                      <w:color w:val="auto"/>
                    </w:rPr>
                  </w:pPr>
                </w:p>
              </w:tc>
              <w:tc>
                <w:tcPr>
                  <w:tcW w:w="2119" w:type="dxa"/>
                  <w:vMerge w:val="restart"/>
                  <w:vAlign w:val="center"/>
                </w:tcPr>
                <w:p w14:paraId="77FC08F3">
                  <w:pPr>
                    <w:spacing w:line="0" w:lineRule="atLeast"/>
                    <w:jc w:val="center"/>
                    <w:rPr>
                      <w:color w:val="auto"/>
                    </w:rPr>
                  </w:pPr>
                  <w:r>
                    <w:rPr>
                      <w:rFonts w:hint="eastAsia"/>
                      <w:color w:val="auto"/>
                    </w:rPr>
                    <w:t>W2亚细路与直溪大道交汇处断面</w:t>
                  </w:r>
                </w:p>
              </w:tc>
              <w:tc>
                <w:tcPr>
                  <w:tcW w:w="1548" w:type="dxa"/>
                  <w:vAlign w:val="center"/>
                </w:tcPr>
                <w:p w14:paraId="051C414A">
                  <w:pPr>
                    <w:spacing w:line="0" w:lineRule="atLeast"/>
                    <w:jc w:val="center"/>
                    <w:rPr>
                      <w:color w:val="auto"/>
                    </w:rPr>
                  </w:pPr>
                  <w:r>
                    <w:rPr>
                      <w:color w:val="auto"/>
                    </w:rPr>
                    <w:t>最大值</w:t>
                  </w:r>
                </w:p>
              </w:tc>
              <w:tc>
                <w:tcPr>
                  <w:tcW w:w="827" w:type="dxa"/>
                  <w:vAlign w:val="center"/>
                </w:tcPr>
                <w:p w14:paraId="5F226E1C">
                  <w:pPr>
                    <w:spacing w:line="0" w:lineRule="atLeast"/>
                    <w:jc w:val="center"/>
                    <w:rPr>
                      <w:color w:val="auto"/>
                    </w:rPr>
                  </w:pPr>
                  <w:r>
                    <w:rPr>
                      <w:rFonts w:hint="eastAsia"/>
                      <w:color w:val="auto"/>
                    </w:rPr>
                    <w:t>7.1</w:t>
                  </w:r>
                </w:p>
              </w:tc>
              <w:tc>
                <w:tcPr>
                  <w:tcW w:w="859" w:type="dxa"/>
                </w:tcPr>
                <w:p w14:paraId="090EE8A9">
                  <w:pPr>
                    <w:spacing w:line="0" w:lineRule="atLeast"/>
                    <w:jc w:val="center"/>
                    <w:rPr>
                      <w:color w:val="auto"/>
                    </w:rPr>
                  </w:pPr>
                  <w:r>
                    <w:rPr>
                      <w:rFonts w:hint="eastAsia"/>
                      <w:color w:val="auto"/>
                    </w:rPr>
                    <w:t>28</w:t>
                  </w:r>
                </w:p>
              </w:tc>
              <w:tc>
                <w:tcPr>
                  <w:tcW w:w="997" w:type="dxa"/>
                </w:tcPr>
                <w:p w14:paraId="48FBDBBF">
                  <w:pPr>
                    <w:spacing w:line="0" w:lineRule="atLeast"/>
                    <w:jc w:val="center"/>
                    <w:rPr>
                      <w:color w:val="auto"/>
                    </w:rPr>
                  </w:pPr>
                  <w:r>
                    <w:rPr>
                      <w:rFonts w:hint="eastAsia"/>
                      <w:color w:val="auto"/>
                    </w:rPr>
                    <w:t>0.678</w:t>
                  </w:r>
                </w:p>
              </w:tc>
              <w:tc>
                <w:tcPr>
                  <w:tcW w:w="998" w:type="dxa"/>
                  <w:tcBorders>
                    <w:right w:val="single" w:color="auto" w:sz="4" w:space="0"/>
                  </w:tcBorders>
                </w:tcPr>
                <w:p w14:paraId="548D3758">
                  <w:pPr>
                    <w:spacing w:line="0" w:lineRule="atLeast"/>
                    <w:jc w:val="center"/>
                    <w:rPr>
                      <w:color w:val="auto"/>
                    </w:rPr>
                  </w:pPr>
                  <w:r>
                    <w:rPr>
                      <w:rFonts w:hint="eastAsia"/>
                      <w:color w:val="auto"/>
                    </w:rPr>
                    <w:t>0.19</w:t>
                  </w:r>
                </w:p>
              </w:tc>
            </w:tr>
            <w:tr w14:paraId="3DFB98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0974C14A">
                  <w:pPr>
                    <w:spacing w:line="0" w:lineRule="atLeast"/>
                    <w:jc w:val="center"/>
                    <w:rPr>
                      <w:color w:val="auto"/>
                    </w:rPr>
                  </w:pPr>
                </w:p>
              </w:tc>
              <w:tc>
                <w:tcPr>
                  <w:tcW w:w="2119" w:type="dxa"/>
                  <w:vMerge w:val="continue"/>
                  <w:vAlign w:val="center"/>
                </w:tcPr>
                <w:p w14:paraId="34D92A7E">
                  <w:pPr>
                    <w:spacing w:line="0" w:lineRule="atLeast"/>
                    <w:jc w:val="center"/>
                    <w:rPr>
                      <w:color w:val="auto"/>
                    </w:rPr>
                  </w:pPr>
                </w:p>
              </w:tc>
              <w:tc>
                <w:tcPr>
                  <w:tcW w:w="1548" w:type="dxa"/>
                  <w:vAlign w:val="center"/>
                </w:tcPr>
                <w:p w14:paraId="04D1E9CB">
                  <w:pPr>
                    <w:spacing w:line="0" w:lineRule="atLeast"/>
                    <w:jc w:val="center"/>
                    <w:rPr>
                      <w:color w:val="auto"/>
                    </w:rPr>
                  </w:pPr>
                  <w:r>
                    <w:rPr>
                      <w:color w:val="auto"/>
                    </w:rPr>
                    <w:t>最小值</w:t>
                  </w:r>
                </w:p>
              </w:tc>
              <w:tc>
                <w:tcPr>
                  <w:tcW w:w="827" w:type="dxa"/>
                  <w:vAlign w:val="center"/>
                </w:tcPr>
                <w:p w14:paraId="09672C66">
                  <w:pPr>
                    <w:spacing w:line="0" w:lineRule="atLeast"/>
                    <w:jc w:val="center"/>
                    <w:rPr>
                      <w:color w:val="auto"/>
                    </w:rPr>
                  </w:pPr>
                  <w:r>
                    <w:rPr>
                      <w:rFonts w:hint="eastAsia"/>
                      <w:color w:val="auto"/>
                    </w:rPr>
                    <w:t>7.1</w:t>
                  </w:r>
                </w:p>
              </w:tc>
              <w:tc>
                <w:tcPr>
                  <w:tcW w:w="859" w:type="dxa"/>
                </w:tcPr>
                <w:p w14:paraId="3D8F3720">
                  <w:pPr>
                    <w:spacing w:line="0" w:lineRule="atLeast"/>
                    <w:jc w:val="center"/>
                    <w:rPr>
                      <w:color w:val="auto"/>
                    </w:rPr>
                  </w:pPr>
                  <w:r>
                    <w:rPr>
                      <w:rFonts w:hint="eastAsia"/>
                      <w:color w:val="auto"/>
                    </w:rPr>
                    <w:t>26</w:t>
                  </w:r>
                </w:p>
              </w:tc>
              <w:tc>
                <w:tcPr>
                  <w:tcW w:w="997" w:type="dxa"/>
                </w:tcPr>
                <w:p w14:paraId="38B1060A">
                  <w:pPr>
                    <w:spacing w:line="0" w:lineRule="atLeast"/>
                    <w:jc w:val="center"/>
                    <w:rPr>
                      <w:color w:val="auto"/>
                    </w:rPr>
                  </w:pPr>
                  <w:r>
                    <w:rPr>
                      <w:rFonts w:hint="eastAsia"/>
                      <w:color w:val="auto"/>
                    </w:rPr>
                    <w:t>0.655</w:t>
                  </w:r>
                </w:p>
              </w:tc>
              <w:tc>
                <w:tcPr>
                  <w:tcW w:w="998" w:type="dxa"/>
                  <w:tcBorders>
                    <w:right w:val="single" w:color="auto" w:sz="4" w:space="0"/>
                  </w:tcBorders>
                </w:tcPr>
                <w:p w14:paraId="723CD73D">
                  <w:pPr>
                    <w:spacing w:line="0" w:lineRule="atLeast"/>
                    <w:jc w:val="center"/>
                    <w:rPr>
                      <w:color w:val="auto"/>
                    </w:rPr>
                  </w:pPr>
                  <w:r>
                    <w:rPr>
                      <w:rFonts w:hint="eastAsia"/>
                      <w:color w:val="auto"/>
                    </w:rPr>
                    <w:t>0.17</w:t>
                  </w:r>
                </w:p>
              </w:tc>
            </w:tr>
            <w:tr w14:paraId="5FCF5C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4D3722E9">
                  <w:pPr>
                    <w:spacing w:line="0" w:lineRule="atLeast"/>
                    <w:jc w:val="center"/>
                    <w:rPr>
                      <w:color w:val="auto"/>
                    </w:rPr>
                  </w:pPr>
                </w:p>
              </w:tc>
              <w:tc>
                <w:tcPr>
                  <w:tcW w:w="2119" w:type="dxa"/>
                  <w:vMerge w:val="continue"/>
                  <w:vAlign w:val="center"/>
                </w:tcPr>
                <w:p w14:paraId="78323205">
                  <w:pPr>
                    <w:spacing w:line="0" w:lineRule="atLeast"/>
                    <w:jc w:val="center"/>
                    <w:rPr>
                      <w:color w:val="auto"/>
                    </w:rPr>
                  </w:pPr>
                </w:p>
              </w:tc>
              <w:tc>
                <w:tcPr>
                  <w:tcW w:w="1548" w:type="dxa"/>
                  <w:vAlign w:val="center"/>
                </w:tcPr>
                <w:p w14:paraId="3610C8B9">
                  <w:pPr>
                    <w:spacing w:line="0" w:lineRule="atLeast"/>
                    <w:jc w:val="center"/>
                    <w:rPr>
                      <w:color w:val="auto"/>
                    </w:rPr>
                  </w:pPr>
                  <w:r>
                    <w:rPr>
                      <w:color w:val="auto"/>
                    </w:rPr>
                    <w:t>平均值</w:t>
                  </w:r>
                </w:p>
              </w:tc>
              <w:tc>
                <w:tcPr>
                  <w:tcW w:w="827" w:type="dxa"/>
                  <w:vAlign w:val="center"/>
                </w:tcPr>
                <w:p w14:paraId="35B0F7D8">
                  <w:pPr>
                    <w:spacing w:line="0" w:lineRule="atLeast"/>
                    <w:jc w:val="center"/>
                    <w:rPr>
                      <w:color w:val="auto"/>
                    </w:rPr>
                  </w:pPr>
                  <w:r>
                    <w:rPr>
                      <w:rFonts w:hint="eastAsia"/>
                      <w:color w:val="auto"/>
                    </w:rPr>
                    <w:t>7.1</w:t>
                  </w:r>
                </w:p>
              </w:tc>
              <w:tc>
                <w:tcPr>
                  <w:tcW w:w="859" w:type="dxa"/>
                </w:tcPr>
                <w:p w14:paraId="6A9746ED">
                  <w:pPr>
                    <w:spacing w:line="0" w:lineRule="atLeast"/>
                    <w:jc w:val="center"/>
                    <w:rPr>
                      <w:color w:val="auto"/>
                    </w:rPr>
                  </w:pPr>
                  <w:r>
                    <w:rPr>
                      <w:rFonts w:hint="eastAsia"/>
                      <w:color w:val="auto"/>
                    </w:rPr>
                    <w:t>27</w:t>
                  </w:r>
                </w:p>
              </w:tc>
              <w:tc>
                <w:tcPr>
                  <w:tcW w:w="997" w:type="dxa"/>
                </w:tcPr>
                <w:p w14:paraId="390BD53C">
                  <w:pPr>
                    <w:spacing w:line="0" w:lineRule="atLeast"/>
                    <w:jc w:val="center"/>
                    <w:rPr>
                      <w:color w:val="auto"/>
                    </w:rPr>
                  </w:pPr>
                  <w:r>
                    <w:rPr>
                      <w:rFonts w:hint="eastAsia"/>
                      <w:color w:val="auto"/>
                    </w:rPr>
                    <w:t>0.667</w:t>
                  </w:r>
                </w:p>
              </w:tc>
              <w:tc>
                <w:tcPr>
                  <w:tcW w:w="998" w:type="dxa"/>
                  <w:tcBorders>
                    <w:right w:val="single" w:color="auto" w:sz="4" w:space="0"/>
                  </w:tcBorders>
                </w:tcPr>
                <w:p w14:paraId="3D293CC3">
                  <w:pPr>
                    <w:spacing w:line="0" w:lineRule="atLeast"/>
                    <w:jc w:val="center"/>
                    <w:rPr>
                      <w:color w:val="auto"/>
                    </w:rPr>
                  </w:pPr>
                  <w:r>
                    <w:rPr>
                      <w:rFonts w:hint="eastAsia"/>
                      <w:color w:val="auto"/>
                    </w:rPr>
                    <w:t>0.18</w:t>
                  </w:r>
                </w:p>
              </w:tc>
            </w:tr>
            <w:tr w14:paraId="58ED47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12A28047">
                  <w:pPr>
                    <w:spacing w:line="0" w:lineRule="atLeast"/>
                    <w:jc w:val="center"/>
                    <w:rPr>
                      <w:color w:val="auto"/>
                    </w:rPr>
                  </w:pPr>
                </w:p>
              </w:tc>
              <w:tc>
                <w:tcPr>
                  <w:tcW w:w="2119" w:type="dxa"/>
                  <w:vMerge w:val="continue"/>
                  <w:vAlign w:val="center"/>
                </w:tcPr>
                <w:p w14:paraId="4632237D">
                  <w:pPr>
                    <w:spacing w:line="0" w:lineRule="atLeast"/>
                    <w:jc w:val="center"/>
                    <w:rPr>
                      <w:color w:val="auto"/>
                    </w:rPr>
                  </w:pPr>
                </w:p>
              </w:tc>
              <w:tc>
                <w:tcPr>
                  <w:tcW w:w="1548" w:type="dxa"/>
                  <w:vAlign w:val="center"/>
                </w:tcPr>
                <w:p w14:paraId="3F7ED795">
                  <w:pPr>
                    <w:spacing w:line="0" w:lineRule="atLeast"/>
                    <w:jc w:val="center"/>
                    <w:rPr>
                      <w:color w:val="auto"/>
                    </w:rPr>
                  </w:pPr>
                  <w:r>
                    <w:rPr>
                      <w:color w:val="auto"/>
                    </w:rPr>
                    <w:t>超标率%</w:t>
                  </w:r>
                </w:p>
              </w:tc>
              <w:tc>
                <w:tcPr>
                  <w:tcW w:w="827" w:type="dxa"/>
                </w:tcPr>
                <w:p w14:paraId="23BF330F">
                  <w:pPr>
                    <w:spacing w:line="0" w:lineRule="atLeast"/>
                    <w:jc w:val="center"/>
                    <w:rPr>
                      <w:color w:val="auto"/>
                    </w:rPr>
                  </w:pPr>
                  <w:r>
                    <w:rPr>
                      <w:rFonts w:hint="eastAsia"/>
                      <w:color w:val="auto"/>
                    </w:rPr>
                    <w:t>0</w:t>
                  </w:r>
                </w:p>
              </w:tc>
              <w:tc>
                <w:tcPr>
                  <w:tcW w:w="859" w:type="dxa"/>
                </w:tcPr>
                <w:p w14:paraId="20932D9F">
                  <w:pPr>
                    <w:spacing w:line="0" w:lineRule="atLeast"/>
                    <w:jc w:val="center"/>
                    <w:rPr>
                      <w:color w:val="auto"/>
                    </w:rPr>
                  </w:pPr>
                  <w:r>
                    <w:rPr>
                      <w:rFonts w:hint="eastAsia"/>
                      <w:color w:val="auto"/>
                    </w:rPr>
                    <w:t>0</w:t>
                  </w:r>
                </w:p>
              </w:tc>
              <w:tc>
                <w:tcPr>
                  <w:tcW w:w="997" w:type="dxa"/>
                </w:tcPr>
                <w:p w14:paraId="169CF63F">
                  <w:pPr>
                    <w:spacing w:line="0" w:lineRule="atLeast"/>
                    <w:jc w:val="center"/>
                    <w:rPr>
                      <w:color w:val="auto"/>
                    </w:rPr>
                  </w:pPr>
                  <w:r>
                    <w:rPr>
                      <w:rFonts w:hint="eastAsia"/>
                      <w:color w:val="auto"/>
                    </w:rPr>
                    <w:t>0</w:t>
                  </w:r>
                </w:p>
              </w:tc>
              <w:tc>
                <w:tcPr>
                  <w:tcW w:w="998" w:type="dxa"/>
                  <w:tcBorders>
                    <w:right w:val="single" w:color="auto" w:sz="4" w:space="0"/>
                  </w:tcBorders>
                </w:tcPr>
                <w:p w14:paraId="4C9683D6">
                  <w:pPr>
                    <w:spacing w:line="0" w:lineRule="atLeast"/>
                    <w:jc w:val="center"/>
                    <w:rPr>
                      <w:color w:val="auto"/>
                    </w:rPr>
                  </w:pPr>
                  <w:r>
                    <w:rPr>
                      <w:rFonts w:hint="eastAsia"/>
                      <w:color w:val="auto"/>
                    </w:rPr>
                    <w:t>0</w:t>
                  </w:r>
                </w:p>
              </w:tc>
            </w:tr>
            <w:tr w14:paraId="4563C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00D10BA5">
                  <w:pPr>
                    <w:spacing w:line="0" w:lineRule="atLeast"/>
                    <w:jc w:val="center"/>
                    <w:rPr>
                      <w:color w:val="auto"/>
                    </w:rPr>
                  </w:pPr>
                </w:p>
              </w:tc>
              <w:tc>
                <w:tcPr>
                  <w:tcW w:w="2119" w:type="dxa"/>
                  <w:vMerge w:val="restart"/>
                  <w:vAlign w:val="center"/>
                </w:tcPr>
                <w:p w14:paraId="69B922D8">
                  <w:pPr>
                    <w:spacing w:line="0" w:lineRule="atLeast"/>
                    <w:jc w:val="center"/>
                    <w:rPr>
                      <w:color w:val="auto"/>
                    </w:rPr>
                  </w:pPr>
                  <w:r>
                    <w:rPr>
                      <w:rFonts w:hint="eastAsia"/>
                      <w:color w:val="auto"/>
                    </w:rPr>
                    <w:t>W3鹤科桥断面</w:t>
                  </w:r>
                </w:p>
              </w:tc>
              <w:tc>
                <w:tcPr>
                  <w:tcW w:w="1548" w:type="dxa"/>
                  <w:vAlign w:val="center"/>
                </w:tcPr>
                <w:p w14:paraId="3BE6C2E8">
                  <w:pPr>
                    <w:spacing w:line="0" w:lineRule="atLeast"/>
                    <w:jc w:val="center"/>
                    <w:rPr>
                      <w:color w:val="auto"/>
                    </w:rPr>
                  </w:pPr>
                  <w:r>
                    <w:rPr>
                      <w:color w:val="auto"/>
                    </w:rPr>
                    <w:t>最大值</w:t>
                  </w:r>
                </w:p>
              </w:tc>
              <w:tc>
                <w:tcPr>
                  <w:tcW w:w="827" w:type="dxa"/>
                  <w:vAlign w:val="center"/>
                </w:tcPr>
                <w:p w14:paraId="4A9E891E">
                  <w:pPr>
                    <w:spacing w:line="0" w:lineRule="atLeast"/>
                    <w:jc w:val="center"/>
                    <w:rPr>
                      <w:color w:val="auto"/>
                    </w:rPr>
                  </w:pPr>
                  <w:r>
                    <w:rPr>
                      <w:rFonts w:hint="eastAsia"/>
                      <w:color w:val="auto"/>
                    </w:rPr>
                    <w:t>7.1</w:t>
                  </w:r>
                </w:p>
              </w:tc>
              <w:tc>
                <w:tcPr>
                  <w:tcW w:w="859" w:type="dxa"/>
                </w:tcPr>
                <w:p w14:paraId="1B5BB5BE">
                  <w:pPr>
                    <w:spacing w:line="0" w:lineRule="atLeast"/>
                    <w:jc w:val="center"/>
                    <w:rPr>
                      <w:color w:val="auto"/>
                    </w:rPr>
                  </w:pPr>
                  <w:r>
                    <w:rPr>
                      <w:rFonts w:hint="eastAsia"/>
                      <w:color w:val="auto"/>
                    </w:rPr>
                    <w:t>11</w:t>
                  </w:r>
                </w:p>
              </w:tc>
              <w:tc>
                <w:tcPr>
                  <w:tcW w:w="997" w:type="dxa"/>
                </w:tcPr>
                <w:p w14:paraId="1E709F35">
                  <w:pPr>
                    <w:spacing w:line="0" w:lineRule="atLeast"/>
                    <w:jc w:val="center"/>
                    <w:rPr>
                      <w:color w:val="auto"/>
                    </w:rPr>
                  </w:pPr>
                  <w:r>
                    <w:rPr>
                      <w:rFonts w:hint="eastAsia"/>
                      <w:color w:val="auto"/>
                    </w:rPr>
                    <w:t>0.596</w:t>
                  </w:r>
                </w:p>
              </w:tc>
              <w:tc>
                <w:tcPr>
                  <w:tcW w:w="998" w:type="dxa"/>
                  <w:tcBorders>
                    <w:right w:val="single" w:color="auto" w:sz="4" w:space="0"/>
                  </w:tcBorders>
                </w:tcPr>
                <w:p w14:paraId="1E9E265D">
                  <w:pPr>
                    <w:spacing w:line="0" w:lineRule="atLeast"/>
                    <w:jc w:val="center"/>
                    <w:rPr>
                      <w:color w:val="auto"/>
                    </w:rPr>
                  </w:pPr>
                  <w:r>
                    <w:rPr>
                      <w:rFonts w:hint="eastAsia"/>
                      <w:color w:val="auto"/>
                    </w:rPr>
                    <w:t>0.17</w:t>
                  </w:r>
                </w:p>
              </w:tc>
            </w:tr>
            <w:tr w14:paraId="11C6C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277" w:hRule="atLeast"/>
                <w:jc w:val="center"/>
              </w:trPr>
              <w:tc>
                <w:tcPr>
                  <w:tcW w:w="725" w:type="dxa"/>
                  <w:vMerge w:val="continue"/>
                  <w:vAlign w:val="center"/>
                </w:tcPr>
                <w:p w14:paraId="53A0193E">
                  <w:pPr>
                    <w:spacing w:line="0" w:lineRule="atLeast"/>
                    <w:jc w:val="center"/>
                    <w:rPr>
                      <w:color w:val="auto"/>
                    </w:rPr>
                  </w:pPr>
                </w:p>
              </w:tc>
              <w:tc>
                <w:tcPr>
                  <w:tcW w:w="2119" w:type="dxa"/>
                  <w:vMerge w:val="continue"/>
                  <w:vAlign w:val="center"/>
                </w:tcPr>
                <w:p w14:paraId="75D636A1">
                  <w:pPr>
                    <w:spacing w:line="0" w:lineRule="atLeast"/>
                    <w:jc w:val="center"/>
                    <w:rPr>
                      <w:color w:val="auto"/>
                    </w:rPr>
                  </w:pPr>
                </w:p>
              </w:tc>
              <w:tc>
                <w:tcPr>
                  <w:tcW w:w="1548" w:type="dxa"/>
                  <w:vAlign w:val="center"/>
                </w:tcPr>
                <w:p w14:paraId="5CCA98AC">
                  <w:pPr>
                    <w:spacing w:line="0" w:lineRule="atLeast"/>
                    <w:jc w:val="center"/>
                    <w:rPr>
                      <w:color w:val="auto"/>
                    </w:rPr>
                  </w:pPr>
                  <w:r>
                    <w:rPr>
                      <w:color w:val="auto"/>
                    </w:rPr>
                    <w:t>最小值</w:t>
                  </w:r>
                </w:p>
              </w:tc>
              <w:tc>
                <w:tcPr>
                  <w:tcW w:w="827" w:type="dxa"/>
                  <w:vAlign w:val="center"/>
                </w:tcPr>
                <w:p w14:paraId="5712F43B">
                  <w:pPr>
                    <w:spacing w:line="0" w:lineRule="atLeast"/>
                    <w:jc w:val="center"/>
                    <w:rPr>
                      <w:color w:val="auto"/>
                    </w:rPr>
                  </w:pPr>
                  <w:r>
                    <w:rPr>
                      <w:rFonts w:hint="eastAsia"/>
                      <w:color w:val="auto"/>
                    </w:rPr>
                    <w:t>7.1</w:t>
                  </w:r>
                </w:p>
              </w:tc>
              <w:tc>
                <w:tcPr>
                  <w:tcW w:w="859" w:type="dxa"/>
                </w:tcPr>
                <w:p w14:paraId="3A755C30">
                  <w:pPr>
                    <w:spacing w:line="0" w:lineRule="atLeast"/>
                    <w:jc w:val="center"/>
                    <w:rPr>
                      <w:color w:val="auto"/>
                    </w:rPr>
                  </w:pPr>
                  <w:r>
                    <w:rPr>
                      <w:rFonts w:hint="eastAsia"/>
                      <w:color w:val="auto"/>
                    </w:rPr>
                    <w:t>11</w:t>
                  </w:r>
                </w:p>
              </w:tc>
              <w:tc>
                <w:tcPr>
                  <w:tcW w:w="997" w:type="dxa"/>
                </w:tcPr>
                <w:p w14:paraId="6A6278B5">
                  <w:pPr>
                    <w:spacing w:line="0" w:lineRule="atLeast"/>
                    <w:jc w:val="center"/>
                    <w:rPr>
                      <w:color w:val="auto"/>
                    </w:rPr>
                  </w:pPr>
                  <w:r>
                    <w:rPr>
                      <w:rFonts w:hint="eastAsia"/>
                      <w:color w:val="auto"/>
                    </w:rPr>
                    <w:t>0.579</w:t>
                  </w:r>
                </w:p>
              </w:tc>
              <w:tc>
                <w:tcPr>
                  <w:tcW w:w="998" w:type="dxa"/>
                  <w:tcBorders>
                    <w:right w:val="single" w:color="auto" w:sz="4" w:space="0"/>
                  </w:tcBorders>
                </w:tcPr>
                <w:p w14:paraId="62532CA9">
                  <w:pPr>
                    <w:spacing w:line="0" w:lineRule="atLeast"/>
                    <w:jc w:val="center"/>
                    <w:rPr>
                      <w:color w:val="auto"/>
                    </w:rPr>
                  </w:pPr>
                  <w:r>
                    <w:rPr>
                      <w:rFonts w:hint="eastAsia"/>
                      <w:color w:val="auto"/>
                    </w:rPr>
                    <w:t>0.14</w:t>
                  </w:r>
                </w:p>
              </w:tc>
            </w:tr>
            <w:tr w14:paraId="3F34E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532DD72F">
                  <w:pPr>
                    <w:spacing w:line="0" w:lineRule="atLeast"/>
                    <w:jc w:val="center"/>
                    <w:rPr>
                      <w:color w:val="auto"/>
                    </w:rPr>
                  </w:pPr>
                </w:p>
              </w:tc>
              <w:tc>
                <w:tcPr>
                  <w:tcW w:w="2119" w:type="dxa"/>
                  <w:vMerge w:val="continue"/>
                  <w:vAlign w:val="center"/>
                </w:tcPr>
                <w:p w14:paraId="61CB6BD7">
                  <w:pPr>
                    <w:spacing w:line="0" w:lineRule="atLeast"/>
                    <w:jc w:val="center"/>
                    <w:rPr>
                      <w:color w:val="auto"/>
                    </w:rPr>
                  </w:pPr>
                </w:p>
              </w:tc>
              <w:tc>
                <w:tcPr>
                  <w:tcW w:w="1548" w:type="dxa"/>
                  <w:vAlign w:val="center"/>
                </w:tcPr>
                <w:p w14:paraId="1226EB71">
                  <w:pPr>
                    <w:spacing w:line="0" w:lineRule="atLeast"/>
                    <w:jc w:val="center"/>
                    <w:rPr>
                      <w:color w:val="auto"/>
                    </w:rPr>
                  </w:pPr>
                  <w:r>
                    <w:rPr>
                      <w:color w:val="auto"/>
                    </w:rPr>
                    <w:t>平均值</w:t>
                  </w:r>
                </w:p>
              </w:tc>
              <w:tc>
                <w:tcPr>
                  <w:tcW w:w="827" w:type="dxa"/>
                  <w:vAlign w:val="center"/>
                </w:tcPr>
                <w:p w14:paraId="4ADC4D9E">
                  <w:pPr>
                    <w:spacing w:line="0" w:lineRule="atLeast"/>
                    <w:jc w:val="center"/>
                    <w:rPr>
                      <w:color w:val="auto"/>
                    </w:rPr>
                  </w:pPr>
                  <w:r>
                    <w:rPr>
                      <w:rFonts w:hint="eastAsia"/>
                      <w:color w:val="auto"/>
                    </w:rPr>
                    <w:t>7.1</w:t>
                  </w:r>
                </w:p>
              </w:tc>
              <w:tc>
                <w:tcPr>
                  <w:tcW w:w="859" w:type="dxa"/>
                </w:tcPr>
                <w:p w14:paraId="476F5797">
                  <w:pPr>
                    <w:spacing w:line="0" w:lineRule="atLeast"/>
                    <w:jc w:val="center"/>
                    <w:rPr>
                      <w:color w:val="auto"/>
                    </w:rPr>
                  </w:pPr>
                  <w:r>
                    <w:rPr>
                      <w:rFonts w:hint="eastAsia"/>
                      <w:color w:val="auto"/>
                    </w:rPr>
                    <w:t>11</w:t>
                  </w:r>
                </w:p>
              </w:tc>
              <w:tc>
                <w:tcPr>
                  <w:tcW w:w="997" w:type="dxa"/>
                </w:tcPr>
                <w:p w14:paraId="34680DC1">
                  <w:pPr>
                    <w:spacing w:line="0" w:lineRule="atLeast"/>
                    <w:jc w:val="center"/>
                    <w:rPr>
                      <w:color w:val="auto"/>
                    </w:rPr>
                  </w:pPr>
                  <w:r>
                    <w:rPr>
                      <w:rFonts w:hint="eastAsia"/>
                      <w:color w:val="auto"/>
                    </w:rPr>
                    <w:t>0.588</w:t>
                  </w:r>
                </w:p>
              </w:tc>
              <w:tc>
                <w:tcPr>
                  <w:tcW w:w="998" w:type="dxa"/>
                  <w:tcBorders>
                    <w:right w:val="single" w:color="auto" w:sz="4" w:space="0"/>
                  </w:tcBorders>
                </w:tcPr>
                <w:p w14:paraId="51A68BCD">
                  <w:pPr>
                    <w:spacing w:line="0" w:lineRule="atLeast"/>
                    <w:jc w:val="center"/>
                    <w:rPr>
                      <w:color w:val="auto"/>
                    </w:rPr>
                  </w:pPr>
                  <w:r>
                    <w:rPr>
                      <w:rFonts w:hint="eastAsia"/>
                      <w:color w:val="auto"/>
                    </w:rPr>
                    <w:t>0.16</w:t>
                  </w:r>
                </w:p>
              </w:tc>
            </w:tr>
            <w:tr w14:paraId="6CB826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2C48C6F9">
                  <w:pPr>
                    <w:spacing w:line="0" w:lineRule="atLeast"/>
                    <w:jc w:val="center"/>
                    <w:rPr>
                      <w:color w:val="auto"/>
                    </w:rPr>
                  </w:pPr>
                </w:p>
              </w:tc>
              <w:tc>
                <w:tcPr>
                  <w:tcW w:w="2119" w:type="dxa"/>
                  <w:vMerge w:val="continue"/>
                  <w:vAlign w:val="center"/>
                </w:tcPr>
                <w:p w14:paraId="5CF99EB1">
                  <w:pPr>
                    <w:spacing w:line="0" w:lineRule="atLeast"/>
                    <w:jc w:val="center"/>
                    <w:rPr>
                      <w:color w:val="auto"/>
                    </w:rPr>
                  </w:pPr>
                </w:p>
              </w:tc>
              <w:tc>
                <w:tcPr>
                  <w:tcW w:w="1548" w:type="dxa"/>
                  <w:vAlign w:val="center"/>
                </w:tcPr>
                <w:p w14:paraId="525279B6">
                  <w:pPr>
                    <w:spacing w:line="0" w:lineRule="atLeast"/>
                    <w:jc w:val="center"/>
                    <w:rPr>
                      <w:color w:val="auto"/>
                    </w:rPr>
                  </w:pPr>
                  <w:r>
                    <w:rPr>
                      <w:color w:val="auto"/>
                    </w:rPr>
                    <w:t>超标率%</w:t>
                  </w:r>
                </w:p>
              </w:tc>
              <w:tc>
                <w:tcPr>
                  <w:tcW w:w="827" w:type="dxa"/>
                </w:tcPr>
                <w:p w14:paraId="2575D928">
                  <w:pPr>
                    <w:spacing w:line="0" w:lineRule="atLeast"/>
                    <w:jc w:val="center"/>
                    <w:rPr>
                      <w:color w:val="auto"/>
                    </w:rPr>
                  </w:pPr>
                  <w:r>
                    <w:rPr>
                      <w:rFonts w:hint="eastAsia"/>
                      <w:color w:val="auto"/>
                    </w:rPr>
                    <w:t>0</w:t>
                  </w:r>
                </w:p>
              </w:tc>
              <w:tc>
                <w:tcPr>
                  <w:tcW w:w="859" w:type="dxa"/>
                </w:tcPr>
                <w:p w14:paraId="73EB4FE6">
                  <w:pPr>
                    <w:spacing w:line="0" w:lineRule="atLeast"/>
                    <w:jc w:val="center"/>
                    <w:rPr>
                      <w:color w:val="auto"/>
                    </w:rPr>
                  </w:pPr>
                  <w:r>
                    <w:rPr>
                      <w:rFonts w:hint="eastAsia"/>
                      <w:color w:val="auto"/>
                    </w:rPr>
                    <w:t>0</w:t>
                  </w:r>
                </w:p>
              </w:tc>
              <w:tc>
                <w:tcPr>
                  <w:tcW w:w="997" w:type="dxa"/>
                </w:tcPr>
                <w:p w14:paraId="1C8B536F">
                  <w:pPr>
                    <w:spacing w:line="0" w:lineRule="atLeast"/>
                    <w:jc w:val="center"/>
                    <w:rPr>
                      <w:color w:val="auto"/>
                    </w:rPr>
                  </w:pPr>
                  <w:r>
                    <w:rPr>
                      <w:rFonts w:hint="eastAsia"/>
                      <w:color w:val="auto"/>
                    </w:rPr>
                    <w:t>0</w:t>
                  </w:r>
                </w:p>
              </w:tc>
              <w:tc>
                <w:tcPr>
                  <w:tcW w:w="998" w:type="dxa"/>
                  <w:tcBorders>
                    <w:right w:val="single" w:color="auto" w:sz="4" w:space="0"/>
                  </w:tcBorders>
                </w:tcPr>
                <w:p w14:paraId="01F26A6D">
                  <w:pPr>
                    <w:spacing w:line="0" w:lineRule="atLeast"/>
                    <w:jc w:val="center"/>
                    <w:rPr>
                      <w:color w:val="auto"/>
                    </w:rPr>
                  </w:pPr>
                  <w:r>
                    <w:rPr>
                      <w:rFonts w:hint="eastAsia"/>
                      <w:color w:val="auto"/>
                    </w:rPr>
                    <w:t>0</w:t>
                  </w:r>
                </w:p>
              </w:tc>
            </w:tr>
            <w:tr w14:paraId="7BCDB9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40207398">
                  <w:pPr>
                    <w:spacing w:line="0" w:lineRule="atLeast"/>
                    <w:jc w:val="center"/>
                    <w:rPr>
                      <w:color w:val="auto"/>
                    </w:rPr>
                  </w:pPr>
                </w:p>
              </w:tc>
              <w:tc>
                <w:tcPr>
                  <w:tcW w:w="2119" w:type="dxa"/>
                  <w:vMerge w:val="restart"/>
                  <w:vAlign w:val="center"/>
                </w:tcPr>
                <w:p w14:paraId="57476DB5">
                  <w:pPr>
                    <w:spacing w:line="0" w:lineRule="atLeast"/>
                    <w:jc w:val="center"/>
                    <w:rPr>
                      <w:color w:val="auto"/>
                    </w:rPr>
                  </w:pPr>
                  <w:r>
                    <w:rPr>
                      <w:rFonts w:hint="eastAsia"/>
                      <w:color w:val="auto"/>
                    </w:rPr>
                    <w:t>W4熊家河与通济河交汇处下游2000m处断面</w:t>
                  </w:r>
                </w:p>
              </w:tc>
              <w:tc>
                <w:tcPr>
                  <w:tcW w:w="1548" w:type="dxa"/>
                  <w:vAlign w:val="center"/>
                </w:tcPr>
                <w:p w14:paraId="4547180D">
                  <w:pPr>
                    <w:spacing w:line="0" w:lineRule="atLeast"/>
                    <w:jc w:val="center"/>
                    <w:rPr>
                      <w:color w:val="auto"/>
                    </w:rPr>
                  </w:pPr>
                  <w:r>
                    <w:rPr>
                      <w:color w:val="auto"/>
                    </w:rPr>
                    <w:t>最大值</w:t>
                  </w:r>
                </w:p>
              </w:tc>
              <w:tc>
                <w:tcPr>
                  <w:tcW w:w="827" w:type="dxa"/>
                  <w:vAlign w:val="center"/>
                </w:tcPr>
                <w:p w14:paraId="767560AF">
                  <w:pPr>
                    <w:spacing w:line="0" w:lineRule="atLeast"/>
                    <w:jc w:val="center"/>
                    <w:rPr>
                      <w:color w:val="auto"/>
                    </w:rPr>
                  </w:pPr>
                  <w:r>
                    <w:rPr>
                      <w:rFonts w:hint="eastAsia"/>
                      <w:color w:val="auto"/>
                    </w:rPr>
                    <w:t>7.1</w:t>
                  </w:r>
                </w:p>
              </w:tc>
              <w:tc>
                <w:tcPr>
                  <w:tcW w:w="859" w:type="dxa"/>
                  <w:vAlign w:val="center"/>
                </w:tcPr>
                <w:p w14:paraId="72CDB055">
                  <w:pPr>
                    <w:spacing w:line="0" w:lineRule="atLeast"/>
                    <w:jc w:val="center"/>
                    <w:rPr>
                      <w:color w:val="auto"/>
                    </w:rPr>
                  </w:pPr>
                  <w:r>
                    <w:rPr>
                      <w:rFonts w:hint="eastAsia"/>
                      <w:color w:val="auto"/>
                    </w:rPr>
                    <w:t>13</w:t>
                  </w:r>
                </w:p>
              </w:tc>
              <w:tc>
                <w:tcPr>
                  <w:tcW w:w="997" w:type="dxa"/>
                  <w:vAlign w:val="center"/>
                </w:tcPr>
                <w:p w14:paraId="6A16F999">
                  <w:pPr>
                    <w:spacing w:line="0" w:lineRule="atLeast"/>
                    <w:jc w:val="center"/>
                    <w:rPr>
                      <w:color w:val="auto"/>
                    </w:rPr>
                  </w:pPr>
                  <w:r>
                    <w:rPr>
                      <w:rFonts w:hint="eastAsia"/>
                      <w:color w:val="auto"/>
                    </w:rPr>
                    <w:t>0.582</w:t>
                  </w:r>
                </w:p>
              </w:tc>
              <w:tc>
                <w:tcPr>
                  <w:tcW w:w="998" w:type="dxa"/>
                  <w:tcBorders>
                    <w:right w:val="single" w:color="auto" w:sz="4" w:space="0"/>
                  </w:tcBorders>
                  <w:vAlign w:val="center"/>
                </w:tcPr>
                <w:p w14:paraId="2F399080">
                  <w:pPr>
                    <w:spacing w:line="0" w:lineRule="atLeast"/>
                    <w:jc w:val="center"/>
                    <w:rPr>
                      <w:color w:val="auto"/>
                    </w:rPr>
                  </w:pPr>
                  <w:r>
                    <w:rPr>
                      <w:rFonts w:hint="eastAsia"/>
                      <w:color w:val="auto"/>
                    </w:rPr>
                    <w:t>0.19</w:t>
                  </w:r>
                </w:p>
              </w:tc>
            </w:tr>
            <w:tr w14:paraId="493DA6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593A69E4">
                  <w:pPr>
                    <w:spacing w:line="0" w:lineRule="atLeast"/>
                    <w:jc w:val="center"/>
                    <w:rPr>
                      <w:color w:val="auto"/>
                    </w:rPr>
                  </w:pPr>
                </w:p>
              </w:tc>
              <w:tc>
                <w:tcPr>
                  <w:tcW w:w="2119" w:type="dxa"/>
                  <w:vMerge w:val="continue"/>
                  <w:vAlign w:val="center"/>
                </w:tcPr>
                <w:p w14:paraId="33F204F7">
                  <w:pPr>
                    <w:spacing w:line="0" w:lineRule="atLeast"/>
                    <w:jc w:val="center"/>
                    <w:rPr>
                      <w:color w:val="auto"/>
                    </w:rPr>
                  </w:pPr>
                </w:p>
              </w:tc>
              <w:tc>
                <w:tcPr>
                  <w:tcW w:w="1548" w:type="dxa"/>
                  <w:vAlign w:val="center"/>
                </w:tcPr>
                <w:p w14:paraId="6BE0D950">
                  <w:pPr>
                    <w:spacing w:line="0" w:lineRule="atLeast"/>
                    <w:jc w:val="center"/>
                    <w:rPr>
                      <w:color w:val="auto"/>
                    </w:rPr>
                  </w:pPr>
                  <w:r>
                    <w:rPr>
                      <w:color w:val="auto"/>
                    </w:rPr>
                    <w:t>最小值</w:t>
                  </w:r>
                </w:p>
              </w:tc>
              <w:tc>
                <w:tcPr>
                  <w:tcW w:w="827" w:type="dxa"/>
                  <w:vAlign w:val="center"/>
                </w:tcPr>
                <w:p w14:paraId="203AFABE">
                  <w:pPr>
                    <w:spacing w:line="0" w:lineRule="atLeast"/>
                    <w:jc w:val="center"/>
                    <w:rPr>
                      <w:color w:val="auto"/>
                    </w:rPr>
                  </w:pPr>
                  <w:r>
                    <w:rPr>
                      <w:rFonts w:hint="eastAsia"/>
                      <w:color w:val="auto"/>
                    </w:rPr>
                    <w:t>7.1</w:t>
                  </w:r>
                </w:p>
              </w:tc>
              <w:tc>
                <w:tcPr>
                  <w:tcW w:w="859" w:type="dxa"/>
                  <w:vAlign w:val="center"/>
                </w:tcPr>
                <w:p w14:paraId="35454192">
                  <w:pPr>
                    <w:spacing w:line="0" w:lineRule="atLeast"/>
                    <w:jc w:val="center"/>
                    <w:rPr>
                      <w:color w:val="auto"/>
                    </w:rPr>
                  </w:pPr>
                  <w:r>
                    <w:rPr>
                      <w:rFonts w:hint="eastAsia"/>
                      <w:color w:val="auto"/>
                    </w:rPr>
                    <w:t>13</w:t>
                  </w:r>
                </w:p>
              </w:tc>
              <w:tc>
                <w:tcPr>
                  <w:tcW w:w="997" w:type="dxa"/>
                  <w:vAlign w:val="center"/>
                </w:tcPr>
                <w:p w14:paraId="13407973">
                  <w:pPr>
                    <w:spacing w:line="0" w:lineRule="atLeast"/>
                    <w:jc w:val="center"/>
                    <w:rPr>
                      <w:color w:val="auto"/>
                    </w:rPr>
                  </w:pPr>
                  <w:r>
                    <w:rPr>
                      <w:rFonts w:hint="eastAsia"/>
                      <w:color w:val="auto"/>
                    </w:rPr>
                    <w:t>0.569</w:t>
                  </w:r>
                </w:p>
              </w:tc>
              <w:tc>
                <w:tcPr>
                  <w:tcW w:w="998" w:type="dxa"/>
                  <w:tcBorders>
                    <w:right w:val="single" w:color="auto" w:sz="4" w:space="0"/>
                  </w:tcBorders>
                  <w:vAlign w:val="center"/>
                </w:tcPr>
                <w:p w14:paraId="50F54FD1">
                  <w:pPr>
                    <w:spacing w:line="0" w:lineRule="atLeast"/>
                    <w:jc w:val="center"/>
                    <w:rPr>
                      <w:color w:val="auto"/>
                    </w:rPr>
                  </w:pPr>
                  <w:r>
                    <w:rPr>
                      <w:rFonts w:hint="eastAsia"/>
                      <w:color w:val="auto"/>
                    </w:rPr>
                    <w:t>0.17</w:t>
                  </w:r>
                </w:p>
              </w:tc>
            </w:tr>
            <w:tr w14:paraId="189E0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636BA4A1">
                  <w:pPr>
                    <w:spacing w:line="0" w:lineRule="atLeast"/>
                    <w:jc w:val="center"/>
                    <w:rPr>
                      <w:color w:val="auto"/>
                    </w:rPr>
                  </w:pPr>
                </w:p>
              </w:tc>
              <w:tc>
                <w:tcPr>
                  <w:tcW w:w="2119" w:type="dxa"/>
                  <w:vMerge w:val="continue"/>
                  <w:vAlign w:val="center"/>
                </w:tcPr>
                <w:p w14:paraId="019AABD5">
                  <w:pPr>
                    <w:spacing w:line="0" w:lineRule="atLeast"/>
                    <w:jc w:val="center"/>
                    <w:rPr>
                      <w:color w:val="auto"/>
                    </w:rPr>
                  </w:pPr>
                </w:p>
              </w:tc>
              <w:tc>
                <w:tcPr>
                  <w:tcW w:w="1548" w:type="dxa"/>
                  <w:vAlign w:val="center"/>
                </w:tcPr>
                <w:p w14:paraId="3FD9C77F">
                  <w:pPr>
                    <w:spacing w:line="0" w:lineRule="atLeast"/>
                    <w:jc w:val="center"/>
                    <w:rPr>
                      <w:color w:val="auto"/>
                    </w:rPr>
                  </w:pPr>
                  <w:r>
                    <w:rPr>
                      <w:color w:val="auto"/>
                    </w:rPr>
                    <w:t>平均值</w:t>
                  </w:r>
                </w:p>
              </w:tc>
              <w:tc>
                <w:tcPr>
                  <w:tcW w:w="827" w:type="dxa"/>
                  <w:vAlign w:val="center"/>
                </w:tcPr>
                <w:p w14:paraId="1F92E69E">
                  <w:pPr>
                    <w:spacing w:line="0" w:lineRule="atLeast"/>
                    <w:jc w:val="center"/>
                    <w:rPr>
                      <w:color w:val="auto"/>
                    </w:rPr>
                  </w:pPr>
                  <w:r>
                    <w:rPr>
                      <w:rFonts w:hint="eastAsia"/>
                      <w:color w:val="auto"/>
                    </w:rPr>
                    <w:t>7.1</w:t>
                  </w:r>
                </w:p>
              </w:tc>
              <w:tc>
                <w:tcPr>
                  <w:tcW w:w="859" w:type="dxa"/>
                  <w:vAlign w:val="center"/>
                </w:tcPr>
                <w:p w14:paraId="42A36C8B">
                  <w:pPr>
                    <w:spacing w:line="0" w:lineRule="atLeast"/>
                    <w:jc w:val="center"/>
                    <w:rPr>
                      <w:color w:val="auto"/>
                    </w:rPr>
                  </w:pPr>
                  <w:r>
                    <w:rPr>
                      <w:rFonts w:hint="eastAsia"/>
                      <w:color w:val="auto"/>
                    </w:rPr>
                    <w:t>13</w:t>
                  </w:r>
                </w:p>
              </w:tc>
              <w:tc>
                <w:tcPr>
                  <w:tcW w:w="997" w:type="dxa"/>
                  <w:vAlign w:val="center"/>
                </w:tcPr>
                <w:p w14:paraId="74FEA5B8">
                  <w:pPr>
                    <w:spacing w:line="0" w:lineRule="atLeast"/>
                    <w:jc w:val="center"/>
                    <w:rPr>
                      <w:color w:val="auto"/>
                    </w:rPr>
                  </w:pPr>
                  <w:r>
                    <w:rPr>
                      <w:rFonts w:hint="eastAsia"/>
                      <w:color w:val="auto"/>
                    </w:rPr>
                    <w:t>0.576</w:t>
                  </w:r>
                </w:p>
              </w:tc>
              <w:tc>
                <w:tcPr>
                  <w:tcW w:w="998" w:type="dxa"/>
                  <w:tcBorders>
                    <w:right w:val="single" w:color="auto" w:sz="4" w:space="0"/>
                  </w:tcBorders>
                  <w:vAlign w:val="center"/>
                </w:tcPr>
                <w:p w14:paraId="40415EEA">
                  <w:pPr>
                    <w:spacing w:line="0" w:lineRule="atLeast"/>
                    <w:jc w:val="center"/>
                    <w:rPr>
                      <w:color w:val="auto"/>
                    </w:rPr>
                  </w:pPr>
                  <w:r>
                    <w:rPr>
                      <w:rFonts w:hint="eastAsia"/>
                      <w:color w:val="auto"/>
                    </w:rPr>
                    <w:t>0.18</w:t>
                  </w:r>
                </w:p>
              </w:tc>
            </w:tr>
            <w:tr w14:paraId="11E5BD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725" w:type="dxa"/>
                  <w:vMerge w:val="continue"/>
                  <w:vAlign w:val="center"/>
                </w:tcPr>
                <w:p w14:paraId="1E167FAD">
                  <w:pPr>
                    <w:spacing w:line="0" w:lineRule="atLeast"/>
                    <w:jc w:val="center"/>
                    <w:rPr>
                      <w:color w:val="auto"/>
                    </w:rPr>
                  </w:pPr>
                </w:p>
              </w:tc>
              <w:tc>
                <w:tcPr>
                  <w:tcW w:w="2119" w:type="dxa"/>
                  <w:vMerge w:val="continue"/>
                  <w:vAlign w:val="center"/>
                </w:tcPr>
                <w:p w14:paraId="1A4975AD">
                  <w:pPr>
                    <w:spacing w:line="0" w:lineRule="atLeast"/>
                    <w:jc w:val="center"/>
                    <w:rPr>
                      <w:color w:val="auto"/>
                    </w:rPr>
                  </w:pPr>
                </w:p>
              </w:tc>
              <w:tc>
                <w:tcPr>
                  <w:tcW w:w="1548" w:type="dxa"/>
                  <w:vAlign w:val="center"/>
                </w:tcPr>
                <w:p w14:paraId="7AB0A230">
                  <w:pPr>
                    <w:spacing w:line="0" w:lineRule="atLeast"/>
                    <w:jc w:val="center"/>
                    <w:rPr>
                      <w:color w:val="auto"/>
                    </w:rPr>
                  </w:pPr>
                  <w:r>
                    <w:rPr>
                      <w:color w:val="auto"/>
                    </w:rPr>
                    <w:t>超标率%</w:t>
                  </w:r>
                </w:p>
              </w:tc>
              <w:tc>
                <w:tcPr>
                  <w:tcW w:w="827" w:type="dxa"/>
                  <w:vAlign w:val="center"/>
                </w:tcPr>
                <w:p w14:paraId="106E3369">
                  <w:pPr>
                    <w:spacing w:line="0" w:lineRule="atLeast"/>
                    <w:jc w:val="center"/>
                    <w:rPr>
                      <w:color w:val="auto"/>
                    </w:rPr>
                  </w:pPr>
                  <w:r>
                    <w:rPr>
                      <w:rFonts w:hint="eastAsia"/>
                      <w:color w:val="auto"/>
                    </w:rPr>
                    <w:t>0</w:t>
                  </w:r>
                </w:p>
              </w:tc>
              <w:tc>
                <w:tcPr>
                  <w:tcW w:w="859" w:type="dxa"/>
                  <w:vAlign w:val="center"/>
                </w:tcPr>
                <w:p w14:paraId="3960885C">
                  <w:pPr>
                    <w:spacing w:line="0" w:lineRule="atLeast"/>
                    <w:jc w:val="center"/>
                    <w:rPr>
                      <w:color w:val="auto"/>
                    </w:rPr>
                  </w:pPr>
                  <w:r>
                    <w:rPr>
                      <w:rFonts w:hint="eastAsia"/>
                      <w:color w:val="auto"/>
                    </w:rPr>
                    <w:t>0</w:t>
                  </w:r>
                </w:p>
              </w:tc>
              <w:tc>
                <w:tcPr>
                  <w:tcW w:w="997" w:type="dxa"/>
                  <w:vAlign w:val="center"/>
                </w:tcPr>
                <w:p w14:paraId="34C1A3DE">
                  <w:pPr>
                    <w:spacing w:line="0" w:lineRule="atLeast"/>
                    <w:jc w:val="center"/>
                    <w:rPr>
                      <w:color w:val="auto"/>
                    </w:rPr>
                  </w:pPr>
                  <w:r>
                    <w:rPr>
                      <w:rFonts w:hint="eastAsia"/>
                      <w:color w:val="auto"/>
                    </w:rPr>
                    <w:t>0</w:t>
                  </w:r>
                </w:p>
              </w:tc>
              <w:tc>
                <w:tcPr>
                  <w:tcW w:w="998" w:type="dxa"/>
                  <w:tcBorders>
                    <w:right w:val="single" w:color="auto" w:sz="4" w:space="0"/>
                  </w:tcBorders>
                  <w:vAlign w:val="center"/>
                </w:tcPr>
                <w:p w14:paraId="37CB378D">
                  <w:pPr>
                    <w:spacing w:line="0" w:lineRule="atLeast"/>
                    <w:jc w:val="center"/>
                    <w:rPr>
                      <w:color w:val="auto"/>
                    </w:rPr>
                  </w:pPr>
                  <w:r>
                    <w:rPr>
                      <w:rFonts w:hint="eastAsia"/>
                      <w:color w:val="auto"/>
                    </w:rPr>
                    <w:t>0</w:t>
                  </w:r>
                </w:p>
              </w:tc>
            </w:tr>
            <w:tr w14:paraId="718166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4392" w:type="dxa"/>
                  <w:gridSpan w:val="3"/>
                  <w:vAlign w:val="center"/>
                </w:tcPr>
                <w:p w14:paraId="7734FD82">
                  <w:pPr>
                    <w:spacing w:line="0" w:lineRule="atLeast"/>
                    <w:jc w:val="center"/>
                    <w:rPr>
                      <w:color w:val="auto"/>
                    </w:rPr>
                  </w:pPr>
                  <w:r>
                    <w:rPr>
                      <w:rFonts w:hint="eastAsia"/>
                      <w:color w:val="auto"/>
                    </w:rPr>
                    <w:t>IV</w:t>
                  </w:r>
                  <w:r>
                    <w:rPr>
                      <w:color w:val="auto"/>
                    </w:rPr>
                    <w:t>类标准</w:t>
                  </w:r>
                </w:p>
              </w:tc>
              <w:tc>
                <w:tcPr>
                  <w:tcW w:w="827" w:type="dxa"/>
                  <w:vAlign w:val="center"/>
                </w:tcPr>
                <w:p w14:paraId="0D4C15C8">
                  <w:pPr>
                    <w:spacing w:line="0" w:lineRule="atLeast"/>
                    <w:jc w:val="center"/>
                    <w:rPr>
                      <w:color w:val="auto"/>
                    </w:rPr>
                  </w:pPr>
                  <w:r>
                    <w:rPr>
                      <w:rFonts w:hint="eastAsia"/>
                      <w:color w:val="auto"/>
                    </w:rPr>
                    <w:t>6～9</w:t>
                  </w:r>
                </w:p>
              </w:tc>
              <w:tc>
                <w:tcPr>
                  <w:tcW w:w="859" w:type="dxa"/>
                  <w:vAlign w:val="center"/>
                </w:tcPr>
                <w:p w14:paraId="043E9903">
                  <w:pPr>
                    <w:spacing w:line="0" w:lineRule="atLeast"/>
                    <w:jc w:val="center"/>
                    <w:rPr>
                      <w:color w:val="auto"/>
                    </w:rPr>
                  </w:pPr>
                  <w:r>
                    <w:rPr>
                      <w:rFonts w:hint="eastAsia"/>
                      <w:color w:val="auto"/>
                    </w:rPr>
                    <w:t>30</w:t>
                  </w:r>
                </w:p>
              </w:tc>
              <w:tc>
                <w:tcPr>
                  <w:tcW w:w="997" w:type="dxa"/>
                  <w:vAlign w:val="center"/>
                </w:tcPr>
                <w:p w14:paraId="59C78B4B">
                  <w:pPr>
                    <w:spacing w:line="0" w:lineRule="atLeast"/>
                    <w:jc w:val="center"/>
                    <w:rPr>
                      <w:color w:val="auto"/>
                    </w:rPr>
                  </w:pPr>
                  <w:r>
                    <w:rPr>
                      <w:rFonts w:hint="eastAsia"/>
                      <w:color w:val="auto"/>
                    </w:rPr>
                    <w:t>1.5</w:t>
                  </w:r>
                </w:p>
              </w:tc>
              <w:tc>
                <w:tcPr>
                  <w:tcW w:w="998" w:type="dxa"/>
                  <w:tcBorders>
                    <w:right w:val="single" w:color="auto" w:sz="4" w:space="0"/>
                  </w:tcBorders>
                  <w:vAlign w:val="center"/>
                </w:tcPr>
                <w:p w14:paraId="4E2C2BC9">
                  <w:pPr>
                    <w:spacing w:line="0" w:lineRule="atLeast"/>
                    <w:jc w:val="center"/>
                    <w:rPr>
                      <w:color w:val="auto"/>
                    </w:rPr>
                  </w:pPr>
                  <w:r>
                    <w:rPr>
                      <w:rFonts w:hint="eastAsia"/>
                      <w:color w:val="auto"/>
                    </w:rPr>
                    <w:t>0.3</w:t>
                  </w:r>
                </w:p>
              </w:tc>
            </w:tr>
            <w:tr w14:paraId="221A7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68" w:type="dxa"/>
                  <w:bottom w:w="0" w:type="dxa"/>
                  <w:right w:w="68" w:type="dxa"/>
                </w:tblCellMar>
              </w:tblPrEx>
              <w:trPr>
                <w:trHeight w:val="63" w:hRule="atLeast"/>
                <w:jc w:val="center"/>
              </w:trPr>
              <w:tc>
                <w:tcPr>
                  <w:tcW w:w="4392" w:type="dxa"/>
                  <w:gridSpan w:val="3"/>
                  <w:vAlign w:val="center"/>
                </w:tcPr>
                <w:p w14:paraId="2068C32E">
                  <w:pPr>
                    <w:spacing w:line="0" w:lineRule="atLeast"/>
                    <w:jc w:val="center"/>
                    <w:rPr>
                      <w:color w:val="auto"/>
                    </w:rPr>
                  </w:pPr>
                  <w:r>
                    <w:rPr>
                      <w:rFonts w:hint="eastAsia"/>
                      <w:color w:val="auto"/>
                    </w:rPr>
                    <w:t>单位</w:t>
                  </w:r>
                </w:p>
              </w:tc>
              <w:tc>
                <w:tcPr>
                  <w:tcW w:w="827" w:type="dxa"/>
                  <w:vAlign w:val="center"/>
                </w:tcPr>
                <w:p w14:paraId="0560B865">
                  <w:pPr>
                    <w:spacing w:line="0" w:lineRule="atLeast"/>
                    <w:jc w:val="center"/>
                    <w:rPr>
                      <w:color w:val="auto"/>
                    </w:rPr>
                  </w:pPr>
                  <w:r>
                    <w:rPr>
                      <w:rFonts w:hint="eastAsia"/>
                      <w:color w:val="auto"/>
                    </w:rPr>
                    <w:t>无量纲</w:t>
                  </w:r>
                </w:p>
              </w:tc>
              <w:tc>
                <w:tcPr>
                  <w:tcW w:w="859" w:type="dxa"/>
                  <w:vAlign w:val="center"/>
                </w:tcPr>
                <w:p w14:paraId="2F4BE7ED">
                  <w:pPr>
                    <w:spacing w:line="0" w:lineRule="atLeast"/>
                    <w:jc w:val="center"/>
                    <w:rPr>
                      <w:color w:val="auto"/>
                    </w:rPr>
                  </w:pPr>
                  <w:r>
                    <w:rPr>
                      <w:rFonts w:hint="eastAsia"/>
                      <w:color w:val="auto"/>
                    </w:rPr>
                    <w:t>mg/L</w:t>
                  </w:r>
                </w:p>
              </w:tc>
              <w:tc>
                <w:tcPr>
                  <w:tcW w:w="997" w:type="dxa"/>
                  <w:vAlign w:val="center"/>
                </w:tcPr>
                <w:p w14:paraId="52EBD8C4">
                  <w:pPr>
                    <w:spacing w:line="0" w:lineRule="atLeast"/>
                    <w:jc w:val="center"/>
                    <w:rPr>
                      <w:color w:val="auto"/>
                    </w:rPr>
                  </w:pPr>
                  <w:r>
                    <w:rPr>
                      <w:rFonts w:hint="eastAsia"/>
                      <w:color w:val="auto"/>
                    </w:rPr>
                    <w:t>mg/L</w:t>
                  </w:r>
                </w:p>
              </w:tc>
              <w:tc>
                <w:tcPr>
                  <w:tcW w:w="998" w:type="dxa"/>
                  <w:tcBorders>
                    <w:right w:val="single" w:color="auto" w:sz="4" w:space="0"/>
                  </w:tcBorders>
                  <w:vAlign w:val="center"/>
                </w:tcPr>
                <w:p w14:paraId="0781E1A7">
                  <w:pPr>
                    <w:spacing w:line="0" w:lineRule="atLeast"/>
                    <w:jc w:val="center"/>
                    <w:rPr>
                      <w:color w:val="auto"/>
                    </w:rPr>
                  </w:pPr>
                  <w:r>
                    <w:rPr>
                      <w:rFonts w:hint="eastAsia"/>
                      <w:color w:val="auto"/>
                    </w:rPr>
                    <w:t>mg/L</w:t>
                  </w:r>
                </w:p>
              </w:tc>
            </w:tr>
          </w:tbl>
          <w:p w14:paraId="6933A8EC">
            <w:pPr>
              <w:pStyle w:val="18"/>
              <w:spacing w:line="240" w:lineRule="atLeast"/>
              <w:ind w:firstLine="542" w:firstLineChars="300"/>
              <w:rPr>
                <w:b/>
                <w:bCs/>
                <w:color w:val="auto"/>
                <w:sz w:val="18"/>
                <w:szCs w:val="18"/>
              </w:rPr>
            </w:pPr>
            <w:r>
              <w:rPr>
                <w:rFonts w:hAnsi="宋体"/>
                <w:b/>
                <w:bCs/>
                <w:color w:val="auto"/>
                <w:sz w:val="18"/>
                <w:szCs w:val="18"/>
              </w:rPr>
              <w:t>注：</w:t>
            </w:r>
            <w:r>
              <w:rPr>
                <w:b/>
                <w:bCs/>
                <w:color w:val="auto"/>
                <w:sz w:val="18"/>
                <w:szCs w:val="18"/>
              </w:rPr>
              <w:t>pH</w:t>
            </w:r>
            <w:r>
              <w:rPr>
                <w:rFonts w:hAnsi="宋体"/>
                <w:b/>
                <w:bCs/>
                <w:color w:val="auto"/>
                <w:sz w:val="18"/>
                <w:szCs w:val="18"/>
              </w:rPr>
              <w:t>无量纲</w:t>
            </w:r>
          </w:p>
          <w:p w14:paraId="3918FA8D">
            <w:pPr>
              <w:spacing w:line="360" w:lineRule="auto"/>
              <w:ind w:firstLine="480" w:firstLineChars="200"/>
              <w:jc w:val="left"/>
              <w:rPr>
                <w:rFonts w:hAnsi="宋体"/>
                <w:color w:val="auto"/>
                <w:sz w:val="24"/>
              </w:rPr>
            </w:pPr>
            <w:r>
              <w:rPr>
                <w:rFonts w:hAnsi="宋体"/>
                <w:color w:val="auto"/>
                <w:sz w:val="24"/>
              </w:rPr>
              <w:t>监测结果统计表明，</w:t>
            </w:r>
            <w:r>
              <w:rPr>
                <w:rFonts w:hint="eastAsia" w:hAnsi="宋体"/>
                <w:color w:val="auto"/>
                <w:sz w:val="24"/>
              </w:rPr>
              <w:t>通济河</w:t>
            </w:r>
            <w:r>
              <w:rPr>
                <w:rFonts w:hAnsi="宋体"/>
                <w:color w:val="auto"/>
                <w:sz w:val="24"/>
              </w:rPr>
              <w:t>各断面水质</w:t>
            </w:r>
            <w:r>
              <w:rPr>
                <w:color w:val="auto"/>
                <w:sz w:val="24"/>
              </w:rPr>
              <w:t>pH</w:t>
            </w:r>
            <w:r>
              <w:rPr>
                <w:rFonts w:hAnsi="宋体"/>
                <w:color w:val="auto"/>
                <w:sz w:val="24"/>
              </w:rPr>
              <w:t>、</w:t>
            </w:r>
            <w:r>
              <w:rPr>
                <w:color w:val="auto"/>
                <w:sz w:val="24"/>
              </w:rPr>
              <w:t>COD</w:t>
            </w:r>
            <w:r>
              <w:rPr>
                <w:rFonts w:hAnsi="宋体"/>
                <w:color w:val="auto"/>
                <w:sz w:val="24"/>
              </w:rPr>
              <w:t>、</w:t>
            </w:r>
            <w:r>
              <w:rPr>
                <w:color w:val="auto"/>
                <w:sz w:val="24"/>
              </w:rPr>
              <w:t>NH</w:t>
            </w:r>
            <w:r>
              <w:rPr>
                <w:color w:val="auto"/>
                <w:sz w:val="24"/>
                <w:vertAlign w:val="subscript"/>
              </w:rPr>
              <w:t>3</w:t>
            </w:r>
            <w:r>
              <w:rPr>
                <w:color w:val="auto"/>
                <w:sz w:val="24"/>
              </w:rPr>
              <w:t>-N</w:t>
            </w:r>
            <w:r>
              <w:rPr>
                <w:rFonts w:hAnsi="宋体"/>
                <w:color w:val="auto"/>
                <w:sz w:val="24"/>
              </w:rPr>
              <w:t>、</w:t>
            </w:r>
            <w:r>
              <w:rPr>
                <w:color w:val="auto"/>
                <w:sz w:val="24"/>
              </w:rPr>
              <w:t>TP</w:t>
            </w:r>
            <w:r>
              <w:rPr>
                <w:rFonts w:hAnsi="宋体"/>
                <w:color w:val="auto"/>
                <w:sz w:val="24"/>
              </w:rPr>
              <w:t>均符合《地表水环境质量标准》（</w:t>
            </w:r>
            <w:r>
              <w:rPr>
                <w:color w:val="auto"/>
                <w:sz w:val="24"/>
              </w:rPr>
              <w:t>GB3838-2002</w:t>
            </w:r>
            <w:r>
              <w:rPr>
                <w:rFonts w:hAnsi="宋体"/>
                <w:color w:val="auto"/>
                <w:sz w:val="24"/>
              </w:rPr>
              <w:t>）表</w:t>
            </w:r>
            <w:r>
              <w:rPr>
                <w:color w:val="auto"/>
                <w:sz w:val="24"/>
              </w:rPr>
              <w:t>1</w:t>
            </w:r>
            <w:r>
              <w:rPr>
                <w:rFonts w:hAnsi="宋体"/>
                <w:color w:val="auto"/>
                <w:sz w:val="24"/>
              </w:rPr>
              <w:t>中</w:t>
            </w:r>
            <w:r>
              <w:rPr>
                <w:rFonts w:hint="eastAsia" w:hAnsi="宋体"/>
                <w:color w:val="auto"/>
                <w:sz w:val="24"/>
              </w:rPr>
              <w:t>IV</w:t>
            </w:r>
            <w:r>
              <w:rPr>
                <w:rFonts w:hAnsi="宋体"/>
                <w:color w:val="auto"/>
                <w:sz w:val="24"/>
              </w:rPr>
              <w:t>类标准</w:t>
            </w:r>
            <w:r>
              <w:rPr>
                <w:rFonts w:hint="eastAsia" w:hAnsi="宋体"/>
                <w:color w:val="auto"/>
                <w:sz w:val="24"/>
              </w:rPr>
              <w:t>。</w:t>
            </w:r>
          </w:p>
          <w:p w14:paraId="64E14C19">
            <w:pPr>
              <w:spacing w:line="360" w:lineRule="auto"/>
              <w:ind w:firstLine="480" w:firstLineChars="200"/>
              <w:jc w:val="left"/>
              <w:rPr>
                <w:color w:val="auto"/>
                <w:sz w:val="24"/>
              </w:rPr>
            </w:pPr>
            <w:r>
              <w:rPr>
                <w:rFonts w:hint="eastAsia"/>
                <w:color w:val="auto"/>
                <w:sz w:val="24"/>
              </w:rPr>
              <w:t>4、</w:t>
            </w:r>
            <w:r>
              <w:rPr>
                <w:color w:val="auto"/>
                <w:sz w:val="24"/>
              </w:rPr>
              <w:t>生态环境现状</w:t>
            </w:r>
          </w:p>
          <w:p w14:paraId="1DE19BDC">
            <w:pPr>
              <w:pStyle w:val="3"/>
              <w:ind w:firstLine="480" w:firstLineChars="200"/>
              <w:outlineLvl w:val="2"/>
              <w:rPr>
                <w:color w:val="auto"/>
              </w:rPr>
            </w:pPr>
            <w:r>
              <w:rPr>
                <w:color w:val="auto"/>
                <w:sz w:val="24"/>
              </w:rPr>
              <w:t>根据现场调查，周围评价范围内为主要为工业企业，无自然保护区分布，也无国家和省级法定保护的野生植物物种；项目评价范围内无珍稀野生动植物和国家、地方各级保护野生动植物</w:t>
            </w:r>
            <w:r>
              <w:rPr>
                <w:rFonts w:hint="eastAsia"/>
                <w:color w:val="auto"/>
                <w:sz w:val="24"/>
              </w:rPr>
              <w:t>。</w:t>
            </w:r>
          </w:p>
          <w:p w14:paraId="638E0B42">
            <w:pPr>
              <w:spacing w:line="360" w:lineRule="auto"/>
              <w:ind w:firstLine="480" w:firstLineChars="200"/>
              <w:jc w:val="left"/>
              <w:rPr>
                <w:color w:val="auto"/>
                <w:sz w:val="24"/>
              </w:rPr>
            </w:pPr>
            <w:r>
              <w:rPr>
                <w:rFonts w:hint="eastAsia"/>
                <w:color w:val="auto"/>
                <w:sz w:val="24"/>
              </w:rPr>
              <w:t>5、电磁辐射</w:t>
            </w:r>
          </w:p>
          <w:p w14:paraId="422EF048">
            <w:pPr>
              <w:spacing w:line="360" w:lineRule="auto"/>
              <w:ind w:firstLine="480" w:firstLineChars="200"/>
              <w:jc w:val="left"/>
              <w:rPr>
                <w:rFonts w:eastAsia="Times New Roman"/>
                <w:color w:val="auto"/>
                <w:sz w:val="24"/>
                <w:szCs w:val="24"/>
                <w:lang w:val="zh-CN"/>
              </w:rPr>
            </w:pPr>
            <w:r>
              <w:rPr>
                <w:rFonts w:hint="eastAsia"/>
                <w:color w:val="auto"/>
                <w:sz w:val="24"/>
              </w:rPr>
              <w:t>本项目不属于新建或改建、扩建广播电台、差转台、电视塔台、卫星地球上行站、雷达等电磁辐射类项目，因此不开展现状监测与评价。</w:t>
            </w:r>
          </w:p>
          <w:p w14:paraId="53F3283A">
            <w:pPr>
              <w:spacing w:line="360" w:lineRule="auto"/>
              <w:ind w:firstLine="480"/>
              <w:rPr>
                <w:rFonts w:eastAsia="Times New Roman"/>
                <w:color w:val="auto"/>
                <w:sz w:val="24"/>
                <w:szCs w:val="24"/>
                <w:lang w:val="zh-CN"/>
              </w:rPr>
            </w:pPr>
            <w:r>
              <w:rPr>
                <w:rFonts w:hint="eastAsia"/>
                <w:color w:val="auto"/>
                <w:sz w:val="24"/>
                <w:szCs w:val="24"/>
              </w:rPr>
              <w:t>6</w:t>
            </w:r>
            <w:r>
              <w:rPr>
                <w:rFonts w:eastAsia="Times New Roman"/>
                <w:color w:val="auto"/>
                <w:sz w:val="24"/>
                <w:szCs w:val="24"/>
                <w:lang w:val="zh-CN"/>
              </w:rPr>
              <w:t>、土壤、地下水环境</w:t>
            </w:r>
          </w:p>
          <w:p w14:paraId="24F0B40B">
            <w:pPr>
              <w:spacing w:line="360" w:lineRule="auto"/>
              <w:ind w:firstLine="480" w:firstLineChars="200"/>
              <w:jc w:val="left"/>
              <w:rPr>
                <w:color w:val="auto"/>
              </w:rPr>
            </w:pPr>
            <w:r>
              <w:rPr>
                <w:color w:val="auto"/>
                <w:sz w:val="24"/>
                <w:lang w:val="zh-CN"/>
              </w:rPr>
              <w:t>本项目</w:t>
            </w:r>
            <w:r>
              <w:rPr>
                <w:rFonts w:hint="eastAsia"/>
                <w:color w:val="auto"/>
                <w:sz w:val="24"/>
              </w:rPr>
              <w:t>清洗、焊接等</w:t>
            </w:r>
            <w:r>
              <w:rPr>
                <w:color w:val="auto"/>
                <w:sz w:val="24"/>
                <w:lang w:val="zh-CN"/>
              </w:rPr>
              <w:t>工段产生的非甲烷总烃</w:t>
            </w:r>
            <w:r>
              <w:rPr>
                <w:rFonts w:hint="eastAsia"/>
                <w:color w:val="auto"/>
                <w:sz w:val="24"/>
                <w:lang w:val="zh-CN"/>
              </w:rPr>
              <w:t>、颗粒物</w:t>
            </w:r>
            <w:r>
              <w:rPr>
                <w:rFonts w:hint="eastAsia"/>
                <w:color w:val="auto"/>
                <w:sz w:val="24"/>
              </w:rPr>
              <w:t>排放量</w:t>
            </w:r>
            <w:r>
              <w:rPr>
                <w:color w:val="auto"/>
                <w:sz w:val="24"/>
                <w:lang w:val="zh-CN"/>
              </w:rPr>
              <w:t>较小，对周边环境产生的影响较小，</w:t>
            </w:r>
            <w:r>
              <w:rPr>
                <w:rFonts w:hint="eastAsia"/>
                <w:color w:val="auto"/>
                <w:sz w:val="24"/>
              </w:rPr>
              <w:t>厂区地面已硬化，</w:t>
            </w:r>
            <w:r>
              <w:rPr>
                <w:color w:val="auto"/>
                <w:sz w:val="24"/>
                <w:lang w:val="zh-CN"/>
              </w:rPr>
              <w:t>故</w:t>
            </w:r>
            <w:r>
              <w:rPr>
                <w:rFonts w:hint="eastAsia"/>
                <w:color w:val="auto"/>
                <w:sz w:val="24"/>
                <w:lang w:val="zh-CN"/>
              </w:rPr>
              <w:t>不</w:t>
            </w:r>
            <w:r>
              <w:rPr>
                <w:color w:val="auto"/>
                <w:sz w:val="24"/>
                <w:lang w:val="zh-CN"/>
              </w:rPr>
              <w:t>开展现状调查。</w:t>
            </w:r>
          </w:p>
        </w:tc>
      </w:tr>
      <w:tr w14:paraId="45D3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590" w:type="dxa"/>
            <w:shd w:val="clear" w:color="auto" w:fill="auto"/>
            <w:vAlign w:val="center"/>
          </w:tcPr>
          <w:p w14:paraId="78DE003D">
            <w:pPr>
              <w:jc w:val="left"/>
              <w:rPr>
                <w:rFonts w:ascii="宋体" w:hAnsi="宋体"/>
                <w:color w:val="auto"/>
                <w:sz w:val="24"/>
                <w:szCs w:val="22"/>
              </w:rPr>
            </w:pPr>
            <w:r>
              <w:rPr>
                <w:rFonts w:hint="eastAsia" w:ascii="宋体" w:hAnsi="宋体"/>
                <w:color w:val="auto"/>
                <w:sz w:val="24"/>
                <w:szCs w:val="22"/>
              </w:rPr>
              <w:t>环</w:t>
            </w:r>
          </w:p>
          <w:p w14:paraId="57E85B68">
            <w:pPr>
              <w:pStyle w:val="17"/>
              <w:rPr>
                <w:color w:val="auto"/>
              </w:rPr>
            </w:pPr>
          </w:p>
          <w:p w14:paraId="37318DE2">
            <w:pPr>
              <w:jc w:val="left"/>
              <w:rPr>
                <w:rFonts w:ascii="宋体" w:hAnsi="宋体"/>
                <w:color w:val="auto"/>
                <w:sz w:val="24"/>
                <w:szCs w:val="22"/>
              </w:rPr>
            </w:pPr>
            <w:r>
              <w:rPr>
                <w:rFonts w:hint="eastAsia" w:ascii="宋体" w:hAnsi="宋体"/>
                <w:color w:val="auto"/>
                <w:sz w:val="24"/>
                <w:szCs w:val="22"/>
              </w:rPr>
              <w:t>境</w:t>
            </w:r>
          </w:p>
          <w:p w14:paraId="6DB04A19">
            <w:pPr>
              <w:jc w:val="left"/>
              <w:rPr>
                <w:rFonts w:ascii="宋体" w:hAnsi="宋体"/>
                <w:color w:val="auto"/>
                <w:sz w:val="24"/>
                <w:szCs w:val="22"/>
              </w:rPr>
            </w:pPr>
          </w:p>
          <w:p w14:paraId="35FEEA52">
            <w:pPr>
              <w:jc w:val="left"/>
              <w:rPr>
                <w:rFonts w:ascii="宋体" w:hAnsi="宋体"/>
                <w:color w:val="auto"/>
                <w:sz w:val="24"/>
                <w:szCs w:val="22"/>
              </w:rPr>
            </w:pPr>
            <w:r>
              <w:rPr>
                <w:rFonts w:hint="eastAsia" w:ascii="宋体" w:hAnsi="宋体"/>
                <w:color w:val="auto"/>
                <w:sz w:val="24"/>
                <w:szCs w:val="22"/>
              </w:rPr>
              <w:t>保</w:t>
            </w:r>
          </w:p>
          <w:p w14:paraId="1AF682E4">
            <w:pPr>
              <w:jc w:val="left"/>
              <w:rPr>
                <w:rFonts w:ascii="宋体" w:hAnsi="宋体"/>
                <w:color w:val="auto"/>
                <w:sz w:val="24"/>
                <w:szCs w:val="22"/>
              </w:rPr>
            </w:pPr>
          </w:p>
          <w:p w14:paraId="62735E00">
            <w:pPr>
              <w:jc w:val="left"/>
              <w:rPr>
                <w:rFonts w:ascii="宋体" w:hAnsi="宋体"/>
                <w:color w:val="auto"/>
                <w:sz w:val="24"/>
                <w:szCs w:val="22"/>
              </w:rPr>
            </w:pPr>
            <w:r>
              <w:rPr>
                <w:rFonts w:hint="eastAsia" w:ascii="宋体" w:hAnsi="宋体"/>
                <w:color w:val="auto"/>
                <w:sz w:val="24"/>
                <w:szCs w:val="22"/>
              </w:rPr>
              <w:t>护</w:t>
            </w:r>
          </w:p>
          <w:p w14:paraId="6FE50A77">
            <w:pPr>
              <w:jc w:val="left"/>
              <w:rPr>
                <w:rFonts w:ascii="宋体" w:hAnsi="宋体"/>
                <w:color w:val="auto"/>
                <w:sz w:val="24"/>
                <w:szCs w:val="22"/>
              </w:rPr>
            </w:pPr>
          </w:p>
          <w:p w14:paraId="6F982F15">
            <w:pPr>
              <w:jc w:val="left"/>
              <w:rPr>
                <w:rFonts w:ascii="宋体" w:hAnsi="宋体"/>
                <w:color w:val="auto"/>
                <w:sz w:val="24"/>
                <w:szCs w:val="22"/>
              </w:rPr>
            </w:pPr>
            <w:r>
              <w:rPr>
                <w:rFonts w:hint="eastAsia" w:ascii="宋体" w:hAnsi="宋体"/>
                <w:color w:val="auto"/>
                <w:sz w:val="24"/>
                <w:szCs w:val="22"/>
              </w:rPr>
              <w:t>目</w:t>
            </w:r>
          </w:p>
          <w:p w14:paraId="44D0863F">
            <w:pPr>
              <w:jc w:val="left"/>
              <w:rPr>
                <w:rFonts w:ascii="宋体" w:hAnsi="宋体"/>
                <w:color w:val="auto"/>
                <w:sz w:val="24"/>
                <w:szCs w:val="22"/>
              </w:rPr>
            </w:pPr>
          </w:p>
          <w:p w14:paraId="62D571E6">
            <w:pPr>
              <w:jc w:val="left"/>
              <w:rPr>
                <w:rFonts w:hint="eastAsia" w:ascii="Times New Roman" w:hAnsi="Times New Roman" w:eastAsia="宋体" w:cs="Times New Roman"/>
                <w:color w:val="auto"/>
                <w:kern w:val="2"/>
                <w:sz w:val="21"/>
                <w:szCs w:val="21"/>
                <w:lang w:val="en-US" w:eastAsia="zh-CN" w:bidi="ar-SA"/>
              </w:rPr>
            </w:pPr>
            <w:r>
              <w:rPr>
                <w:rFonts w:hint="eastAsia" w:ascii="宋体" w:hAnsi="宋体"/>
                <w:color w:val="auto"/>
                <w:sz w:val="24"/>
                <w:szCs w:val="22"/>
              </w:rPr>
              <w:t>标</w:t>
            </w:r>
          </w:p>
        </w:tc>
        <w:tc>
          <w:tcPr>
            <w:tcW w:w="9331" w:type="dxa"/>
            <w:shd w:val="clear" w:color="auto" w:fill="auto"/>
            <w:vAlign w:val="center"/>
          </w:tcPr>
          <w:p w14:paraId="3E94F853">
            <w:pPr>
              <w:spacing w:line="360" w:lineRule="auto"/>
              <w:rPr>
                <w:b/>
                <w:bCs/>
                <w:color w:val="auto"/>
                <w:sz w:val="24"/>
              </w:rPr>
            </w:pPr>
            <w:r>
              <w:rPr>
                <w:b/>
                <w:bCs/>
                <w:color w:val="auto"/>
                <w:sz w:val="24"/>
              </w:rPr>
              <w:t>主要环境保护目标（列出名单及保护级别）：</w:t>
            </w:r>
          </w:p>
          <w:p w14:paraId="6CA6CDB0">
            <w:pPr>
              <w:spacing w:line="360" w:lineRule="auto"/>
              <w:ind w:firstLine="480" w:firstLineChars="200"/>
              <w:rPr>
                <w:bCs/>
                <w:color w:val="auto"/>
                <w:sz w:val="24"/>
              </w:rPr>
            </w:pPr>
            <w:r>
              <w:rPr>
                <w:rFonts w:hint="eastAsia"/>
                <w:bCs/>
                <w:color w:val="auto"/>
                <w:sz w:val="24"/>
              </w:rPr>
              <w:t>（</w:t>
            </w:r>
            <w:r>
              <w:rPr>
                <w:bCs/>
                <w:color w:val="auto"/>
                <w:sz w:val="24"/>
              </w:rPr>
              <w:t>1）环境空气质量：执行《环境空气质量标准》（GB3095-2012）修改单中的二级标准；</w:t>
            </w:r>
          </w:p>
          <w:p w14:paraId="69CBA96C">
            <w:pPr>
              <w:spacing w:line="360" w:lineRule="auto"/>
              <w:ind w:firstLine="480" w:firstLineChars="200"/>
              <w:rPr>
                <w:bCs/>
                <w:color w:val="auto"/>
                <w:sz w:val="24"/>
              </w:rPr>
            </w:pPr>
            <w:r>
              <w:rPr>
                <w:bCs/>
                <w:color w:val="auto"/>
                <w:sz w:val="24"/>
              </w:rPr>
              <w:t>（2）厂界环境噪声：</w:t>
            </w:r>
            <w:r>
              <w:rPr>
                <w:rFonts w:hint="eastAsia"/>
                <w:color w:val="auto"/>
                <w:sz w:val="24"/>
              </w:rPr>
              <w:t>本项目位于江苏省常州市金坛区直溪镇工业集中区直溪大道16号</w:t>
            </w:r>
            <w:r>
              <w:rPr>
                <w:color w:val="auto"/>
                <w:sz w:val="24"/>
              </w:rPr>
              <w:t>，项目厂界执行《声环境质量标准》（GB3096-2008）中的</w:t>
            </w:r>
            <w:r>
              <w:rPr>
                <w:rFonts w:hint="eastAsia"/>
                <w:color w:val="auto"/>
                <w:sz w:val="24"/>
              </w:rPr>
              <w:t>3</w:t>
            </w:r>
            <w:r>
              <w:rPr>
                <w:color w:val="auto"/>
                <w:sz w:val="24"/>
              </w:rPr>
              <w:t>类标准；</w:t>
            </w:r>
          </w:p>
          <w:p w14:paraId="7566F9F8">
            <w:pPr>
              <w:spacing w:line="360" w:lineRule="auto"/>
              <w:ind w:firstLine="480" w:firstLineChars="200"/>
              <w:rPr>
                <w:bCs/>
                <w:color w:val="auto"/>
                <w:sz w:val="24"/>
              </w:rPr>
            </w:pPr>
            <w:r>
              <w:rPr>
                <w:rFonts w:hAnsi="宋体"/>
                <w:bCs/>
                <w:color w:val="auto"/>
                <w:sz w:val="24"/>
              </w:rPr>
              <w:t>（</w:t>
            </w:r>
            <w:r>
              <w:rPr>
                <w:bCs/>
                <w:color w:val="auto"/>
                <w:sz w:val="24"/>
              </w:rPr>
              <w:t>3</w:t>
            </w:r>
            <w:r>
              <w:rPr>
                <w:rFonts w:hAnsi="宋体"/>
                <w:bCs/>
                <w:color w:val="auto"/>
                <w:sz w:val="24"/>
              </w:rPr>
              <w:t>）地表水：</w:t>
            </w:r>
            <w:r>
              <w:rPr>
                <w:rFonts w:hint="eastAsia" w:hAnsi="宋体"/>
                <w:bCs/>
                <w:color w:val="auto"/>
                <w:sz w:val="24"/>
              </w:rPr>
              <w:t>通济河</w:t>
            </w:r>
            <w:r>
              <w:rPr>
                <w:rFonts w:hAnsi="宋体"/>
                <w:bCs/>
                <w:color w:val="auto"/>
                <w:sz w:val="24"/>
              </w:rPr>
              <w:t>水质维持现状。</w:t>
            </w:r>
          </w:p>
          <w:p w14:paraId="4578C613">
            <w:pPr>
              <w:spacing w:line="360" w:lineRule="auto"/>
              <w:ind w:firstLine="480" w:firstLineChars="200"/>
              <w:rPr>
                <w:bCs/>
                <w:color w:val="auto"/>
              </w:rPr>
            </w:pPr>
            <w:r>
              <w:rPr>
                <w:bCs/>
                <w:color w:val="auto"/>
                <w:sz w:val="24"/>
              </w:rPr>
              <w:t>根据《环境影响评价技术导则》要求，经现场实地调查，本项目厂界周围无自然保护区和其它人文遗迹</w:t>
            </w:r>
            <w:r>
              <w:rPr>
                <w:rFonts w:hint="eastAsia"/>
                <w:bCs/>
                <w:color w:val="auto"/>
                <w:sz w:val="24"/>
              </w:rPr>
              <w:t>。</w:t>
            </w:r>
          </w:p>
          <w:p w14:paraId="43425E1F">
            <w:pPr>
              <w:spacing w:line="360" w:lineRule="auto"/>
              <w:ind w:firstLine="480" w:firstLineChars="200"/>
              <w:rPr>
                <w:color w:val="auto"/>
                <w:sz w:val="24"/>
              </w:rPr>
            </w:pPr>
            <w:r>
              <w:rPr>
                <w:bCs/>
                <w:color w:val="auto"/>
                <w:sz w:val="24"/>
              </w:rPr>
              <w:t>根据本项目区域环境功能特征及建设项目地理位置和性质，确定受本项目影响主要保护目标见下表3</w:t>
            </w:r>
            <w:r>
              <w:rPr>
                <w:rFonts w:hint="eastAsia"/>
                <w:bCs/>
                <w:color w:val="auto"/>
                <w:sz w:val="24"/>
              </w:rPr>
              <w:t>-6</w:t>
            </w:r>
            <w:r>
              <w:rPr>
                <w:color w:val="auto"/>
                <w:sz w:val="24"/>
              </w:rPr>
              <w:t>。</w:t>
            </w:r>
          </w:p>
          <w:p w14:paraId="07283D1E">
            <w:pPr>
              <w:pStyle w:val="3"/>
              <w:jc w:val="center"/>
              <w:outlineLvl w:val="2"/>
              <w:rPr>
                <w:rFonts w:hint="eastAsia"/>
                <w:b/>
                <w:bCs/>
                <w:color w:val="auto"/>
                <w:sz w:val="24"/>
              </w:rPr>
            </w:pPr>
          </w:p>
          <w:p w14:paraId="6A9F307C">
            <w:pPr>
              <w:pStyle w:val="3"/>
              <w:jc w:val="center"/>
              <w:outlineLvl w:val="2"/>
              <w:rPr>
                <w:rFonts w:hint="eastAsia"/>
                <w:b/>
                <w:bCs/>
                <w:color w:val="auto"/>
                <w:sz w:val="24"/>
              </w:rPr>
            </w:pPr>
          </w:p>
          <w:p w14:paraId="11280426">
            <w:pPr>
              <w:pStyle w:val="3"/>
              <w:jc w:val="center"/>
              <w:outlineLvl w:val="2"/>
              <w:rPr>
                <w:rFonts w:hint="eastAsia"/>
                <w:b/>
                <w:bCs/>
                <w:color w:val="auto"/>
                <w:sz w:val="24"/>
              </w:rPr>
            </w:pPr>
          </w:p>
          <w:p w14:paraId="3853F9F1">
            <w:pPr>
              <w:pStyle w:val="3"/>
              <w:jc w:val="center"/>
              <w:outlineLvl w:val="2"/>
              <w:rPr>
                <w:color w:val="auto"/>
              </w:rPr>
            </w:pPr>
            <w:r>
              <w:rPr>
                <w:rFonts w:hint="eastAsia"/>
                <w:b/>
                <w:bCs/>
                <w:color w:val="auto"/>
                <w:sz w:val="24"/>
              </w:rPr>
              <w:t xml:space="preserve">表3-6  </w:t>
            </w:r>
            <w:r>
              <w:rPr>
                <w:b/>
                <w:bCs/>
                <w:color w:val="auto"/>
                <w:sz w:val="24"/>
              </w:rPr>
              <w:t>主要环境保护目标一览表</w:t>
            </w:r>
          </w:p>
          <w:tbl>
            <w:tblPr>
              <w:tblStyle w:val="22"/>
              <w:tblW w:w="497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90"/>
              <w:gridCol w:w="1370"/>
              <w:gridCol w:w="697"/>
              <w:gridCol w:w="782"/>
              <w:gridCol w:w="920"/>
              <w:gridCol w:w="1955"/>
              <w:gridCol w:w="2545"/>
            </w:tblGrid>
            <w:tr w14:paraId="7029D1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0" w:hRule="atLeast"/>
                <w:jc w:val="center"/>
              </w:trPr>
              <w:tc>
                <w:tcPr>
                  <w:tcW w:w="790" w:type="dxa"/>
                  <w:vAlign w:val="center"/>
                </w:tcPr>
                <w:p w14:paraId="12E7FB97">
                  <w:pPr>
                    <w:spacing w:line="0" w:lineRule="atLeast"/>
                    <w:jc w:val="center"/>
                    <w:rPr>
                      <w:b/>
                      <w:bCs/>
                      <w:color w:val="auto"/>
                    </w:rPr>
                  </w:pPr>
                  <w:r>
                    <w:rPr>
                      <w:b/>
                      <w:bCs/>
                      <w:color w:val="auto"/>
                    </w:rPr>
                    <w:t>环境</w:t>
                  </w:r>
                </w:p>
                <w:p w14:paraId="3A3F71B4">
                  <w:pPr>
                    <w:spacing w:line="0" w:lineRule="atLeast"/>
                    <w:jc w:val="center"/>
                    <w:rPr>
                      <w:b/>
                      <w:bCs/>
                      <w:color w:val="auto"/>
                    </w:rPr>
                  </w:pPr>
                  <w:r>
                    <w:rPr>
                      <w:b/>
                      <w:bCs/>
                      <w:color w:val="auto"/>
                    </w:rPr>
                    <w:t>要素</w:t>
                  </w:r>
                </w:p>
              </w:tc>
              <w:tc>
                <w:tcPr>
                  <w:tcW w:w="1370" w:type="dxa"/>
                  <w:vAlign w:val="center"/>
                </w:tcPr>
                <w:p w14:paraId="7133822B">
                  <w:pPr>
                    <w:spacing w:line="0" w:lineRule="atLeast"/>
                    <w:jc w:val="center"/>
                    <w:rPr>
                      <w:b/>
                      <w:bCs/>
                      <w:color w:val="auto"/>
                    </w:rPr>
                  </w:pPr>
                  <w:r>
                    <w:rPr>
                      <w:b/>
                      <w:bCs/>
                      <w:color w:val="auto"/>
                    </w:rPr>
                    <w:t>保护对象名称</w:t>
                  </w:r>
                </w:p>
              </w:tc>
              <w:tc>
                <w:tcPr>
                  <w:tcW w:w="697" w:type="dxa"/>
                  <w:vAlign w:val="center"/>
                </w:tcPr>
                <w:p w14:paraId="3B99152B">
                  <w:pPr>
                    <w:spacing w:line="0" w:lineRule="atLeast"/>
                    <w:jc w:val="center"/>
                    <w:rPr>
                      <w:b/>
                      <w:bCs/>
                      <w:color w:val="auto"/>
                    </w:rPr>
                  </w:pPr>
                  <w:r>
                    <w:rPr>
                      <w:b/>
                      <w:bCs/>
                      <w:color w:val="auto"/>
                    </w:rPr>
                    <w:t>方位</w:t>
                  </w:r>
                </w:p>
              </w:tc>
              <w:tc>
                <w:tcPr>
                  <w:tcW w:w="782" w:type="dxa"/>
                  <w:vAlign w:val="center"/>
                </w:tcPr>
                <w:p w14:paraId="79C5C39C">
                  <w:pPr>
                    <w:spacing w:line="0" w:lineRule="atLeast"/>
                    <w:jc w:val="center"/>
                    <w:rPr>
                      <w:b/>
                      <w:bCs/>
                      <w:color w:val="auto"/>
                    </w:rPr>
                  </w:pPr>
                  <w:r>
                    <w:rPr>
                      <w:b/>
                      <w:bCs/>
                      <w:color w:val="auto"/>
                    </w:rPr>
                    <w:t>距离</w:t>
                  </w:r>
                </w:p>
              </w:tc>
              <w:tc>
                <w:tcPr>
                  <w:tcW w:w="920" w:type="dxa"/>
                  <w:vAlign w:val="center"/>
                </w:tcPr>
                <w:p w14:paraId="7C1FE101">
                  <w:pPr>
                    <w:spacing w:line="0" w:lineRule="atLeast"/>
                    <w:jc w:val="center"/>
                    <w:rPr>
                      <w:b/>
                      <w:bCs/>
                      <w:color w:val="auto"/>
                    </w:rPr>
                  </w:pPr>
                  <w:r>
                    <w:rPr>
                      <w:b/>
                      <w:bCs/>
                      <w:color w:val="auto"/>
                    </w:rPr>
                    <w:t>规模</w:t>
                  </w:r>
                </w:p>
              </w:tc>
              <w:tc>
                <w:tcPr>
                  <w:tcW w:w="1956" w:type="dxa"/>
                  <w:vAlign w:val="center"/>
                </w:tcPr>
                <w:p w14:paraId="3A715D5F">
                  <w:pPr>
                    <w:spacing w:line="0" w:lineRule="atLeast"/>
                    <w:jc w:val="center"/>
                    <w:rPr>
                      <w:b/>
                      <w:color w:val="auto"/>
                    </w:rPr>
                  </w:pPr>
                  <w:r>
                    <w:rPr>
                      <w:b/>
                      <w:color w:val="auto"/>
                    </w:rPr>
                    <w:t>环境保护目标要求</w:t>
                  </w:r>
                </w:p>
              </w:tc>
              <w:tc>
                <w:tcPr>
                  <w:tcW w:w="2546" w:type="dxa"/>
                  <w:vAlign w:val="center"/>
                </w:tcPr>
                <w:p w14:paraId="1AEFA6BC">
                  <w:pPr>
                    <w:spacing w:line="0" w:lineRule="atLeast"/>
                    <w:jc w:val="center"/>
                    <w:rPr>
                      <w:b/>
                      <w:color w:val="auto"/>
                    </w:rPr>
                  </w:pPr>
                  <w:r>
                    <w:rPr>
                      <w:b/>
                      <w:color w:val="auto"/>
                    </w:rPr>
                    <w:t>环境功能区划</w:t>
                  </w:r>
                </w:p>
              </w:tc>
            </w:tr>
            <w:tr w14:paraId="4BBE93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78" w:hRule="atLeast"/>
                <w:jc w:val="center"/>
              </w:trPr>
              <w:tc>
                <w:tcPr>
                  <w:tcW w:w="790" w:type="dxa"/>
                  <w:vAlign w:val="center"/>
                </w:tcPr>
                <w:p w14:paraId="5063CDF1">
                  <w:pPr>
                    <w:spacing w:line="0" w:lineRule="atLeast"/>
                    <w:jc w:val="center"/>
                    <w:rPr>
                      <w:color w:val="auto"/>
                    </w:rPr>
                  </w:pPr>
                  <w:r>
                    <w:rPr>
                      <w:color w:val="auto"/>
                    </w:rPr>
                    <w:t>声环境</w:t>
                  </w:r>
                </w:p>
              </w:tc>
              <w:tc>
                <w:tcPr>
                  <w:tcW w:w="1370" w:type="dxa"/>
                  <w:vAlign w:val="center"/>
                </w:tcPr>
                <w:p w14:paraId="1C92FE85">
                  <w:pPr>
                    <w:spacing w:line="0" w:lineRule="atLeast"/>
                    <w:jc w:val="center"/>
                    <w:rPr>
                      <w:color w:val="auto"/>
                    </w:rPr>
                  </w:pPr>
                  <w:r>
                    <w:rPr>
                      <w:color w:val="auto"/>
                    </w:rPr>
                    <w:t>厂界外50m范围</w:t>
                  </w:r>
                </w:p>
              </w:tc>
              <w:tc>
                <w:tcPr>
                  <w:tcW w:w="697" w:type="dxa"/>
                  <w:vAlign w:val="center"/>
                </w:tcPr>
                <w:p w14:paraId="3601E46B">
                  <w:pPr>
                    <w:spacing w:line="0" w:lineRule="atLeast"/>
                    <w:jc w:val="center"/>
                    <w:rPr>
                      <w:color w:val="auto"/>
                    </w:rPr>
                  </w:pPr>
                  <w:r>
                    <w:rPr>
                      <w:color w:val="auto"/>
                    </w:rPr>
                    <w:t>/</w:t>
                  </w:r>
                </w:p>
              </w:tc>
              <w:tc>
                <w:tcPr>
                  <w:tcW w:w="782" w:type="dxa"/>
                  <w:vAlign w:val="center"/>
                </w:tcPr>
                <w:p w14:paraId="5E0D8AA6">
                  <w:pPr>
                    <w:spacing w:line="0" w:lineRule="atLeast"/>
                    <w:jc w:val="center"/>
                    <w:rPr>
                      <w:color w:val="auto"/>
                    </w:rPr>
                  </w:pPr>
                  <w:r>
                    <w:rPr>
                      <w:color w:val="auto"/>
                    </w:rPr>
                    <w:t>/</w:t>
                  </w:r>
                </w:p>
              </w:tc>
              <w:tc>
                <w:tcPr>
                  <w:tcW w:w="920" w:type="dxa"/>
                  <w:vAlign w:val="center"/>
                </w:tcPr>
                <w:p w14:paraId="62ECEBCC">
                  <w:pPr>
                    <w:spacing w:line="0" w:lineRule="atLeast"/>
                    <w:jc w:val="center"/>
                    <w:rPr>
                      <w:color w:val="auto"/>
                    </w:rPr>
                  </w:pPr>
                  <w:r>
                    <w:rPr>
                      <w:rFonts w:hint="eastAsia"/>
                      <w:color w:val="auto"/>
                    </w:rPr>
                    <w:t>/</w:t>
                  </w:r>
                </w:p>
              </w:tc>
              <w:tc>
                <w:tcPr>
                  <w:tcW w:w="1956" w:type="dxa"/>
                  <w:vAlign w:val="center"/>
                </w:tcPr>
                <w:p w14:paraId="4B9F1BF4">
                  <w:pPr>
                    <w:spacing w:line="0" w:lineRule="atLeast"/>
                    <w:jc w:val="center"/>
                    <w:rPr>
                      <w:color w:val="auto"/>
                    </w:rPr>
                  </w:pPr>
                  <w:r>
                    <w:rPr>
                      <w:color w:val="auto"/>
                    </w:rPr>
                    <w:t>《声环境质量标准》（GB3096-2008）中3类标准</w:t>
                  </w:r>
                </w:p>
              </w:tc>
              <w:tc>
                <w:tcPr>
                  <w:tcW w:w="2546" w:type="dxa"/>
                  <w:vAlign w:val="center"/>
                </w:tcPr>
                <w:p w14:paraId="4126AEC8">
                  <w:pPr>
                    <w:spacing w:line="0" w:lineRule="atLeast"/>
                    <w:jc w:val="center"/>
                    <w:rPr>
                      <w:color w:val="auto"/>
                    </w:rPr>
                  </w:pPr>
                  <w:r>
                    <w:rPr>
                      <w:color w:val="auto"/>
                    </w:rPr>
                    <w:t>《常州市市区声环境功能区划（2017）》（常政发</w:t>
                  </w:r>
                  <w:r>
                    <w:rPr>
                      <w:rFonts w:hint="eastAsia"/>
                      <w:color w:val="auto"/>
                    </w:rPr>
                    <w:t>〔</w:t>
                  </w:r>
                  <w:r>
                    <w:rPr>
                      <w:color w:val="auto"/>
                    </w:rPr>
                    <w:t>2017</w:t>
                  </w:r>
                  <w:r>
                    <w:rPr>
                      <w:rFonts w:hint="eastAsia"/>
                      <w:color w:val="auto"/>
                    </w:rPr>
                    <w:t>〕</w:t>
                  </w:r>
                  <w:r>
                    <w:rPr>
                      <w:color w:val="auto"/>
                    </w:rPr>
                    <w:t>161号）</w:t>
                  </w:r>
                </w:p>
              </w:tc>
            </w:tr>
            <w:tr w14:paraId="68E2AD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78" w:hRule="atLeast"/>
                <w:jc w:val="center"/>
              </w:trPr>
              <w:tc>
                <w:tcPr>
                  <w:tcW w:w="790" w:type="dxa"/>
                  <w:vAlign w:val="center"/>
                </w:tcPr>
                <w:p w14:paraId="4D4003DB">
                  <w:pPr>
                    <w:spacing w:line="0" w:lineRule="atLeast"/>
                    <w:jc w:val="center"/>
                    <w:rPr>
                      <w:color w:val="auto"/>
                    </w:rPr>
                  </w:pPr>
                  <w:r>
                    <w:rPr>
                      <w:color w:val="auto"/>
                    </w:rPr>
                    <w:t>地表水环境</w:t>
                  </w:r>
                </w:p>
              </w:tc>
              <w:tc>
                <w:tcPr>
                  <w:tcW w:w="1370" w:type="dxa"/>
                  <w:vAlign w:val="center"/>
                </w:tcPr>
                <w:p w14:paraId="3818472A">
                  <w:pPr>
                    <w:pStyle w:val="18"/>
                    <w:tabs>
                      <w:tab w:val="left" w:pos="3456"/>
                    </w:tabs>
                    <w:spacing w:line="0" w:lineRule="atLeast"/>
                    <w:jc w:val="center"/>
                    <w:rPr>
                      <w:b/>
                      <w:bCs/>
                      <w:color w:val="auto"/>
                    </w:rPr>
                  </w:pPr>
                  <w:r>
                    <w:rPr>
                      <w:rFonts w:hint="eastAsia"/>
                      <w:color w:val="auto"/>
                    </w:rPr>
                    <w:t>通济河</w:t>
                  </w:r>
                </w:p>
              </w:tc>
              <w:tc>
                <w:tcPr>
                  <w:tcW w:w="697" w:type="dxa"/>
                  <w:vAlign w:val="center"/>
                </w:tcPr>
                <w:p w14:paraId="7750C411">
                  <w:pPr>
                    <w:pStyle w:val="39"/>
                    <w:spacing w:line="0" w:lineRule="atLeast"/>
                    <w:rPr>
                      <w:rFonts w:ascii="Times New Roman" w:eastAsia="宋体"/>
                      <w:bCs/>
                      <w:color w:val="auto"/>
                      <w:kern w:val="2"/>
                      <w:sz w:val="21"/>
                      <w:szCs w:val="21"/>
                    </w:rPr>
                  </w:pPr>
                  <w:r>
                    <w:rPr>
                      <w:rFonts w:hint="eastAsia" w:ascii="Times New Roman" w:eastAsia="宋体"/>
                      <w:bCs/>
                      <w:color w:val="auto"/>
                      <w:kern w:val="2"/>
                      <w:sz w:val="21"/>
                      <w:szCs w:val="21"/>
                    </w:rPr>
                    <w:t>N</w:t>
                  </w:r>
                </w:p>
              </w:tc>
              <w:tc>
                <w:tcPr>
                  <w:tcW w:w="782" w:type="dxa"/>
                  <w:vAlign w:val="center"/>
                </w:tcPr>
                <w:p w14:paraId="36C5B4D4">
                  <w:pPr>
                    <w:spacing w:line="0" w:lineRule="atLeast"/>
                    <w:jc w:val="center"/>
                    <w:rPr>
                      <w:color w:val="auto"/>
                    </w:rPr>
                  </w:pPr>
                  <w:r>
                    <w:rPr>
                      <w:rFonts w:hint="eastAsia"/>
                      <w:color w:val="auto"/>
                    </w:rPr>
                    <w:t>1.2</w:t>
                  </w:r>
                  <w:r>
                    <w:rPr>
                      <w:color w:val="auto"/>
                    </w:rPr>
                    <w:t>km</w:t>
                  </w:r>
                </w:p>
              </w:tc>
              <w:tc>
                <w:tcPr>
                  <w:tcW w:w="920" w:type="dxa"/>
                  <w:vAlign w:val="center"/>
                </w:tcPr>
                <w:p w14:paraId="5DA35F6F">
                  <w:pPr>
                    <w:pStyle w:val="18"/>
                    <w:tabs>
                      <w:tab w:val="left" w:pos="3456"/>
                    </w:tabs>
                    <w:spacing w:line="0" w:lineRule="atLeast"/>
                    <w:jc w:val="center"/>
                    <w:rPr>
                      <w:rFonts w:hAnsi="宋体"/>
                      <w:b/>
                      <w:color w:val="auto"/>
                    </w:rPr>
                  </w:pPr>
                  <w:r>
                    <w:rPr>
                      <w:rFonts w:hint="eastAsia" w:hAnsi="宋体"/>
                      <w:color w:val="auto"/>
                    </w:rPr>
                    <w:t>中河</w:t>
                  </w:r>
                </w:p>
              </w:tc>
              <w:tc>
                <w:tcPr>
                  <w:tcW w:w="1956" w:type="dxa"/>
                  <w:vAlign w:val="center"/>
                </w:tcPr>
                <w:p w14:paraId="45693946">
                  <w:pPr>
                    <w:spacing w:line="0" w:lineRule="atLeast"/>
                    <w:jc w:val="center"/>
                    <w:rPr>
                      <w:color w:val="auto"/>
                    </w:rPr>
                  </w:pPr>
                  <w:r>
                    <w:rPr>
                      <w:rFonts w:hAnsi="宋体"/>
                      <w:color w:val="auto"/>
                    </w:rPr>
                    <w:t>《地表水环境质量标准》</w:t>
                  </w:r>
                  <w:r>
                    <w:rPr>
                      <w:color w:val="auto"/>
                    </w:rPr>
                    <w:t>（GB3838-2002）</w:t>
                  </w:r>
                  <w:r>
                    <w:rPr>
                      <w:rFonts w:hint="eastAsia"/>
                      <w:color w:val="auto"/>
                    </w:rPr>
                    <w:t>IV</w:t>
                  </w:r>
                  <w:r>
                    <w:rPr>
                      <w:rFonts w:hAnsi="宋体"/>
                      <w:color w:val="auto"/>
                    </w:rPr>
                    <w:t>类标准</w:t>
                  </w:r>
                </w:p>
              </w:tc>
              <w:tc>
                <w:tcPr>
                  <w:tcW w:w="2546" w:type="dxa"/>
                  <w:vAlign w:val="center"/>
                </w:tcPr>
                <w:p w14:paraId="65DE3F64">
                  <w:pPr>
                    <w:spacing w:line="0" w:lineRule="atLeast"/>
                    <w:jc w:val="center"/>
                    <w:rPr>
                      <w:color w:val="auto"/>
                    </w:rPr>
                  </w:pPr>
                  <w:r>
                    <w:rPr>
                      <w:rFonts w:hint="eastAsia"/>
                      <w:color w:val="auto"/>
                    </w:rPr>
                    <w:t>《江苏省河流型水（环境）功能区划（2021-2030年）》</w:t>
                  </w:r>
                </w:p>
              </w:tc>
            </w:tr>
            <w:tr w14:paraId="50037E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0" w:hRule="atLeast"/>
                <w:jc w:val="center"/>
              </w:trPr>
              <w:tc>
                <w:tcPr>
                  <w:tcW w:w="790" w:type="dxa"/>
                  <w:vAlign w:val="center"/>
                </w:tcPr>
                <w:p w14:paraId="349B4D38">
                  <w:pPr>
                    <w:spacing w:line="0" w:lineRule="atLeast"/>
                    <w:jc w:val="center"/>
                    <w:rPr>
                      <w:color w:val="auto"/>
                    </w:rPr>
                  </w:pPr>
                  <w:r>
                    <w:rPr>
                      <w:color w:val="auto"/>
                    </w:rPr>
                    <w:t>生态环境</w:t>
                  </w:r>
                </w:p>
              </w:tc>
              <w:tc>
                <w:tcPr>
                  <w:tcW w:w="1370" w:type="dxa"/>
                  <w:vAlign w:val="center"/>
                </w:tcPr>
                <w:p w14:paraId="2B1FB922">
                  <w:pPr>
                    <w:spacing w:line="0" w:lineRule="atLeast"/>
                    <w:jc w:val="center"/>
                    <w:rPr>
                      <w:color w:val="auto"/>
                    </w:rPr>
                  </w:pPr>
                  <w:r>
                    <w:rPr>
                      <w:color w:val="auto"/>
                    </w:rPr>
                    <w:t>天荒湖重要渔业水域</w:t>
                  </w:r>
                </w:p>
              </w:tc>
              <w:tc>
                <w:tcPr>
                  <w:tcW w:w="697" w:type="dxa"/>
                  <w:vAlign w:val="center"/>
                </w:tcPr>
                <w:p w14:paraId="39C323D7">
                  <w:pPr>
                    <w:spacing w:line="0" w:lineRule="atLeast"/>
                    <w:jc w:val="center"/>
                    <w:rPr>
                      <w:color w:val="auto"/>
                    </w:rPr>
                  </w:pPr>
                  <w:r>
                    <w:rPr>
                      <w:rFonts w:hint="eastAsia"/>
                      <w:color w:val="auto"/>
                    </w:rPr>
                    <w:t>NE</w:t>
                  </w:r>
                </w:p>
              </w:tc>
              <w:tc>
                <w:tcPr>
                  <w:tcW w:w="782" w:type="dxa"/>
                  <w:vAlign w:val="center"/>
                </w:tcPr>
                <w:p w14:paraId="060D920D">
                  <w:pPr>
                    <w:spacing w:line="0" w:lineRule="atLeast"/>
                    <w:jc w:val="center"/>
                    <w:rPr>
                      <w:color w:val="auto"/>
                    </w:rPr>
                  </w:pPr>
                  <w:r>
                    <w:rPr>
                      <w:rFonts w:hint="eastAsia"/>
                      <w:color w:val="auto"/>
                    </w:rPr>
                    <w:t>2.6km</w:t>
                  </w:r>
                </w:p>
              </w:tc>
              <w:tc>
                <w:tcPr>
                  <w:tcW w:w="920" w:type="dxa"/>
                  <w:vAlign w:val="center"/>
                </w:tcPr>
                <w:p w14:paraId="5FB88BF1">
                  <w:pPr>
                    <w:spacing w:line="0" w:lineRule="atLeast"/>
                    <w:jc w:val="center"/>
                    <w:rPr>
                      <w:color w:val="auto"/>
                    </w:rPr>
                  </w:pPr>
                  <w:r>
                    <w:rPr>
                      <w:rFonts w:hint="eastAsia"/>
                      <w:color w:val="auto"/>
                    </w:rPr>
                    <w:t>18.08</w:t>
                  </w:r>
                  <w:r>
                    <w:rPr>
                      <w:color w:val="auto"/>
                    </w:rPr>
                    <w:t>km</w:t>
                  </w:r>
                  <w:r>
                    <w:rPr>
                      <w:color w:val="auto"/>
                      <w:vertAlign w:val="superscript"/>
                    </w:rPr>
                    <w:t>2</w:t>
                  </w:r>
                </w:p>
              </w:tc>
              <w:tc>
                <w:tcPr>
                  <w:tcW w:w="1956" w:type="dxa"/>
                  <w:vAlign w:val="center"/>
                </w:tcPr>
                <w:p w14:paraId="6E8FF0CF">
                  <w:pPr>
                    <w:spacing w:line="0" w:lineRule="atLeast"/>
                    <w:jc w:val="center"/>
                    <w:rPr>
                      <w:color w:val="auto"/>
                    </w:rPr>
                  </w:pPr>
                  <w:r>
                    <w:rPr>
                      <w:rFonts w:hint="eastAsia"/>
                      <w:color w:val="auto"/>
                    </w:rPr>
                    <w:t>渔业资源保护</w:t>
                  </w:r>
                </w:p>
              </w:tc>
              <w:tc>
                <w:tcPr>
                  <w:tcW w:w="2546" w:type="dxa"/>
                  <w:vAlign w:val="center"/>
                </w:tcPr>
                <w:p w14:paraId="5C78128E">
                  <w:pPr>
                    <w:spacing w:line="0" w:lineRule="atLeast"/>
                    <w:jc w:val="center"/>
                    <w:rPr>
                      <w:color w:val="auto"/>
                    </w:rPr>
                  </w:pPr>
                  <w:r>
                    <w:rPr>
                      <w:rFonts w:hint="eastAsia"/>
                      <w:color w:val="auto"/>
                    </w:rPr>
                    <w:t>《江苏省生态空间管控区域规划》、《常州市生态空间保护区域名录》</w:t>
                  </w:r>
                </w:p>
              </w:tc>
            </w:tr>
          </w:tbl>
          <w:p w14:paraId="1981CC84">
            <w:pPr>
              <w:spacing w:line="360" w:lineRule="auto"/>
              <w:ind w:firstLine="480" w:firstLineChars="0"/>
              <w:rPr>
                <w:rFonts w:ascii="Times New Roman" w:hAnsi="Times New Roman" w:eastAsia="宋体" w:cs="Times New Roman"/>
                <w:color w:val="auto"/>
                <w:kern w:val="2"/>
                <w:sz w:val="24"/>
                <w:szCs w:val="24"/>
                <w:lang w:val="zh-CN" w:eastAsia="zh-CN" w:bidi="ar-SA"/>
              </w:rPr>
            </w:pPr>
          </w:p>
        </w:tc>
      </w:tr>
    </w:tbl>
    <w:tbl>
      <w:tblPr>
        <w:tblStyle w:val="23"/>
        <w:tblW w:w="9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9352"/>
      </w:tblGrid>
      <w:tr w14:paraId="19C5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7" w:hRule="atLeast"/>
          <w:jc w:val="center"/>
        </w:trPr>
        <w:tc>
          <w:tcPr>
            <w:tcW w:w="598" w:type="dxa"/>
            <w:vAlign w:val="center"/>
          </w:tcPr>
          <w:p w14:paraId="69EDDC52">
            <w:pPr>
              <w:jc w:val="left"/>
              <w:rPr>
                <w:rFonts w:ascii="宋体" w:hAnsi="宋体"/>
                <w:color w:val="auto"/>
                <w:sz w:val="24"/>
                <w:szCs w:val="22"/>
              </w:rPr>
            </w:pPr>
            <w:r>
              <w:rPr>
                <w:rFonts w:hint="eastAsia" w:ascii="宋体" w:hAnsi="宋体"/>
                <w:color w:val="auto"/>
                <w:sz w:val="24"/>
                <w:szCs w:val="22"/>
              </w:rPr>
              <w:t>污</w:t>
            </w:r>
          </w:p>
          <w:p w14:paraId="0E65C710">
            <w:pPr>
              <w:jc w:val="left"/>
              <w:rPr>
                <w:rFonts w:ascii="宋体" w:hAnsi="宋体"/>
                <w:color w:val="auto"/>
                <w:sz w:val="24"/>
                <w:szCs w:val="22"/>
              </w:rPr>
            </w:pPr>
          </w:p>
          <w:p w14:paraId="11BF6F20">
            <w:pPr>
              <w:jc w:val="left"/>
              <w:rPr>
                <w:rFonts w:ascii="宋体" w:hAnsi="宋体"/>
                <w:color w:val="auto"/>
                <w:sz w:val="24"/>
                <w:szCs w:val="22"/>
              </w:rPr>
            </w:pPr>
            <w:r>
              <w:rPr>
                <w:rFonts w:hint="eastAsia" w:ascii="宋体" w:hAnsi="宋体"/>
                <w:color w:val="auto"/>
                <w:sz w:val="24"/>
                <w:szCs w:val="22"/>
              </w:rPr>
              <w:t>染</w:t>
            </w:r>
          </w:p>
          <w:p w14:paraId="134A3BCD">
            <w:pPr>
              <w:jc w:val="left"/>
              <w:rPr>
                <w:rFonts w:ascii="宋体" w:hAnsi="宋体"/>
                <w:color w:val="auto"/>
                <w:sz w:val="24"/>
                <w:szCs w:val="22"/>
              </w:rPr>
            </w:pPr>
          </w:p>
          <w:p w14:paraId="2A896F9F">
            <w:pPr>
              <w:jc w:val="left"/>
              <w:rPr>
                <w:rFonts w:ascii="宋体" w:hAnsi="宋体"/>
                <w:color w:val="auto"/>
                <w:sz w:val="24"/>
                <w:szCs w:val="22"/>
              </w:rPr>
            </w:pPr>
            <w:r>
              <w:rPr>
                <w:rFonts w:hint="eastAsia" w:ascii="宋体" w:hAnsi="宋体"/>
                <w:color w:val="auto"/>
                <w:sz w:val="24"/>
                <w:szCs w:val="22"/>
              </w:rPr>
              <w:t>物</w:t>
            </w:r>
          </w:p>
          <w:p w14:paraId="7AD3FDF3">
            <w:pPr>
              <w:jc w:val="left"/>
              <w:rPr>
                <w:rFonts w:ascii="宋体" w:hAnsi="宋体"/>
                <w:color w:val="auto"/>
                <w:sz w:val="24"/>
                <w:szCs w:val="22"/>
              </w:rPr>
            </w:pPr>
          </w:p>
          <w:p w14:paraId="039039CA">
            <w:pPr>
              <w:jc w:val="left"/>
              <w:rPr>
                <w:rFonts w:ascii="宋体" w:hAnsi="宋体"/>
                <w:color w:val="auto"/>
                <w:sz w:val="24"/>
                <w:szCs w:val="22"/>
              </w:rPr>
            </w:pPr>
            <w:r>
              <w:rPr>
                <w:rFonts w:hint="eastAsia" w:ascii="宋体" w:hAnsi="宋体"/>
                <w:color w:val="auto"/>
                <w:sz w:val="24"/>
                <w:szCs w:val="22"/>
              </w:rPr>
              <w:t>排</w:t>
            </w:r>
          </w:p>
          <w:p w14:paraId="1CF499B1">
            <w:pPr>
              <w:jc w:val="left"/>
              <w:rPr>
                <w:rFonts w:ascii="宋体" w:hAnsi="宋体"/>
                <w:color w:val="auto"/>
                <w:sz w:val="24"/>
                <w:szCs w:val="22"/>
              </w:rPr>
            </w:pPr>
          </w:p>
          <w:p w14:paraId="6E46A57A">
            <w:pPr>
              <w:jc w:val="left"/>
              <w:rPr>
                <w:rFonts w:ascii="宋体" w:hAnsi="宋体"/>
                <w:color w:val="auto"/>
                <w:sz w:val="24"/>
                <w:szCs w:val="22"/>
              </w:rPr>
            </w:pPr>
            <w:r>
              <w:rPr>
                <w:rFonts w:hint="eastAsia" w:ascii="宋体" w:hAnsi="宋体"/>
                <w:color w:val="auto"/>
                <w:sz w:val="24"/>
                <w:szCs w:val="22"/>
              </w:rPr>
              <w:t>放</w:t>
            </w:r>
          </w:p>
          <w:p w14:paraId="5BCF28EA">
            <w:pPr>
              <w:jc w:val="left"/>
              <w:rPr>
                <w:rFonts w:ascii="宋体" w:hAnsi="宋体"/>
                <w:color w:val="auto"/>
                <w:sz w:val="24"/>
                <w:szCs w:val="22"/>
              </w:rPr>
            </w:pPr>
          </w:p>
          <w:p w14:paraId="4A248A32">
            <w:pPr>
              <w:jc w:val="left"/>
              <w:rPr>
                <w:rFonts w:ascii="宋体" w:hAnsi="宋体"/>
                <w:color w:val="auto"/>
                <w:sz w:val="24"/>
                <w:szCs w:val="22"/>
              </w:rPr>
            </w:pPr>
            <w:r>
              <w:rPr>
                <w:rFonts w:hint="eastAsia" w:ascii="宋体" w:hAnsi="宋体"/>
                <w:color w:val="auto"/>
                <w:sz w:val="24"/>
                <w:szCs w:val="22"/>
              </w:rPr>
              <w:t>控</w:t>
            </w:r>
          </w:p>
          <w:p w14:paraId="08FA7B3E">
            <w:pPr>
              <w:jc w:val="left"/>
              <w:rPr>
                <w:rFonts w:ascii="宋体" w:hAnsi="宋体"/>
                <w:color w:val="auto"/>
                <w:sz w:val="24"/>
                <w:szCs w:val="22"/>
              </w:rPr>
            </w:pPr>
          </w:p>
          <w:p w14:paraId="510E9712">
            <w:pPr>
              <w:jc w:val="left"/>
              <w:rPr>
                <w:rFonts w:ascii="宋体" w:hAnsi="宋体"/>
                <w:color w:val="auto"/>
                <w:sz w:val="24"/>
                <w:szCs w:val="22"/>
              </w:rPr>
            </w:pPr>
            <w:r>
              <w:rPr>
                <w:rFonts w:hint="eastAsia" w:ascii="宋体" w:hAnsi="宋体"/>
                <w:color w:val="auto"/>
                <w:sz w:val="24"/>
                <w:szCs w:val="22"/>
              </w:rPr>
              <w:t>制</w:t>
            </w:r>
          </w:p>
          <w:p w14:paraId="709D90EA">
            <w:pPr>
              <w:jc w:val="left"/>
              <w:rPr>
                <w:rFonts w:ascii="宋体" w:hAnsi="宋体"/>
                <w:color w:val="auto"/>
                <w:sz w:val="24"/>
                <w:szCs w:val="22"/>
              </w:rPr>
            </w:pPr>
          </w:p>
          <w:p w14:paraId="6B32E50C">
            <w:pPr>
              <w:jc w:val="left"/>
              <w:rPr>
                <w:rFonts w:ascii="宋体" w:hAnsi="宋体"/>
                <w:color w:val="auto"/>
                <w:sz w:val="24"/>
                <w:szCs w:val="22"/>
              </w:rPr>
            </w:pPr>
            <w:r>
              <w:rPr>
                <w:rFonts w:hint="eastAsia" w:ascii="宋体" w:hAnsi="宋体"/>
                <w:color w:val="auto"/>
                <w:sz w:val="24"/>
                <w:szCs w:val="22"/>
              </w:rPr>
              <w:t>标</w:t>
            </w:r>
          </w:p>
          <w:p w14:paraId="51F8793D">
            <w:pPr>
              <w:jc w:val="left"/>
              <w:rPr>
                <w:rFonts w:ascii="宋体" w:hAnsi="宋体"/>
                <w:color w:val="auto"/>
                <w:sz w:val="24"/>
                <w:szCs w:val="22"/>
              </w:rPr>
            </w:pPr>
          </w:p>
          <w:p w14:paraId="51AD6CCB">
            <w:pPr>
              <w:jc w:val="left"/>
              <w:rPr>
                <w:color w:val="auto"/>
              </w:rPr>
            </w:pPr>
            <w:r>
              <w:rPr>
                <w:rFonts w:hint="eastAsia" w:ascii="宋体" w:hAnsi="宋体"/>
                <w:color w:val="auto"/>
                <w:sz w:val="24"/>
                <w:szCs w:val="22"/>
              </w:rPr>
              <w:t>准</w:t>
            </w:r>
          </w:p>
        </w:tc>
        <w:tc>
          <w:tcPr>
            <w:tcW w:w="9352" w:type="dxa"/>
            <w:vAlign w:val="center"/>
          </w:tcPr>
          <w:p w14:paraId="5575835A">
            <w:pPr>
              <w:spacing w:line="360" w:lineRule="auto"/>
              <w:ind w:firstLine="482" w:firstLineChars="200"/>
              <w:rPr>
                <w:b/>
                <w:bCs/>
                <w:color w:val="auto"/>
                <w:sz w:val="24"/>
                <w:szCs w:val="24"/>
              </w:rPr>
            </w:pPr>
            <w:r>
              <w:rPr>
                <w:rFonts w:hint="eastAsia"/>
                <w:b/>
                <w:bCs/>
                <w:color w:val="auto"/>
                <w:sz w:val="24"/>
                <w:szCs w:val="24"/>
              </w:rPr>
              <w:t>一、施工期排放标准</w:t>
            </w:r>
          </w:p>
          <w:p w14:paraId="638CE4D7">
            <w:pPr>
              <w:spacing w:line="360" w:lineRule="auto"/>
              <w:ind w:firstLine="480" w:firstLineChars="200"/>
              <w:rPr>
                <w:color w:val="auto"/>
                <w:sz w:val="24"/>
                <w:szCs w:val="24"/>
              </w:rPr>
            </w:pPr>
            <w:r>
              <w:rPr>
                <w:rFonts w:hint="eastAsia"/>
                <w:color w:val="auto"/>
                <w:sz w:val="24"/>
                <w:szCs w:val="24"/>
              </w:rPr>
              <w:t>1、施工期大气污染物排放标准</w:t>
            </w:r>
          </w:p>
          <w:p w14:paraId="74C52B26">
            <w:pPr>
              <w:spacing w:line="360" w:lineRule="auto"/>
              <w:ind w:firstLine="480" w:firstLineChars="200"/>
              <w:rPr>
                <w:color w:val="auto"/>
                <w:sz w:val="24"/>
                <w:szCs w:val="24"/>
              </w:rPr>
            </w:pPr>
            <w:r>
              <w:rPr>
                <w:rFonts w:hint="eastAsia"/>
                <w:color w:val="auto"/>
                <w:sz w:val="24"/>
                <w:szCs w:val="24"/>
              </w:rPr>
              <w:t>施工期大气污染物排放标准执行《施工场地扬尘排放标准》（DB32/4437-2022）表1标准，标准限值见下表：</w:t>
            </w:r>
          </w:p>
          <w:p w14:paraId="2E2709F8">
            <w:pPr>
              <w:pStyle w:val="8"/>
              <w:spacing w:before="0" w:after="0"/>
              <w:ind w:right="0"/>
              <w:jc w:val="center"/>
              <w:rPr>
                <w:color w:val="auto"/>
                <w:kern w:val="2"/>
                <w:sz w:val="24"/>
                <w:szCs w:val="24"/>
              </w:rPr>
            </w:pPr>
            <w:r>
              <w:rPr>
                <w:rFonts w:hint="eastAsia"/>
                <w:b/>
                <w:bCs/>
                <w:color w:val="auto"/>
                <w:kern w:val="2"/>
                <w:sz w:val="24"/>
                <w:szCs w:val="24"/>
              </w:rPr>
              <w:t>表3-7  施工期大气污染物排放标准</w:t>
            </w:r>
          </w:p>
          <w:tbl>
            <w:tblPr>
              <w:tblStyle w:val="23"/>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786"/>
              <w:gridCol w:w="1910"/>
              <w:gridCol w:w="3564"/>
            </w:tblGrid>
            <w:tr w14:paraId="5F92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vAlign w:val="center"/>
                </w:tcPr>
                <w:p w14:paraId="240CCD15">
                  <w:pPr>
                    <w:snapToGrid/>
                    <w:jc w:val="center"/>
                    <w:rPr>
                      <w:b/>
                      <w:bCs/>
                      <w:color w:val="auto"/>
                    </w:rPr>
                  </w:pPr>
                  <w:r>
                    <w:rPr>
                      <w:rFonts w:hint="eastAsia"/>
                      <w:b/>
                      <w:bCs/>
                      <w:color w:val="auto"/>
                    </w:rPr>
                    <w:t>执行区域</w:t>
                  </w:r>
                </w:p>
              </w:tc>
              <w:tc>
                <w:tcPr>
                  <w:tcW w:w="1674" w:type="dxa"/>
                  <w:vAlign w:val="center"/>
                </w:tcPr>
                <w:p w14:paraId="0EE32FDB">
                  <w:pPr>
                    <w:snapToGrid/>
                    <w:jc w:val="center"/>
                    <w:rPr>
                      <w:b/>
                      <w:bCs/>
                      <w:color w:val="auto"/>
                    </w:rPr>
                  </w:pPr>
                  <w:r>
                    <w:rPr>
                      <w:rFonts w:hint="eastAsia"/>
                      <w:b/>
                      <w:bCs/>
                      <w:color w:val="auto"/>
                    </w:rPr>
                    <w:t>污染物</w:t>
                  </w:r>
                </w:p>
              </w:tc>
              <w:tc>
                <w:tcPr>
                  <w:tcW w:w="1790" w:type="dxa"/>
                  <w:vAlign w:val="center"/>
                </w:tcPr>
                <w:p w14:paraId="75B8C1D4">
                  <w:pPr>
                    <w:snapToGrid/>
                    <w:jc w:val="center"/>
                    <w:rPr>
                      <w:b/>
                      <w:bCs/>
                      <w:color w:val="auto"/>
                    </w:rPr>
                  </w:pPr>
                  <w:r>
                    <w:rPr>
                      <w:rFonts w:hint="eastAsia"/>
                      <w:b/>
                      <w:bCs/>
                      <w:color w:val="auto"/>
                    </w:rPr>
                    <w:t>标准限值</w:t>
                  </w:r>
                </w:p>
              </w:tc>
              <w:tc>
                <w:tcPr>
                  <w:tcW w:w="3341" w:type="dxa"/>
                  <w:vAlign w:val="center"/>
                </w:tcPr>
                <w:p w14:paraId="02F0D58A">
                  <w:pPr>
                    <w:snapToGrid/>
                    <w:jc w:val="center"/>
                    <w:rPr>
                      <w:b/>
                      <w:bCs/>
                      <w:color w:val="auto"/>
                    </w:rPr>
                  </w:pPr>
                  <w:r>
                    <w:rPr>
                      <w:rFonts w:hint="eastAsia"/>
                      <w:b/>
                      <w:bCs/>
                      <w:color w:val="auto"/>
                    </w:rPr>
                    <w:t>标准来源</w:t>
                  </w:r>
                </w:p>
              </w:tc>
            </w:tr>
            <w:tr w14:paraId="6359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1" w:type="dxa"/>
                  <w:vAlign w:val="center"/>
                </w:tcPr>
                <w:p w14:paraId="5A9A1F78">
                  <w:pPr>
                    <w:snapToGrid/>
                    <w:jc w:val="center"/>
                    <w:rPr>
                      <w:color w:val="auto"/>
                    </w:rPr>
                  </w:pPr>
                  <w:r>
                    <w:rPr>
                      <w:rFonts w:hint="eastAsia"/>
                      <w:color w:val="auto"/>
                    </w:rPr>
                    <w:t>施工场界</w:t>
                  </w:r>
                </w:p>
              </w:tc>
              <w:tc>
                <w:tcPr>
                  <w:tcW w:w="1674" w:type="dxa"/>
                  <w:vAlign w:val="center"/>
                </w:tcPr>
                <w:p w14:paraId="6F04316D">
                  <w:pPr>
                    <w:snapToGrid/>
                    <w:jc w:val="center"/>
                    <w:rPr>
                      <w:color w:val="auto"/>
                    </w:rPr>
                  </w:pPr>
                  <w:r>
                    <w:rPr>
                      <w:rFonts w:hint="eastAsia"/>
                      <w:color w:val="auto"/>
                    </w:rPr>
                    <w:t>颗粒物</w:t>
                  </w:r>
                </w:p>
              </w:tc>
              <w:tc>
                <w:tcPr>
                  <w:tcW w:w="1790" w:type="dxa"/>
                  <w:vAlign w:val="center"/>
                </w:tcPr>
                <w:p w14:paraId="6B1EE062">
                  <w:pPr>
                    <w:snapToGrid/>
                    <w:jc w:val="center"/>
                    <w:rPr>
                      <w:color w:val="auto"/>
                    </w:rPr>
                  </w:pPr>
                  <w:r>
                    <w:rPr>
                      <w:rFonts w:hint="eastAsia"/>
                      <w:color w:val="auto"/>
                    </w:rPr>
                    <w:t>0.5mg/m</w:t>
                  </w:r>
                  <w:r>
                    <w:rPr>
                      <w:rFonts w:hint="eastAsia"/>
                      <w:color w:val="auto"/>
                      <w:vertAlign w:val="superscript"/>
                    </w:rPr>
                    <w:t>3</w:t>
                  </w:r>
                </w:p>
              </w:tc>
              <w:tc>
                <w:tcPr>
                  <w:tcW w:w="3341" w:type="dxa"/>
                  <w:vAlign w:val="center"/>
                </w:tcPr>
                <w:p w14:paraId="6E918279">
                  <w:pPr>
                    <w:snapToGrid/>
                    <w:jc w:val="center"/>
                    <w:rPr>
                      <w:color w:val="auto"/>
                    </w:rPr>
                  </w:pPr>
                  <w:r>
                    <w:rPr>
                      <w:rFonts w:hint="eastAsia"/>
                      <w:color w:val="auto"/>
                    </w:rPr>
                    <w:t>《施工场地扬尘排放标准》（DB32/4437-2022）</w:t>
                  </w:r>
                </w:p>
              </w:tc>
            </w:tr>
          </w:tbl>
          <w:p w14:paraId="0E3EC0A7">
            <w:pPr>
              <w:spacing w:line="360" w:lineRule="auto"/>
              <w:ind w:firstLine="480" w:firstLineChars="200"/>
              <w:rPr>
                <w:color w:val="auto"/>
                <w:sz w:val="24"/>
                <w:szCs w:val="24"/>
              </w:rPr>
            </w:pPr>
            <w:r>
              <w:rPr>
                <w:rFonts w:hint="eastAsia"/>
                <w:color w:val="auto"/>
                <w:sz w:val="24"/>
                <w:szCs w:val="24"/>
              </w:rPr>
              <w:t>2、施工期现场噪声排放标准</w:t>
            </w:r>
          </w:p>
          <w:p w14:paraId="6F6CD82A">
            <w:pPr>
              <w:spacing w:line="360" w:lineRule="auto"/>
              <w:ind w:firstLine="480" w:firstLineChars="200"/>
              <w:rPr>
                <w:color w:val="auto"/>
                <w:sz w:val="24"/>
                <w:szCs w:val="24"/>
              </w:rPr>
            </w:pPr>
            <w:r>
              <w:rPr>
                <w:rFonts w:hint="eastAsia"/>
                <w:color w:val="auto"/>
                <w:sz w:val="24"/>
                <w:szCs w:val="24"/>
              </w:rPr>
              <w:t>施工期噪声排放执行《建筑施工场界环境噪声排放标准》（GB12523-2011），标准限值见下表：</w:t>
            </w:r>
          </w:p>
          <w:p w14:paraId="1AF6BEAD">
            <w:pPr>
              <w:spacing w:line="360" w:lineRule="auto"/>
              <w:jc w:val="center"/>
              <w:rPr>
                <w:color w:val="auto"/>
                <w:sz w:val="24"/>
                <w:szCs w:val="24"/>
              </w:rPr>
            </w:pPr>
            <w:r>
              <w:rPr>
                <w:rFonts w:hint="eastAsia"/>
                <w:b/>
                <w:bCs/>
                <w:color w:val="auto"/>
                <w:sz w:val="24"/>
                <w:szCs w:val="24"/>
              </w:rPr>
              <w:t>表3-8  施工期噪声排放标准</w:t>
            </w:r>
          </w:p>
          <w:tbl>
            <w:tblPr>
              <w:tblStyle w:val="23"/>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2"/>
              <w:gridCol w:w="2389"/>
              <w:gridCol w:w="4136"/>
            </w:tblGrid>
            <w:tr w14:paraId="111F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2" w:type="dxa"/>
                  <w:vAlign w:val="center"/>
                </w:tcPr>
                <w:p w14:paraId="13A0C5E5">
                  <w:pPr>
                    <w:jc w:val="center"/>
                    <w:rPr>
                      <w:b/>
                      <w:bCs/>
                      <w:color w:val="auto"/>
                    </w:rPr>
                  </w:pPr>
                  <w:r>
                    <w:rPr>
                      <w:rFonts w:hint="eastAsia"/>
                      <w:b/>
                      <w:bCs/>
                      <w:color w:val="auto"/>
                    </w:rPr>
                    <w:t>昼间</w:t>
                  </w:r>
                </w:p>
              </w:tc>
              <w:tc>
                <w:tcPr>
                  <w:tcW w:w="2389" w:type="dxa"/>
                  <w:vAlign w:val="center"/>
                </w:tcPr>
                <w:p w14:paraId="1814A26F">
                  <w:pPr>
                    <w:jc w:val="center"/>
                    <w:rPr>
                      <w:b/>
                      <w:bCs/>
                      <w:color w:val="auto"/>
                    </w:rPr>
                  </w:pPr>
                  <w:r>
                    <w:rPr>
                      <w:rFonts w:hint="eastAsia"/>
                      <w:b/>
                      <w:bCs/>
                      <w:color w:val="auto"/>
                    </w:rPr>
                    <w:t>夜间</w:t>
                  </w:r>
                </w:p>
              </w:tc>
              <w:tc>
                <w:tcPr>
                  <w:tcW w:w="4136" w:type="dxa"/>
                  <w:vAlign w:val="center"/>
                </w:tcPr>
                <w:p w14:paraId="5AD0E45B">
                  <w:pPr>
                    <w:jc w:val="center"/>
                    <w:rPr>
                      <w:b/>
                      <w:bCs/>
                      <w:color w:val="auto"/>
                    </w:rPr>
                  </w:pPr>
                  <w:r>
                    <w:rPr>
                      <w:rFonts w:hint="eastAsia"/>
                      <w:b/>
                      <w:bCs/>
                      <w:color w:val="auto"/>
                    </w:rPr>
                    <w:t>标准来源</w:t>
                  </w:r>
                </w:p>
              </w:tc>
            </w:tr>
            <w:tr w14:paraId="39EA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2" w:type="dxa"/>
                  <w:vAlign w:val="center"/>
                </w:tcPr>
                <w:p w14:paraId="70C340D0">
                  <w:pPr>
                    <w:jc w:val="center"/>
                    <w:rPr>
                      <w:color w:val="auto"/>
                    </w:rPr>
                  </w:pPr>
                  <w:r>
                    <w:rPr>
                      <w:rFonts w:hint="eastAsia"/>
                      <w:color w:val="auto"/>
                    </w:rPr>
                    <w:t>70</w:t>
                  </w:r>
                </w:p>
              </w:tc>
              <w:tc>
                <w:tcPr>
                  <w:tcW w:w="2389" w:type="dxa"/>
                  <w:vAlign w:val="center"/>
                </w:tcPr>
                <w:p w14:paraId="0A3259A8">
                  <w:pPr>
                    <w:jc w:val="center"/>
                    <w:rPr>
                      <w:color w:val="auto"/>
                    </w:rPr>
                  </w:pPr>
                  <w:r>
                    <w:rPr>
                      <w:rFonts w:hint="eastAsia"/>
                      <w:color w:val="auto"/>
                    </w:rPr>
                    <w:t>55</w:t>
                  </w:r>
                </w:p>
              </w:tc>
              <w:tc>
                <w:tcPr>
                  <w:tcW w:w="4136" w:type="dxa"/>
                  <w:vAlign w:val="center"/>
                </w:tcPr>
                <w:p w14:paraId="6DF7F842">
                  <w:pPr>
                    <w:jc w:val="center"/>
                    <w:rPr>
                      <w:color w:val="auto"/>
                    </w:rPr>
                  </w:pPr>
                  <w:r>
                    <w:rPr>
                      <w:rFonts w:hint="eastAsia"/>
                      <w:color w:val="auto"/>
                    </w:rPr>
                    <w:t>《建筑施工场界环境噪声排放标准》（GB12523-2011）</w:t>
                  </w:r>
                </w:p>
              </w:tc>
            </w:tr>
          </w:tbl>
          <w:p w14:paraId="478CFCBE">
            <w:pPr>
              <w:spacing w:line="360" w:lineRule="auto"/>
              <w:ind w:firstLine="480" w:firstLineChars="200"/>
              <w:rPr>
                <w:color w:val="auto"/>
                <w:sz w:val="24"/>
                <w:szCs w:val="24"/>
              </w:rPr>
            </w:pPr>
            <w:r>
              <w:rPr>
                <w:rFonts w:hint="eastAsia"/>
                <w:color w:val="auto"/>
                <w:sz w:val="24"/>
                <w:szCs w:val="24"/>
              </w:rPr>
              <w:t>3、施工期固废标准</w:t>
            </w:r>
          </w:p>
          <w:p w14:paraId="7CF276F7">
            <w:pPr>
              <w:spacing w:line="360" w:lineRule="auto"/>
              <w:ind w:firstLine="480" w:firstLineChars="200"/>
              <w:rPr>
                <w:color w:val="auto"/>
                <w:sz w:val="24"/>
              </w:rPr>
            </w:pPr>
            <w:r>
              <w:rPr>
                <w:rFonts w:hint="eastAsia"/>
                <w:bCs/>
                <w:color w:val="auto"/>
                <w:sz w:val="24"/>
              </w:rPr>
              <w:t>施工期</w:t>
            </w:r>
            <w:r>
              <w:rPr>
                <w:bCs/>
                <w:color w:val="auto"/>
                <w:sz w:val="24"/>
              </w:rPr>
              <w:t>一般固体废弃物执行《建筑垃圾处理技术标准》</w:t>
            </w:r>
            <w:r>
              <w:rPr>
                <w:rFonts w:hint="eastAsia"/>
                <w:bCs/>
                <w:color w:val="auto"/>
                <w:sz w:val="24"/>
              </w:rPr>
              <w:t>（</w:t>
            </w:r>
            <w:r>
              <w:rPr>
                <w:bCs/>
                <w:color w:val="auto"/>
                <w:sz w:val="24"/>
              </w:rPr>
              <w:t>CJJ/T134-2019</w:t>
            </w:r>
            <w:r>
              <w:rPr>
                <w:rFonts w:hint="eastAsia"/>
                <w:bCs/>
                <w:color w:val="auto"/>
                <w:sz w:val="24"/>
              </w:rPr>
              <w:t>）。</w:t>
            </w:r>
          </w:p>
          <w:p w14:paraId="7A9F5A65">
            <w:pPr>
              <w:spacing w:line="360" w:lineRule="auto"/>
              <w:ind w:firstLine="480" w:firstLineChars="200"/>
              <w:rPr>
                <w:color w:val="auto"/>
                <w:sz w:val="24"/>
              </w:rPr>
            </w:pPr>
            <w:r>
              <w:rPr>
                <w:rFonts w:hint="eastAsia"/>
                <w:color w:val="auto"/>
                <w:sz w:val="24"/>
              </w:rPr>
              <w:t>二、</w:t>
            </w:r>
            <w:r>
              <w:rPr>
                <w:rFonts w:hint="eastAsia"/>
                <w:b/>
                <w:bCs/>
                <w:color w:val="auto"/>
                <w:sz w:val="24"/>
                <w:szCs w:val="24"/>
              </w:rPr>
              <w:t>运营期排放标准</w:t>
            </w:r>
          </w:p>
          <w:p w14:paraId="6FC76C1B">
            <w:pPr>
              <w:spacing w:line="360" w:lineRule="auto"/>
              <w:ind w:firstLine="480" w:firstLineChars="200"/>
              <w:rPr>
                <w:color w:val="auto"/>
                <w:sz w:val="24"/>
              </w:rPr>
            </w:pPr>
            <w:r>
              <w:rPr>
                <w:color w:val="auto"/>
                <w:sz w:val="24"/>
              </w:rPr>
              <w:t>1、大气污染物排放标准</w:t>
            </w:r>
          </w:p>
          <w:p w14:paraId="301D1ACE">
            <w:pPr>
              <w:pStyle w:val="40"/>
              <w:snapToGrid/>
              <w:spacing w:line="360" w:lineRule="auto"/>
              <w:ind w:firstLine="480"/>
              <w:rPr>
                <w:b/>
                <w:color w:val="auto"/>
                <w:sz w:val="24"/>
              </w:rPr>
            </w:pPr>
            <w:r>
              <w:rPr>
                <w:bCs/>
                <w:color w:val="auto"/>
                <w:sz w:val="24"/>
              </w:rPr>
              <w:t>建设项目</w:t>
            </w:r>
            <w:r>
              <w:rPr>
                <w:bCs/>
                <w:color w:val="auto"/>
                <w:sz w:val="24"/>
                <w:szCs w:val="22"/>
              </w:rPr>
              <w:t>主要污染</w:t>
            </w:r>
            <w:r>
              <w:rPr>
                <w:bCs/>
                <w:color w:val="auto"/>
                <w:sz w:val="24"/>
              </w:rPr>
              <w:t>物</w:t>
            </w:r>
            <w:r>
              <w:rPr>
                <w:rFonts w:hint="eastAsia"/>
                <w:bCs/>
                <w:color w:val="auto"/>
                <w:sz w:val="24"/>
              </w:rPr>
              <w:t>非甲烷总烃、</w:t>
            </w:r>
            <w:r>
              <w:rPr>
                <w:rFonts w:hint="eastAsia"/>
                <w:color w:val="auto"/>
                <w:sz w:val="24"/>
              </w:rPr>
              <w:t>颗粒物</w:t>
            </w:r>
            <w:r>
              <w:rPr>
                <w:rFonts w:hint="eastAsia"/>
                <w:color w:val="auto"/>
                <w:sz w:val="24"/>
                <w:lang w:eastAsia="zh-CN"/>
              </w:rPr>
              <w:t>、</w:t>
            </w:r>
            <w:r>
              <w:rPr>
                <w:rFonts w:hint="eastAsia"/>
                <w:color w:val="auto"/>
                <w:sz w:val="24"/>
                <w:lang w:val="en-US" w:eastAsia="zh-CN"/>
              </w:rPr>
              <w:t>锡及其化合物</w:t>
            </w:r>
            <w:r>
              <w:rPr>
                <w:rFonts w:hint="eastAsia"/>
                <w:bCs/>
                <w:color w:val="auto"/>
                <w:sz w:val="24"/>
              </w:rPr>
              <w:t>执</w:t>
            </w:r>
            <w:r>
              <w:rPr>
                <w:rFonts w:hint="eastAsia"/>
                <w:bCs/>
                <w:color w:val="auto"/>
                <w:sz w:val="24"/>
                <w:szCs w:val="22"/>
              </w:rPr>
              <w:t>行《大气污染物综合排放标准》（DB32/4041-2021）表1、3标准</w:t>
            </w:r>
            <w:r>
              <w:rPr>
                <w:rFonts w:hint="eastAsia"/>
                <w:color w:val="auto"/>
                <w:sz w:val="24"/>
              </w:rPr>
              <w:t>，企业厂区内非甲烷总烃无组织排放监控点浓度应符合《大气污染物综合排放标准》（DB32/4041-2021）表2标准及</w:t>
            </w:r>
            <w:r>
              <w:rPr>
                <w:rFonts w:hint="eastAsia" w:ascii="宋体" w:hAnsi="宋体"/>
                <w:color w:val="auto"/>
                <w:sz w:val="24"/>
              </w:rPr>
              <w:t>《挥发性有机物无组织排放控制标准》（</w:t>
            </w:r>
            <w:r>
              <w:rPr>
                <w:color w:val="auto"/>
                <w:sz w:val="24"/>
              </w:rPr>
              <w:t>G</w:t>
            </w:r>
            <w:r>
              <w:rPr>
                <w:rFonts w:hint="eastAsia"/>
                <w:color w:val="auto"/>
                <w:sz w:val="24"/>
              </w:rPr>
              <w:t>B</w:t>
            </w:r>
            <w:r>
              <w:rPr>
                <w:color w:val="auto"/>
                <w:sz w:val="24"/>
              </w:rPr>
              <w:t>37822</w:t>
            </w:r>
            <w:r>
              <w:rPr>
                <w:rFonts w:hint="eastAsia"/>
                <w:color w:val="auto"/>
                <w:sz w:val="24"/>
              </w:rPr>
              <w:t>-20</w:t>
            </w:r>
            <w:r>
              <w:rPr>
                <w:color w:val="auto"/>
                <w:sz w:val="24"/>
              </w:rPr>
              <w:t>19</w:t>
            </w:r>
            <w:r>
              <w:rPr>
                <w:rFonts w:hint="eastAsia" w:ascii="宋体" w:hAnsi="宋体"/>
                <w:color w:val="auto"/>
                <w:sz w:val="24"/>
              </w:rPr>
              <w:t>）相关标准；</w:t>
            </w:r>
            <w:r>
              <w:rPr>
                <w:color w:val="auto"/>
                <w:sz w:val="24"/>
              </w:rPr>
              <w:t>具体标准限值见表</w:t>
            </w:r>
            <w:r>
              <w:rPr>
                <w:rFonts w:hint="eastAsia"/>
                <w:color w:val="auto"/>
                <w:sz w:val="24"/>
              </w:rPr>
              <w:t>3-9</w:t>
            </w:r>
            <w:r>
              <w:rPr>
                <w:color w:val="auto"/>
                <w:sz w:val="24"/>
              </w:rPr>
              <w:t>、表</w:t>
            </w:r>
            <w:r>
              <w:rPr>
                <w:rFonts w:hint="eastAsia"/>
                <w:color w:val="auto"/>
                <w:sz w:val="24"/>
              </w:rPr>
              <w:t>3-10</w:t>
            </w:r>
            <w:r>
              <w:rPr>
                <w:color w:val="auto"/>
                <w:sz w:val="24"/>
              </w:rPr>
              <w:t>。</w:t>
            </w:r>
          </w:p>
          <w:p w14:paraId="7C2FFDAD">
            <w:pPr>
              <w:spacing w:line="276" w:lineRule="auto"/>
              <w:jc w:val="center"/>
              <w:rPr>
                <w:b/>
                <w:color w:val="auto"/>
                <w:sz w:val="24"/>
              </w:rPr>
            </w:pPr>
          </w:p>
          <w:p w14:paraId="60363555">
            <w:pPr>
              <w:spacing w:line="276" w:lineRule="auto"/>
              <w:jc w:val="center"/>
              <w:rPr>
                <w:b/>
                <w:color w:val="auto"/>
                <w:sz w:val="24"/>
              </w:rPr>
            </w:pPr>
            <w:r>
              <w:rPr>
                <w:b/>
                <w:color w:val="auto"/>
                <w:sz w:val="24"/>
              </w:rPr>
              <w:t>表</w:t>
            </w:r>
            <w:r>
              <w:rPr>
                <w:rFonts w:hint="eastAsia"/>
                <w:b/>
                <w:color w:val="auto"/>
                <w:sz w:val="24"/>
              </w:rPr>
              <w:t xml:space="preserve">3-9  </w:t>
            </w:r>
            <w:r>
              <w:rPr>
                <w:b/>
                <w:color w:val="auto"/>
                <w:sz w:val="24"/>
              </w:rPr>
              <w:t>大气污染物排放标准</w:t>
            </w:r>
          </w:p>
          <w:tbl>
            <w:tblPr>
              <w:tblStyle w:val="22"/>
              <w:tblW w:w="918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319"/>
              <w:gridCol w:w="1425"/>
              <w:gridCol w:w="1361"/>
              <w:gridCol w:w="1114"/>
              <w:gridCol w:w="1661"/>
              <w:gridCol w:w="2307"/>
            </w:tblGrid>
            <w:tr w14:paraId="5FAD5D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12" w:hRule="atLeast"/>
                <w:jc w:val="center"/>
              </w:trPr>
              <w:tc>
                <w:tcPr>
                  <w:tcW w:w="1319" w:type="dxa"/>
                  <w:vMerge w:val="restart"/>
                  <w:tcBorders>
                    <w:top w:val="single" w:color="auto" w:sz="2" w:space="0"/>
                    <w:left w:val="single" w:color="auto" w:sz="2" w:space="0"/>
                    <w:bottom w:val="single" w:color="auto" w:sz="2" w:space="0"/>
                    <w:right w:val="single" w:color="auto" w:sz="2" w:space="0"/>
                  </w:tcBorders>
                  <w:vAlign w:val="center"/>
                </w:tcPr>
                <w:p w14:paraId="6E1F4FBD">
                  <w:pPr>
                    <w:pStyle w:val="42"/>
                    <w:spacing w:before="31" w:after="31" w:line="240" w:lineRule="atLeast"/>
                    <w:rPr>
                      <w:rFonts w:ascii="Times New Roman"/>
                      <w:b/>
                      <w:color w:val="auto"/>
                      <w:kern w:val="2"/>
                      <w:szCs w:val="21"/>
                    </w:rPr>
                  </w:pPr>
                  <w:r>
                    <w:rPr>
                      <w:rFonts w:ascii="Times New Roman"/>
                      <w:b/>
                      <w:color w:val="auto"/>
                      <w:kern w:val="2"/>
                      <w:szCs w:val="21"/>
                    </w:rPr>
                    <w:t>污染物</w:t>
                  </w:r>
                </w:p>
              </w:tc>
              <w:tc>
                <w:tcPr>
                  <w:tcW w:w="1425" w:type="dxa"/>
                  <w:vMerge w:val="restart"/>
                  <w:tcBorders>
                    <w:top w:val="single" w:color="auto" w:sz="2" w:space="0"/>
                    <w:left w:val="single" w:color="auto" w:sz="2" w:space="0"/>
                    <w:bottom w:val="single" w:color="auto" w:sz="2" w:space="0"/>
                    <w:right w:val="single" w:color="auto" w:sz="2" w:space="0"/>
                  </w:tcBorders>
                  <w:vAlign w:val="center"/>
                </w:tcPr>
                <w:p w14:paraId="506F1D45">
                  <w:pPr>
                    <w:pStyle w:val="42"/>
                    <w:spacing w:before="31" w:after="31" w:line="240" w:lineRule="atLeast"/>
                    <w:rPr>
                      <w:rFonts w:ascii="Times New Roman"/>
                      <w:b/>
                      <w:color w:val="auto"/>
                      <w:kern w:val="2"/>
                      <w:szCs w:val="21"/>
                    </w:rPr>
                  </w:pPr>
                  <w:r>
                    <w:rPr>
                      <w:rFonts w:ascii="Times New Roman"/>
                      <w:b/>
                      <w:color w:val="auto"/>
                      <w:kern w:val="2"/>
                      <w:szCs w:val="21"/>
                    </w:rPr>
                    <w:t>最高允许排放浓度(mg/m</w:t>
                  </w:r>
                  <w:r>
                    <w:rPr>
                      <w:rFonts w:ascii="Times New Roman"/>
                      <w:b/>
                      <w:color w:val="auto"/>
                      <w:kern w:val="2"/>
                      <w:szCs w:val="21"/>
                      <w:vertAlign w:val="superscript"/>
                    </w:rPr>
                    <w:t>3</w:t>
                  </w:r>
                  <w:r>
                    <w:rPr>
                      <w:rFonts w:ascii="Times New Roman"/>
                      <w:b/>
                      <w:color w:val="auto"/>
                      <w:kern w:val="2"/>
                      <w:szCs w:val="21"/>
                    </w:rPr>
                    <w:t>)</w:t>
                  </w:r>
                </w:p>
              </w:tc>
              <w:tc>
                <w:tcPr>
                  <w:tcW w:w="1361" w:type="dxa"/>
                  <w:vMerge w:val="restart"/>
                  <w:tcBorders>
                    <w:top w:val="single" w:color="auto" w:sz="2" w:space="0"/>
                    <w:left w:val="single" w:color="auto" w:sz="2" w:space="0"/>
                    <w:right w:val="single" w:color="auto" w:sz="2" w:space="0"/>
                  </w:tcBorders>
                  <w:vAlign w:val="center"/>
                </w:tcPr>
                <w:p w14:paraId="244A7FFA">
                  <w:pPr>
                    <w:pStyle w:val="42"/>
                    <w:spacing w:before="31" w:after="31" w:line="240" w:lineRule="atLeast"/>
                    <w:rPr>
                      <w:rFonts w:ascii="Times New Roman"/>
                      <w:b/>
                      <w:color w:val="auto"/>
                      <w:kern w:val="2"/>
                      <w:szCs w:val="21"/>
                    </w:rPr>
                  </w:pPr>
                  <w:r>
                    <w:rPr>
                      <w:rFonts w:ascii="Times New Roman"/>
                      <w:b/>
                      <w:color w:val="auto"/>
                      <w:kern w:val="2"/>
                      <w:szCs w:val="21"/>
                    </w:rPr>
                    <w:t>最高允许排放速率(kg/h)</w:t>
                  </w:r>
                </w:p>
              </w:tc>
              <w:tc>
                <w:tcPr>
                  <w:tcW w:w="1114" w:type="dxa"/>
                  <w:vMerge w:val="restart"/>
                  <w:tcBorders>
                    <w:top w:val="single" w:color="auto" w:sz="2" w:space="0"/>
                    <w:left w:val="single" w:color="auto" w:sz="2" w:space="0"/>
                    <w:right w:val="single" w:color="auto" w:sz="2" w:space="0"/>
                  </w:tcBorders>
                  <w:vAlign w:val="center"/>
                </w:tcPr>
                <w:p w14:paraId="1E8F57CA">
                  <w:pPr>
                    <w:pStyle w:val="42"/>
                    <w:spacing w:before="31" w:after="31" w:line="240" w:lineRule="atLeast"/>
                    <w:rPr>
                      <w:rFonts w:ascii="Times New Roman"/>
                      <w:b/>
                      <w:color w:val="auto"/>
                      <w:kern w:val="2"/>
                      <w:szCs w:val="21"/>
                    </w:rPr>
                  </w:pPr>
                  <w:r>
                    <w:rPr>
                      <w:rFonts w:hint="eastAsia" w:ascii="Times New Roman"/>
                      <w:b/>
                      <w:color w:val="auto"/>
                      <w:kern w:val="2"/>
                      <w:szCs w:val="21"/>
                    </w:rPr>
                    <w:t>排气筒高度</w:t>
                  </w:r>
                </w:p>
              </w:tc>
              <w:tc>
                <w:tcPr>
                  <w:tcW w:w="1661" w:type="dxa"/>
                  <w:vMerge w:val="restart"/>
                  <w:tcBorders>
                    <w:top w:val="single" w:color="auto" w:sz="2" w:space="0"/>
                    <w:left w:val="single" w:color="auto" w:sz="2" w:space="0"/>
                    <w:bottom w:val="single" w:color="auto" w:sz="2" w:space="0"/>
                    <w:right w:val="single" w:color="auto" w:sz="2" w:space="0"/>
                  </w:tcBorders>
                  <w:vAlign w:val="center"/>
                </w:tcPr>
                <w:p w14:paraId="2776A6CB">
                  <w:pPr>
                    <w:pStyle w:val="42"/>
                    <w:spacing w:before="31" w:after="31" w:line="240" w:lineRule="atLeast"/>
                    <w:rPr>
                      <w:rFonts w:ascii="Times New Roman"/>
                      <w:b/>
                      <w:color w:val="auto"/>
                      <w:kern w:val="2"/>
                      <w:szCs w:val="21"/>
                    </w:rPr>
                  </w:pPr>
                  <w:r>
                    <w:rPr>
                      <w:rFonts w:ascii="Times New Roman"/>
                      <w:b/>
                      <w:color w:val="auto"/>
                      <w:kern w:val="2"/>
                      <w:szCs w:val="21"/>
                    </w:rPr>
                    <w:t>无组织排放监控浓度限值(mg/m</w:t>
                  </w:r>
                  <w:r>
                    <w:rPr>
                      <w:rFonts w:ascii="Times New Roman"/>
                      <w:b/>
                      <w:color w:val="auto"/>
                      <w:kern w:val="2"/>
                      <w:szCs w:val="21"/>
                      <w:vertAlign w:val="superscript"/>
                    </w:rPr>
                    <w:t>3</w:t>
                  </w:r>
                  <w:r>
                    <w:rPr>
                      <w:rFonts w:ascii="Times New Roman"/>
                      <w:b/>
                      <w:color w:val="auto"/>
                      <w:kern w:val="2"/>
                      <w:szCs w:val="21"/>
                    </w:rPr>
                    <w:t>)</w:t>
                  </w:r>
                </w:p>
              </w:tc>
              <w:tc>
                <w:tcPr>
                  <w:tcW w:w="2307" w:type="dxa"/>
                  <w:vMerge w:val="restart"/>
                  <w:tcBorders>
                    <w:top w:val="single" w:color="auto" w:sz="2" w:space="0"/>
                    <w:left w:val="single" w:color="auto" w:sz="2" w:space="0"/>
                    <w:bottom w:val="single" w:color="auto" w:sz="2" w:space="0"/>
                    <w:right w:val="single" w:color="auto" w:sz="2" w:space="0"/>
                  </w:tcBorders>
                  <w:vAlign w:val="center"/>
                </w:tcPr>
                <w:p w14:paraId="28083B1E">
                  <w:pPr>
                    <w:pStyle w:val="42"/>
                    <w:spacing w:before="31" w:after="31" w:line="240" w:lineRule="atLeast"/>
                    <w:rPr>
                      <w:rFonts w:ascii="Times New Roman"/>
                      <w:b/>
                      <w:color w:val="auto"/>
                      <w:kern w:val="2"/>
                      <w:szCs w:val="21"/>
                    </w:rPr>
                  </w:pPr>
                  <w:r>
                    <w:rPr>
                      <w:rFonts w:ascii="Times New Roman"/>
                      <w:b/>
                      <w:color w:val="auto"/>
                      <w:kern w:val="2"/>
                      <w:szCs w:val="21"/>
                    </w:rPr>
                    <w:t>标准</w:t>
                  </w:r>
                </w:p>
              </w:tc>
            </w:tr>
            <w:tr w14:paraId="77E75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12" w:hRule="atLeast"/>
                <w:jc w:val="center"/>
              </w:trPr>
              <w:tc>
                <w:tcPr>
                  <w:tcW w:w="1319" w:type="dxa"/>
                  <w:vMerge w:val="continue"/>
                  <w:tcBorders>
                    <w:top w:val="single" w:color="auto" w:sz="2" w:space="0"/>
                    <w:left w:val="single" w:color="auto" w:sz="2" w:space="0"/>
                    <w:bottom w:val="single" w:color="auto" w:sz="2" w:space="0"/>
                    <w:right w:val="single" w:color="auto" w:sz="2" w:space="0"/>
                  </w:tcBorders>
                  <w:vAlign w:val="center"/>
                </w:tcPr>
                <w:p w14:paraId="35DEEAF7">
                  <w:pPr>
                    <w:widowControl/>
                    <w:jc w:val="center"/>
                    <w:rPr>
                      <w:b/>
                      <w:color w:val="auto"/>
                    </w:rPr>
                  </w:pPr>
                </w:p>
              </w:tc>
              <w:tc>
                <w:tcPr>
                  <w:tcW w:w="1425" w:type="dxa"/>
                  <w:vMerge w:val="continue"/>
                  <w:tcBorders>
                    <w:top w:val="single" w:color="auto" w:sz="2" w:space="0"/>
                    <w:left w:val="single" w:color="auto" w:sz="2" w:space="0"/>
                    <w:bottom w:val="single" w:color="auto" w:sz="2" w:space="0"/>
                    <w:right w:val="single" w:color="auto" w:sz="2" w:space="0"/>
                  </w:tcBorders>
                  <w:vAlign w:val="center"/>
                </w:tcPr>
                <w:p w14:paraId="7CBF2686">
                  <w:pPr>
                    <w:widowControl/>
                    <w:jc w:val="center"/>
                    <w:rPr>
                      <w:b/>
                      <w:color w:val="auto"/>
                    </w:rPr>
                  </w:pPr>
                </w:p>
              </w:tc>
              <w:tc>
                <w:tcPr>
                  <w:tcW w:w="1361" w:type="dxa"/>
                  <w:vMerge w:val="continue"/>
                  <w:tcBorders>
                    <w:left w:val="single" w:color="auto" w:sz="2" w:space="0"/>
                    <w:bottom w:val="single" w:color="auto" w:sz="2" w:space="0"/>
                    <w:right w:val="single" w:color="auto" w:sz="2" w:space="0"/>
                  </w:tcBorders>
                  <w:vAlign w:val="center"/>
                </w:tcPr>
                <w:p w14:paraId="0EC127BE">
                  <w:pPr>
                    <w:pStyle w:val="42"/>
                    <w:spacing w:before="31" w:after="31" w:line="240" w:lineRule="atLeast"/>
                    <w:rPr>
                      <w:rFonts w:ascii="Times New Roman"/>
                      <w:b/>
                      <w:color w:val="auto"/>
                      <w:kern w:val="2"/>
                      <w:szCs w:val="21"/>
                    </w:rPr>
                  </w:pPr>
                </w:p>
              </w:tc>
              <w:tc>
                <w:tcPr>
                  <w:tcW w:w="1114" w:type="dxa"/>
                  <w:vMerge w:val="continue"/>
                  <w:tcBorders>
                    <w:left w:val="single" w:color="auto" w:sz="2" w:space="0"/>
                    <w:bottom w:val="single" w:color="auto" w:sz="2" w:space="0"/>
                    <w:right w:val="single" w:color="auto" w:sz="2" w:space="0"/>
                  </w:tcBorders>
                  <w:vAlign w:val="center"/>
                </w:tcPr>
                <w:p w14:paraId="1B42C3E4">
                  <w:pPr>
                    <w:pStyle w:val="42"/>
                    <w:spacing w:before="31" w:after="31" w:line="240" w:lineRule="atLeast"/>
                    <w:rPr>
                      <w:rFonts w:ascii="Times New Roman"/>
                      <w:b/>
                      <w:color w:val="auto"/>
                      <w:kern w:val="2"/>
                      <w:szCs w:val="21"/>
                    </w:rPr>
                  </w:pPr>
                </w:p>
              </w:tc>
              <w:tc>
                <w:tcPr>
                  <w:tcW w:w="1661" w:type="dxa"/>
                  <w:vMerge w:val="continue"/>
                  <w:tcBorders>
                    <w:top w:val="single" w:color="auto" w:sz="2" w:space="0"/>
                    <w:left w:val="single" w:color="auto" w:sz="2" w:space="0"/>
                    <w:bottom w:val="single" w:color="auto" w:sz="2" w:space="0"/>
                    <w:right w:val="single" w:color="auto" w:sz="2" w:space="0"/>
                  </w:tcBorders>
                  <w:vAlign w:val="center"/>
                </w:tcPr>
                <w:p w14:paraId="3D107366">
                  <w:pPr>
                    <w:widowControl/>
                    <w:jc w:val="center"/>
                    <w:rPr>
                      <w:b/>
                      <w:color w:val="auto"/>
                    </w:rPr>
                  </w:pPr>
                </w:p>
              </w:tc>
              <w:tc>
                <w:tcPr>
                  <w:tcW w:w="2307" w:type="dxa"/>
                  <w:vMerge w:val="continue"/>
                  <w:tcBorders>
                    <w:top w:val="single" w:color="auto" w:sz="2" w:space="0"/>
                    <w:left w:val="single" w:color="auto" w:sz="2" w:space="0"/>
                    <w:bottom w:val="single" w:color="auto" w:sz="2" w:space="0"/>
                    <w:right w:val="single" w:color="auto" w:sz="2" w:space="0"/>
                  </w:tcBorders>
                  <w:vAlign w:val="center"/>
                </w:tcPr>
                <w:p w14:paraId="0AA1C274">
                  <w:pPr>
                    <w:widowControl/>
                    <w:jc w:val="center"/>
                    <w:rPr>
                      <w:b/>
                      <w:color w:val="auto"/>
                    </w:rPr>
                  </w:pPr>
                </w:p>
              </w:tc>
            </w:tr>
            <w:tr w14:paraId="35577F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83" w:hRule="atLeast"/>
                <w:jc w:val="center"/>
              </w:trPr>
              <w:tc>
                <w:tcPr>
                  <w:tcW w:w="1319" w:type="dxa"/>
                  <w:tcBorders>
                    <w:top w:val="single" w:color="auto" w:sz="2" w:space="0"/>
                    <w:left w:val="single" w:color="auto" w:sz="2" w:space="0"/>
                    <w:bottom w:val="single" w:color="auto" w:sz="2" w:space="0"/>
                    <w:right w:val="single" w:color="auto" w:sz="2" w:space="0"/>
                  </w:tcBorders>
                  <w:vAlign w:val="center"/>
                </w:tcPr>
                <w:p w14:paraId="3A06341A">
                  <w:pPr>
                    <w:pStyle w:val="42"/>
                    <w:spacing w:before="31" w:after="31" w:line="240" w:lineRule="atLeast"/>
                    <w:jc w:val="center"/>
                    <w:rPr>
                      <w:rFonts w:ascii="Times New Roman"/>
                      <w:color w:val="auto"/>
                      <w:szCs w:val="21"/>
                    </w:rPr>
                  </w:pPr>
                  <w:r>
                    <w:rPr>
                      <w:rFonts w:hint="eastAsia" w:ascii="Times New Roman"/>
                      <w:color w:val="auto"/>
                    </w:rPr>
                    <w:t>非甲烷总烃</w:t>
                  </w:r>
                </w:p>
              </w:tc>
              <w:tc>
                <w:tcPr>
                  <w:tcW w:w="1425" w:type="dxa"/>
                  <w:tcBorders>
                    <w:top w:val="single" w:color="auto" w:sz="2" w:space="0"/>
                    <w:left w:val="single" w:color="auto" w:sz="2" w:space="0"/>
                    <w:bottom w:val="single" w:color="auto" w:sz="2" w:space="0"/>
                    <w:right w:val="single" w:color="auto" w:sz="2" w:space="0"/>
                  </w:tcBorders>
                  <w:vAlign w:val="center"/>
                </w:tcPr>
                <w:p w14:paraId="41281C48">
                  <w:pPr>
                    <w:pStyle w:val="42"/>
                    <w:spacing w:before="31" w:after="31" w:line="240" w:lineRule="atLeast"/>
                    <w:rPr>
                      <w:rFonts w:ascii="Times New Roman"/>
                      <w:color w:val="auto"/>
                      <w:szCs w:val="21"/>
                    </w:rPr>
                  </w:pPr>
                  <w:r>
                    <w:rPr>
                      <w:rFonts w:ascii="Times New Roman"/>
                      <w:color w:val="auto"/>
                      <w:szCs w:val="21"/>
                    </w:rPr>
                    <w:t>60</w:t>
                  </w:r>
                </w:p>
              </w:tc>
              <w:tc>
                <w:tcPr>
                  <w:tcW w:w="1361" w:type="dxa"/>
                  <w:tcBorders>
                    <w:top w:val="single" w:color="auto" w:sz="2" w:space="0"/>
                    <w:left w:val="single" w:color="auto" w:sz="2" w:space="0"/>
                    <w:bottom w:val="single" w:color="auto" w:sz="2" w:space="0"/>
                    <w:right w:val="single" w:color="auto" w:sz="2" w:space="0"/>
                  </w:tcBorders>
                  <w:vAlign w:val="center"/>
                </w:tcPr>
                <w:p w14:paraId="6A96EC22">
                  <w:pPr>
                    <w:autoSpaceDE w:val="0"/>
                    <w:autoSpaceDN w:val="0"/>
                    <w:adjustRightInd w:val="0"/>
                    <w:jc w:val="center"/>
                    <w:rPr>
                      <w:color w:val="auto"/>
                      <w:kern w:val="0"/>
                    </w:rPr>
                  </w:pPr>
                  <w:r>
                    <w:rPr>
                      <w:rFonts w:hint="eastAsia"/>
                      <w:color w:val="auto"/>
                      <w:kern w:val="0"/>
                    </w:rPr>
                    <w:t>3</w:t>
                  </w:r>
                </w:p>
              </w:tc>
              <w:tc>
                <w:tcPr>
                  <w:tcW w:w="1114" w:type="dxa"/>
                  <w:vMerge w:val="restart"/>
                  <w:tcBorders>
                    <w:top w:val="single" w:color="auto" w:sz="2" w:space="0"/>
                    <w:left w:val="single" w:color="auto" w:sz="2" w:space="0"/>
                    <w:right w:val="single" w:color="auto" w:sz="2" w:space="0"/>
                  </w:tcBorders>
                  <w:vAlign w:val="center"/>
                </w:tcPr>
                <w:p w14:paraId="70542891">
                  <w:pPr>
                    <w:autoSpaceDE w:val="0"/>
                    <w:autoSpaceDN w:val="0"/>
                    <w:adjustRightInd w:val="0"/>
                    <w:jc w:val="center"/>
                    <w:rPr>
                      <w:color w:val="auto"/>
                      <w:kern w:val="0"/>
                    </w:rPr>
                  </w:pPr>
                  <w:r>
                    <w:rPr>
                      <w:rFonts w:hint="eastAsia"/>
                      <w:color w:val="auto"/>
                      <w:kern w:val="0"/>
                    </w:rPr>
                    <w:t>15m</w:t>
                  </w:r>
                </w:p>
              </w:tc>
              <w:tc>
                <w:tcPr>
                  <w:tcW w:w="1661" w:type="dxa"/>
                  <w:tcBorders>
                    <w:top w:val="single" w:color="auto" w:sz="2" w:space="0"/>
                    <w:left w:val="single" w:color="auto" w:sz="2" w:space="0"/>
                    <w:bottom w:val="single" w:color="auto" w:sz="2" w:space="0"/>
                    <w:right w:val="single" w:color="auto" w:sz="2" w:space="0"/>
                  </w:tcBorders>
                  <w:vAlign w:val="center"/>
                </w:tcPr>
                <w:p w14:paraId="209905F0">
                  <w:pPr>
                    <w:autoSpaceDE w:val="0"/>
                    <w:autoSpaceDN w:val="0"/>
                    <w:adjustRightInd w:val="0"/>
                    <w:jc w:val="center"/>
                    <w:rPr>
                      <w:color w:val="auto"/>
                      <w:kern w:val="0"/>
                    </w:rPr>
                  </w:pPr>
                  <w:r>
                    <w:rPr>
                      <w:color w:val="auto"/>
                      <w:kern w:val="0"/>
                    </w:rPr>
                    <w:t>4.0</w:t>
                  </w:r>
                </w:p>
              </w:tc>
              <w:tc>
                <w:tcPr>
                  <w:tcW w:w="2307" w:type="dxa"/>
                  <w:vMerge w:val="restart"/>
                  <w:tcBorders>
                    <w:top w:val="single" w:color="auto" w:sz="2" w:space="0"/>
                    <w:left w:val="single" w:color="auto" w:sz="2" w:space="0"/>
                    <w:right w:val="single" w:color="auto" w:sz="2" w:space="0"/>
                  </w:tcBorders>
                  <w:vAlign w:val="center"/>
                </w:tcPr>
                <w:p w14:paraId="7126BADD">
                  <w:pPr>
                    <w:widowControl/>
                    <w:jc w:val="center"/>
                    <w:rPr>
                      <w:color w:val="auto"/>
                    </w:rPr>
                  </w:pPr>
                  <w:r>
                    <w:rPr>
                      <w:rFonts w:hint="eastAsia"/>
                      <w:color w:val="auto"/>
                    </w:rPr>
                    <w:t>《大气污染物综合排放标准》（DB32/4041-2021）表1、3标准</w:t>
                  </w:r>
                </w:p>
              </w:tc>
            </w:tr>
            <w:tr w14:paraId="4429E8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83" w:hRule="atLeast"/>
                <w:jc w:val="center"/>
              </w:trPr>
              <w:tc>
                <w:tcPr>
                  <w:tcW w:w="1319" w:type="dxa"/>
                  <w:tcBorders>
                    <w:top w:val="single" w:color="auto" w:sz="2" w:space="0"/>
                    <w:left w:val="single" w:color="auto" w:sz="2" w:space="0"/>
                    <w:bottom w:val="single" w:color="auto" w:sz="2" w:space="0"/>
                    <w:right w:val="single" w:color="auto" w:sz="2" w:space="0"/>
                  </w:tcBorders>
                  <w:vAlign w:val="center"/>
                </w:tcPr>
                <w:p w14:paraId="1CC35104">
                  <w:pPr>
                    <w:pStyle w:val="42"/>
                    <w:spacing w:before="31" w:after="31" w:line="240" w:lineRule="atLeast"/>
                    <w:jc w:val="center"/>
                    <w:rPr>
                      <w:rFonts w:ascii="Times New Roman"/>
                      <w:color w:val="auto"/>
                    </w:rPr>
                  </w:pPr>
                  <w:r>
                    <w:rPr>
                      <w:rFonts w:hint="eastAsia" w:ascii="Times New Roman"/>
                      <w:color w:val="auto"/>
                    </w:rPr>
                    <w:t>颗粒物</w:t>
                  </w:r>
                </w:p>
              </w:tc>
              <w:tc>
                <w:tcPr>
                  <w:tcW w:w="1425" w:type="dxa"/>
                  <w:tcBorders>
                    <w:top w:val="single" w:color="auto" w:sz="2" w:space="0"/>
                    <w:left w:val="single" w:color="auto" w:sz="2" w:space="0"/>
                    <w:bottom w:val="single" w:color="auto" w:sz="2" w:space="0"/>
                    <w:right w:val="single" w:color="auto" w:sz="2" w:space="0"/>
                  </w:tcBorders>
                  <w:vAlign w:val="center"/>
                </w:tcPr>
                <w:p w14:paraId="63217856">
                  <w:pPr>
                    <w:pStyle w:val="42"/>
                    <w:spacing w:before="31" w:after="31" w:line="0" w:lineRule="atLeast"/>
                    <w:rPr>
                      <w:rFonts w:ascii="Times New Roman"/>
                      <w:color w:val="auto"/>
                      <w:szCs w:val="21"/>
                    </w:rPr>
                  </w:pPr>
                  <w:r>
                    <w:rPr>
                      <w:rFonts w:hint="eastAsia" w:ascii="Times New Roman"/>
                      <w:color w:val="auto"/>
                      <w:kern w:val="2"/>
                      <w:szCs w:val="21"/>
                    </w:rPr>
                    <w:t>20</w:t>
                  </w:r>
                </w:p>
              </w:tc>
              <w:tc>
                <w:tcPr>
                  <w:tcW w:w="1361" w:type="dxa"/>
                  <w:tcBorders>
                    <w:top w:val="single" w:color="auto" w:sz="2" w:space="0"/>
                    <w:left w:val="single" w:color="auto" w:sz="2" w:space="0"/>
                    <w:bottom w:val="single" w:color="auto" w:sz="2" w:space="0"/>
                    <w:right w:val="single" w:color="auto" w:sz="2" w:space="0"/>
                  </w:tcBorders>
                  <w:vAlign w:val="center"/>
                </w:tcPr>
                <w:p w14:paraId="79A098E7">
                  <w:pPr>
                    <w:pStyle w:val="42"/>
                    <w:spacing w:before="31" w:after="31" w:line="0" w:lineRule="atLeast"/>
                    <w:rPr>
                      <w:color w:val="auto"/>
                      <w:szCs w:val="21"/>
                    </w:rPr>
                  </w:pPr>
                  <w:r>
                    <w:rPr>
                      <w:rFonts w:hint="eastAsia" w:ascii="Times New Roman"/>
                      <w:color w:val="auto"/>
                      <w:kern w:val="2"/>
                      <w:szCs w:val="21"/>
                    </w:rPr>
                    <w:t>1</w:t>
                  </w:r>
                </w:p>
              </w:tc>
              <w:tc>
                <w:tcPr>
                  <w:tcW w:w="1114" w:type="dxa"/>
                  <w:vMerge w:val="continue"/>
                  <w:tcBorders>
                    <w:left w:val="single" w:color="auto" w:sz="2" w:space="0"/>
                    <w:right w:val="single" w:color="auto" w:sz="2" w:space="0"/>
                  </w:tcBorders>
                  <w:vAlign w:val="center"/>
                </w:tcPr>
                <w:p w14:paraId="4BA27046">
                  <w:pPr>
                    <w:pStyle w:val="42"/>
                    <w:spacing w:before="31" w:after="31" w:line="0" w:lineRule="atLeast"/>
                    <w:rPr>
                      <w:rFonts w:ascii="Times New Roman"/>
                      <w:color w:val="auto"/>
                      <w:kern w:val="2"/>
                      <w:szCs w:val="21"/>
                    </w:rPr>
                  </w:pPr>
                </w:p>
              </w:tc>
              <w:tc>
                <w:tcPr>
                  <w:tcW w:w="1661" w:type="dxa"/>
                  <w:tcBorders>
                    <w:top w:val="single" w:color="auto" w:sz="2" w:space="0"/>
                    <w:left w:val="single" w:color="auto" w:sz="2" w:space="0"/>
                    <w:bottom w:val="single" w:color="auto" w:sz="2" w:space="0"/>
                    <w:right w:val="single" w:color="auto" w:sz="2" w:space="0"/>
                  </w:tcBorders>
                  <w:vAlign w:val="center"/>
                </w:tcPr>
                <w:p w14:paraId="474FC5CF">
                  <w:pPr>
                    <w:pStyle w:val="42"/>
                    <w:spacing w:before="31" w:after="31" w:line="0" w:lineRule="atLeast"/>
                    <w:rPr>
                      <w:color w:val="auto"/>
                      <w:szCs w:val="21"/>
                    </w:rPr>
                  </w:pPr>
                  <w:r>
                    <w:rPr>
                      <w:rFonts w:hint="eastAsia" w:ascii="Times New Roman"/>
                      <w:color w:val="auto"/>
                      <w:szCs w:val="21"/>
                    </w:rPr>
                    <w:t>0.5</w:t>
                  </w:r>
                </w:p>
              </w:tc>
              <w:tc>
                <w:tcPr>
                  <w:tcW w:w="2307" w:type="dxa"/>
                  <w:vMerge w:val="continue"/>
                  <w:tcBorders>
                    <w:left w:val="single" w:color="auto" w:sz="2" w:space="0"/>
                    <w:right w:val="single" w:color="auto" w:sz="2" w:space="0"/>
                  </w:tcBorders>
                  <w:vAlign w:val="center"/>
                </w:tcPr>
                <w:p w14:paraId="5C1291F2">
                  <w:pPr>
                    <w:widowControl/>
                    <w:jc w:val="center"/>
                    <w:rPr>
                      <w:color w:val="auto"/>
                    </w:rPr>
                  </w:pPr>
                </w:p>
              </w:tc>
            </w:tr>
            <w:tr w14:paraId="4D7DA1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283" w:hRule="atLeast"/>
                <w:jc w:val="center"/>
              </w:trPr>
              <w:tc>
                <w:tcPr>
                  <w:tcW w:w="1319" w:type="dxa"/>
                  <w:tcBorders>
                    <w:top w:val="single" w:color="auto" w:sz="2" w:space="0"/>
                    <w:left w:val="single" w:color="auto" w:sz="2" w:space="0"/>
                    <w:bottom w:val="single" w:color="auto" w:sz="2" w:space="0"/>
                    <w:right w:val="single" w:color="auto" w:sz="2" w:space="0"/>
                  </w:tcBorders>
                  <w:vAlign w:val="center"/>
                </w:tcPr>
                <w:p w14:paraId="23D5F083">
                  <w:pPr>
                    <w:pStyle w:val="42"/>
                    <w:spacing w:before="31" w:after="31" w:line="240" w:lineRule="atLeast"/>
                    <w:jc w:val="center"/>
                    <w:rPr>
                      <w:rFonts w:hint="eastAsia" w:ascii="Times New Roman"/>
                      <w:color w:val="auto"/>
                    </w:rPr>
                  </w:pPr>
                  <w:r>
                    <w:rPr>
                      <w:rFonts w:hint="eastAsia" w:ascii="Times New Roman"/>
                      <w:color w:val="auto"/>
                    </w:rPr>
                    <w:t>锡及其化合物</w:t>
                  </w:r>
                </w:p>
              </w:tc>
              <w:tc>
                <w:tcPr>
                  <w:tcW w:w="1425" w:type="dxa"/>
                  <w:tcBorders>
                    <w:top w:val="single" w:color="auto" w:sz="2" w:space="0"/>
                    <w:left w:val="single" w:color="auto" w:sz="2" w:space="0"/>
                    <w:bottom w:val="single" w:color="auto" w:sz="2" w:space="0"/>
                    <w:right w:val="single" w:color="auto" w:sz="2" w:space="0"/>
                  </w:tcBorders>
                  <w:vAlign w:val="center"/>
                </w:tcPr>
                <w:p w14:paraId="1D976690">
                  <w:pPr>
                    <w:pStyle w:val="42"/>
                    <w:spacing w:before="31" w:after="31" w:line="0" w:lineRule="atLeast"/>
                    <w:rPr>
                      <w:rFonts w:hint="eastAsia" w:ascii="Times New Roman" w:eastAsia="宋体"/>
                      <w:color w:val="auto"/>
                      <w:kern w:val="2"/>
                      <w:szCs w:val="21"/>
                      <w:lang w:val="en-US" w:eastAsia="zh-CN"/>
                    </w:rPr>
                  </w:pPr>
                  <w:r>
                    <w:rPr>
                      <w:rFonts w:hint="eastAsia" w:ascii="Times New Roman"/>
                      <w:color w:val="auto"/>
                      <w:kern w:val="2"/>
                      <w:szCs w:val="21"/>
                      <w:lang w:val="en-US" w:eastAsia="zh-CN"/>
                    </w:rPr>
                    <w:t>5</w:t>
                  </w:r>
                </w:p>
              </w:tc>
              <w:tc>
                <w:tcPr>
                  <w:tcW w:w="1361" w:type="dxa"/>
                  <w:tcBorders>
                    <w:top w:val="single" w:color="auto" w:sz="2" w:space="0"/>
                    <w:left w:val="single" w:color="auto" w:sz="2" w:space="0"/>
                    <w:bottom w:val="single" w:color="auto" w:sz="2" w:space="0"/>
                    <w:right w:val="single" w:color="auto" w:sz="2" w:space="0"/>
                  </w:tcBorders>
                  <w:vAlign w:val="center"/>
                </w:tcPr>
                <w:p w14:paraId="76454AE4">
                  <w:pPr>
                    <w:pStyle w:val="42"/>
                    <w:spacing w:before="31" w:after="31" w:line="0" w:lineRule="atLeast"/>
                    <w:rPr>
                      <w:rFonts w:hint="default" w:ascii="Times New Roman" w:eastAsia="宋体"/>
                      <w:color w:val="auto"/>
                      <w:kern w:val="2"/>
                      <w:szCs w:val="21"/>
                      <w:lang w:val="en-US" w:eastAsia="zh-CN"/>
                    </w:rPr>
                  </w:pPr>
                  <w:r>
                    <w:rPr>
                      <w:rFonts w:hint="eastAsia" w:ascii="Times New Roman"/>
                      <w:color w:val="auto"/>
                      <w:kern w:val="2"/>
                      <w:szCs w:val="21"/>
                      <w:lang w:val="en-US" w:eastAsia="zh-CN"/>
                    </w:rPr>
                    <w:t>0.22</w:t>
                  </w:r>
                </w:p>
              </w:tc>
              <w:tc>
                <w:tcPr>
                  <w:tcW w:w="1114" w:type="dxa"/>
                  <w:vMerge w:val="continue"/>
                  <w:tcBorders>
                    <w:left w:val="single" w:color="auto" w:sz="2" w:space="0"/>
                    <w:right w:val="single" w:color="auto" w:sz="2" w:space="0"/>
                  </w:tcBorders>
                  <w:vAlign w:val="center"/>
                </w:tcPr>
                <w:p w14:paraId="1671BB98">
                  <w:pPr>
                    <w:pStyle w:val="42"/>
                    <w:spacing w:before="31" w:after="31" w:line="0" w:lineRule="atLeast"/>
                    <w:rPr>
                      <w:rFonts w:ascii="Times New Roman"/>
                      <w:color w:val="auto"/>
                      <w:kern w:val="2"/>
                      <w:szCs w:val="21"/>
                    </w:rPr>
                  </w:pPr>
                </w:p>
              </w:tc>
              <w:tc>
                <w:tcPr>
                  <w:tcW w:w="1661" w:type="dxa"/>
                  <w:tcBorders>
                    <w:top w:val="single" w:color="auto" w:sz="2" w:space="0"/>
                    <w:left w:val="single" w:color="auto" w:sz="2" w:space="0"/>
                    <w:bottom w:val="single" w:color="auto" w:sz="2" w:space="0"/>
                    <w:right w:val="single" w:color="auto" w:sz="2" w:space="0"/>
                  </w:tcBorders>
                  <w:vAlign w:val="center"/>
                </w:tcPr>
                <w:p w14:paraId="36C65586">
                  <w:pPr>
                    <w:pStyle w:val="42"/>
                    <w:spacing w:before="31" w:after="31" w:line="0" w:lineRule="atLeast"/>
                    <w:rPr>
                      <w:rFonts w:hint="default" w:ascii="Times New Roman" w:eastAsia="宋体"/>
                      <w:color w:val="auto"/>
                      <w:szCs w:val="21"/>
                      <w:lang w:val="en-US" w:eastAsia="zh-CN"/>
                    </w:rPr>
                  </w:pPr>
                  <w:r>
                    <w:rPr>
                      <w:rFonts w:hint="eastAsia" w:ascii="Times New Roman"/>
                      <w:color w:val="auto"/>
                      <w:szCs w:val="21"/>
                      <w:lang w:val="en-US" w:eastAsia="zh-CN"/>
                    </w:rPr>
                    <w:t>0.06</w:t>
                  </w:r>
                </w:p>
              </w:tc>
              <w:tc>
                <w:tcPr>
                  <w:tcW w:w="2307" w:type="dxa"/>
                  <w:vMerge w:val="continue"/>
                  <w:tcBorders>
                    <w:left w:val="single" w:color="auto" w:sz="2" w:space="0"/>
                    <w:right w:val="single" w:color="auto" w:sz="2" w:space="0"/>
                  </w:tcBorders>
                  <w:vAlign w:val="center"/>
                </w:tcPr>
                <w:p w14:paraId="431C64C5">
                  <w:pPr>
                    <w:widowControl/>
                    <w:jc w:val="center"/>
                    <w:rPr>
                      <w:color w:val="auto"/>
                    </w:rPr>
                  </w:pPr>
                </w:p>
              </w:tc>
            </w:tr>
          </w:tbl>
          <w:p w14:paraId="715BD173">
            <w:pPr>
              <w:pStyle w:val="40"/>
              <w:snapToGrid/>
              <w:spacing w:line="360" w:lineRule="auto"/>
              <w:ind w:firstLine="0" w:firstLineChars="0"/>
              <w:jc w:val="center"/>
              <w:rPr>
                <w:b/>
                <w:bCs/>
                <w:color w:val="auto"/>
                <w:sz w:val="24"/>
              </w:rPr>
            </w:pPr>
            <w:r>
              <w:rPr>
                <w:rFonts w:hint="eastAsia"/>
                <w:b/>
                <w:bCs/>
                <w:color w:val="auto"/>
                <w:sz w:val="24"/>
                <w:szCs w:val="20"/>
              </w:rPr>
              <w:t xml:space="preserve">表3-10  </w:t>
            </w:r>
            <w:r>
              <w:rPr>
                <w:b/>
                <w:bCs/>
                <w:color w:val="auto"/>
                <w:sz w:val="24"/>
                <w:szCs w:val="20"/>
              </w:rPr>
              <w:t>厂区内VOCs无组织排放限值</w:t>
            </w:r>
          </w:p>
          <w:tbl>
            <w:tblPr>
              <w:tblStyle w:val="22"/>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20"/>
              <w:gridCol w:w="4178"/>
              <w:gridCol w:w="2425"/>
            </w:tblGrid>
            <w:tr w14:paraId="461EC7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81" w:type="pct"/>
                  <w:tcBorders>
                    <w:top w:val="single" w:color="auto" w:sz="2" w:space="0"/>
                    <w:left w:val="single" w:color="auto" w:sz="2" w:space="0"/>
                    <w:bottom w:val="single" w:color="auto" w:sz="2" w:space="0"/>
                    <w:right w:val="single" w:color="auto" w:sz="2" w:space="0"/>
                  </w:tcBorders>
                  <w:vAlign w:val="center"/>
                </w:tcPr>
                <w:p w14:paraId="377CE513">
                  <w:pPr>
                    <w:pStyle w:val="43"/>
                    <w:spacing w:line="240" w:lineRule="atLeast"/>
                    <w:rPr>
                      <w:b/>
                      <w:color w:val="auto"/>
                    </w:rPr>
                  </w:pPr>
                  <w:r>
                    <w:rPr>
                      <w:b/>
                      <w:color w:val="auto"/>
                    </w:rPr>
                    <w:t>污染物项目</w:t>
                  </w:r>
                </w:p>
              </w:tc>
              <w:tc>
                <w:tcPr>
                  <w:tcW w:w="2289" w:type="pct"/>
                  <w:tcBorders>
                    <w:top w:val="single" w:color="auto" w:sz="2" w:space="0"/>
                    <w:left w:val="single" w:color="auto" w:sz="2" w:space="0"/>
                    <w:bottom w:val="single" w:color="auto" w:sz="2" w:space="0"/>
                    <w:right w:val="single" w:color="auto" w:sz="2" w:space="0"/>
                  </w:tcBorders>
                  <w:vAlign w:val="center"/>
                </w:tcPr>
                <w:p w14:paraId="61342E15">
                  <w:pPr>
                    <w:pStyle w:val="43"/>
                    <w:spacing w:line="240" w:lineRule="atLeast"/>
                    <w:rPr>
                      <w:b/>
                      <w:color w:val="auto"/>
                    </w:rPr>
                  </w:pPr>
                  <w:r>
                    <w:rPr>
                      <w:b/>
                      <w:color w:val="auto"/>
                    </w:rPr>
                    <w:t>最高允许排放浓度（mg/m</w:t>
                  </w:r>
                  <w:r>
                    <w:rPr>
                      <w:b/>
                      <w:color w:val="auto"/>
                      <w:vertAlign w:val="superscript"/>
                    </w:rPr>
                    <w:t>3</w:t>
                  </w:r>
                  <w:r>
                    <w:rPr>
                      <w:b/>
                      <w:color w:val="auto"/>
                    </w:rPr>
                    <w:t>）</w:t>
                  </w:r>
                </w:p>
              </w:tc>
              <w:tc>
                <w:tcPr>
                  <w:tcW w:w="1328" w:type="pct"/>
                  <w:tcBorders>
                    <w:top w:val="single" w:color="auto" w:sz="2" w:space="0"/>
                    <w:left w:val="single" w:color="auto" w:sz="2" w:space="0"/>
                    <w:bottom w:val="single" w:color="auto" w:sz="2" w:space="0"/>
                    <w:right w:val="single" w:color="auto" w:sz="2" w:space="0"/>
                  </w:tcBorders>
                  <w:vAlign w:val="center"/>
                </w:tcPr>
                <w:p w14:paraId="26FF878F">
                  <w:pPr>
                    <w:pStyle w:val="43"/>
                    <w:spacing w:line="240" w:lineRule="atLeast"/>
                    <w:rPr>
                      <w:b/>
                      <w:color w:val="auto"/>
                    </w:rPr>
                  </w:pPr>
                  <w:r>
                    <w:rPr>
                      <w:b/>
                      <w:color w:val="auto"/>
                    </w:rPr>
                    <w:t>无组织排放监控位置</w:t>
                  </w:r>
                </w:p>
              </w:tc>
            </w:tr>
            <w:tr w14:paraId="35738B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 w:hRule="atLeast"/>
                <w:jc w:val="center"/>
              </w:trPr>
              <w:tc>
                <w:tcPr>
                  <w:tcW w:w="1381" w:type="pct"/>
                  <w:vMerge w:val="restart"/>
                  <w:tcBorders>
                    <w:top w:val="single" w:color="auto" w:sz="2" w:space="0"/>
                    <w:left w:val="single" w:color="auto" w:sz="2" w:space="0"/>
                    <w:right w:val="single" w:color="auto" w:sz="2" w:space="0"/>
                  </w:tcBorders>
                  <w:vAlign w:val="center"/>
                </w:tcPr>
                <w:p w14:paraId="4CE0F275">
                  <w:pPr>
                    <w:pStyle w:val="43"/>
                    <w:spacing w:line="240" w:lineRule="atLeast"/>
                    <w:rPr>
                      <w:color w:val="auto"/>
                    </w:rPr>
                  </w:pPr>
                  <w:r>
                    <w:rPr>
                      <w:rFonts w:hint="eastAsia"/>
                      <w:color w:val="auto"/>
                    </w:rPr>
                    <w:t>非甲烷总烃</w:t>
                  </w:r>
                </w:p>
              </w:tc>
              <w:tc>
                <w:tcPr>
                  <w:tcW w:w="2289" w:type="pct"/>
                  <w:tcBorders>
                    <w:top w:val="single" w:color="auto" w:sz="2" w:space="0"/>
                    <w:left w:val="single" w:color="auto" w:sz="2" w:space="0"/>
                    <w:bottom w:val="single" w:color="auto" w:sz="2" w:space="0"/>
                    <w:right w:val="single" w:color="auto" w:sz="2" w:space="0"/>
                  </w:tcBorders>
                  <w:vAlign w:val="center"/>
                </w:tcPr>
                <w:p w14:paraId="75C392F7">
                  <w:pPr>
                    <w:pStyle w:val="43"/>
                    <w:spacing w:line="240" w:lineRule="atLeast"/>
                    <w:rPr>
                      <w:color w:val="auto"/>
                    </w:rPr>
                  </w:pPr>
                  <w:r>
                    <w:rPr>
                      <w:rFonts w:hint="eastAsia"/>
                      <w:color w:val="auto"/>
                    </w:rPr>
                    <w:t>6</w:t>
                  </w:r>
                  <w:r>
                    <w:rPr>
                      <w:color w:val="auto"/>
                    </w:rPr>
                    <w:t>（监控点处1h平均浓度值）</w:t>
                  </w:r>
                </w:p>
              </w:tc>
              <w:tc>
                <w:tcPr>
                  <w:tcW w:w="1328" w:type="pct"/>
                  <w:vMerge w:val="restart"/>
                  <w:tcBorders>
                    <w:top w:val="single" w:color="auto" w:sz="2" w:space="0"/>
                    <w:left w:val="single" w:color="auto" w:sz="2" w:space="0"/>
                    <w:right w:val="single" w:color="auto" w:sz="2" w:space="0"/>
                  </w:tcBorders>
                  <w:vAlign w:val="center"/>
                </w:tcPr>
                <w:p w14:paraId="6756920B">
                  <w:pPr>
                    <w:pStyle w:val="43"/>
                    <w:spacing w:line="240" w:lineRule="atLeast"/>
                    <w:rPr>
                      <w:color w:val="auto"/>
                    </w:rPr>
                  </w:pPr>
                  <w:r>
                    <w:rPr>
                      <w:color w:val="auto"/>
                    </w:rPr>
                    <w:t>在厂房外设置监控点</w:t>
                  </w:r>
                </w:p>
              </w:tc>
            </w:tr>
            <w:tr w14:paraId="2E9CD8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 w:hRule="atLeast"/>
                <w:jc w:val="center"/>
              </w:trPr>
              <w:tc>
                <w:tcPr>
                  <w:tcW w:w="1381" w:type="pct"/>
                  <w:vMerge w:val="continue"/>
                  <w:tcBorders>
                    <w:left w:val="single" w:color="auto" w:sz="2" w:space="0"/>
                    <w:right w:val="single" w:color="auto" w:sz="2" w:space="0"/>
                  </w:tcBorders>
                  <w:vAlign w:val="center"/>
                </w:tcPr>
                <w:p w14:paraId="568399A9">
                  <w:pPr>
                    <w:pStyle w:val="43"/>
                    <w:spacing w:line="240" w:lineRule="atLeast"/>
                    <w:rPr>
                      <w:color w:val="auto"/>
                    </w:rPr>
                  </w:pPr>
                </w:p>
              </w:tc>
              <w:tc>
                <w:tcPr>
                  <w:tcW w:w="2289" w:type="pct"/>
                  <w:tcBorders>
                    <w:top w:val="single" w:color="auto" w:sz="2" w:space="0"/>
                    <w:left w:val="single" w:color="auto" w:sz="2" w:space="0"/>
                    <w:bottom w:val="single" w:color="auto" w:sz="2" w:space="0"/>
                    <w:right w:val="single" w:color="auto" w:sz="2" w:space="0"/>
                  </w:tcBorders>
                  <w:vAlign w:val="center"/>
                </w:tcPr>
                <w:p w14:paraId="2C4DE120">
                  <w:pPr>
                    <w:pStyle w:val="43"/>
                    <w:spacing w:line="240" w:lineRule="atLeast"/>
                    <w:rPr>
                      <w:color w:val="auto"/>
                    </w:rPr>
                  </w:pPr>
                  <w:r>
                    <w:rPr>
                      <w:rFonts w:hint="eastAsia"/>
                      <w:color w:val="auto"/>
                    </w:rPr>
                    <w:t>20</w:t>
                  </w:r>
                  <w:r>
                    <w:rPr>
                      <w:color w:val="auto"/>
                    </w:rPr>
                    <w:t>（监控点处任意一次浓度值）</w:t>
                  </w:r>
                </w:p>
              </w:tc>
              <w:tc>
                <w:tcPr>
                  <w:tcW w:w="1328" w:type="pct"/>
                  <w:vMerge w:val="continue"/>
                  <w:tcBorders>
                    <w:left w:val="single" w:color="auto" w:sz="2" w:space="0"/>
                    <w:right w:val="single" w:color="auto" w:sz="2" w:space="0"/>
                  </w:tcBorders>
                  <w:vAlign w:val="center"/>
                </w:tcPr>
                <w:p w14:paraId="2BFF587D">
                  <w:pPr>
                    <w:pStyle w:val="43"/>
                    <w:spacing w:line="240" w:lineRule="atLeast"/>
                    <w:rPr>
                      <w:color w:val="auto"/>
                    </w:rPr>
                  </w:pPr>
                </w:p>
              </w:tc>
            </w:tr>
          </w:tbl>
          <w:p w14:paraId="6758EA7C">
            <w:pPr>
              <w:spacing w:line="360" w:lineRule="auto"/>
              <w:ind w:firstLine="480" w:firstLineChars="200"/>
              <w:rPr>
                <w:color w:val="auto"/>
                <w:sz w:val="24"/>
              </w:rPr>
            </w:pPr>
            <w:r>
              <w:rPr>
                <w:bCs/>
                <w:color w:val="auto"/>
                <w:sz w:val="24"/>
              </w:rPr>
              <w:t>2、</w:t>
            </w:r>
            <w:r>
              <w:rPr>
                <w:color w:val="auto"/>
                <w:sz w:val="24"/>
              </w:rPr>
              <w:t>水污染物排放标准</w:t>
            </w:r>
          </w:p>
          <w:p w14:paraId="0182847A">
            <w:pPr>
              <w:pStyle w:val="40"/>
              <w:snapToGrid/>
              <w:spacing w:line="360" w:lineRule="auto"/>
              <w:ind w:firstLine="0" w:firstLineChars="0"/>
              <w:jc w:val="left"/>
              <w:rPr>
                <w:bCs/>
                <w:color w:val="auto"/>
                <w:sz w:val="24"/>
              </w:rPr>
            </w:pPr>
            <w:r>
              <w:rPr>
                <w:rFonts w:hint="eastAsia"/>
                <w:color w:val="auto"/>
              </w:rPr>
              <w:t xml:space="preserve">    </w:t>
            </w:r>
            <w:r>
              <w:rPr>
                <w:bCs/>
                <w:color w:val="auto"/>
                <w:sz w:val="24"/>
              </w:rPr>
              <w:t>本项目生活污水</w:t>
            </w:r>
            <w:r>
              <w:rPr>
                <w:rFonts w:hint="eastAsia"/>
                <w:bCs/>
                <w:color w:val="auto"/>
                <w:sz w:val="24"/>
              </w:rPr>
              <w:t>、食堂废水</w:t>
            </w:r>
            <w:r>
              <w:rPr>
                <w:bCs/>
                <w:color w:val="auto"/>
                <w:sz w:val="24"/>
              </w:rPr>
              <w:t>接管至</w:t>
            </w:r>
            <w:r>
              <w:rPr>
                <w:rFonts w:hint="eastAsia"/>
                <w:color w:val="auto"/>
                <w:sz w:val="24"/>
                <w:lang w:eastAsia="zh-CN"/>
              </w:rPr>
              <w:t>常州市金坛区溪城污水处理有限公司直溪污水处理厂</w:t>
            </w:r>
            <w:r>
              <w:rPr>
                <w:bCs/>
                <w:color w:val="auto"/>
                <w:sz w:val="24"/>
              </w:rPr>
              <w:t>集中处理，尾水排入</w:t>
            </w:r>
            <w:r>
              <w:rPr>
                <w:rFonts w:hint="eastAsia"/>
                <w:bCs/>
                <w:color w:val="auto"/>
                <w:sz w:val="24"/>
              </w:rPr>
              <w:t>通济河</w:t>
            </w:r>
            <w:r>
              <w:rPr>
                <w:bCs/>
                <w:color w:val="auto"/>
                <w:sz w:val="24"/>
              </w:rPr>
              <w:t>。接管标准执行《污水排入城镇下水道水质标准》（GB/T31962-2015）表1中B级标准</w:t>
            </w:r>
            <w:r>
              <w:rPr>
                <w:rFonts w:hint="eastAsia"/>
                <w:bCs/>
                <w:color w:val="auto"/>
                <w:sz w:val="24"/>
              </w:rPr>
              <w:t>。</w:t>
            </w:r>
            <w:r>
              <w:rPr>
                <w:rFonts w:hint="eastAsia"/>
                <w:color w:val="auto"/>
                <w:sz w:val="24"/>
                <w:lang w:eastAsia="zh-CN"/>
              </w:rPr>
              <w:t>常州市金坛区溪城污水处理有限公司直溪污水处理厂</w:t>
            </w:r>
            <w:r>
              <w:rPr>
                <w:bCs/>
                <w:color w:val="auto"/>
                <w:sz w:val="24"/>
              </w:rPr>
              <w:t>尾水排放</w:t>
            </w:r>
            <w:r>
              <w:rPr>
                <w:rFonts w:hint="eastAsia"/>
                <w:bCs/>
                <w:color w:val="auto"/>
                <w:sz w:val="24"/>
              </w:rPr>
              <w:t>近期执行《城镇污水处理厂污染物</w:t>
            </w:r>
            <w:r>
              <w:rPr>
                <w:rFonts w:hint="eastAsia"/>
                <w:bCs/>
                <w:color w:val="auto"/>
                <w:sz w:val="24"/>
                <w:lang w:val="en-US" w:eastAsia="zh-CN"/>
              </w:rPr>
              <w:t>排</w:t>
            </w:r>
            <w:r>
              <w:rPr>
                <w:rFonts w:hint="eastAsia"/>
                <w:bCs/>
                <w:color w:val="auto"/>
                <w:sz w:val="24"/>
              </w:rPr>
              <w:t>放标准》（GB18918-2002）表1一级A类标准及《太湖地区城镇污水处理厂及重点工业行业主要水污染物排放限值》（DB32/1072－2018）表2标准;远期（2026年3月28日起）执行《城镇污水处理厂污染物排放标准》（DB32/4440-2022）表1C类标准。</w:t>
            </w:r>
          </w:p>
          <w:p w14:paraId="5EECE05B">
            <w:pPr>
              <w:pStyle w:val="40"/>
              <w:snapToGrid/>
              <w:spacing w:line="360" w:lineRule="auto"/>
              <w:ind w:firstLine="0" w:firstLineChars="0"/>
              <w:jc w:val="center"/>
              <w:rPr>
                <w:b/>
                <w:bCs/>
                <w:color w:val="auto"/>
                <w:sz w:val="24"/>
                <w:szCs w:val="20"/>
              </w:rPr>
            </w:pPr>
            <w:r>
              <w:rPr>
                <w:rFonts w:hint="eastAsia"/>
                <w:b/>
                <w:bCs/>
                <w:color w:val="auto"/>
                <w:sz w:val="24"/>
                <w:szCs w:val="20"/>
              </w:rPr>
              <w:t>表3-1</w:t>
            </w:r>
            <w:r>
              <w:rPr>
                <w:rFonts w:hint="eastAsia"/>
                <w:b/>
                <w:bCs/>
                <w:color w:val="auto"/>
                <w:sz w:val="24"/>
                <w:szCs w:val="20"/>
                <w:lang w:val="en-US" w:eastAsia="zh-CN"/>
              </w:rPr>
              <w:t>1</w:t>
            </w:r>
            <w:r>
              <w:rPr>
                <w:rFonts w:hint="eastAsia"/>
                <w:b/>
                <w:bCs/>
                <w:color w:val="auto"/>
                <w:sz w:val="24"/>
                <w:szCs w:val="20"/>
              </w:rPr>
              <w:t xml:space="preserve">  本项目污水接管标准指标限值</w:t>
            </w:r>
          </w:p>
          <w:tbl>
            <w:tblPr>
              <w:tblStyle w:val="22"/>
              <w:tblW w:w="8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2"/>
              <w:gridCol w:w="3054"/>
              <w:gridCol w:w="3421"/>
            </w:tblGrid>
            <w:tr w14:paraId="359D1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2" w:type="dxa"/>
                  <w:tcBorders>
                    <w:top w:val="single" w:color="000000" w:sz="2" w:space="0"/>
                    <w:left w:val="single" w:color="000000" w:sz="2" w:space="0"/>
                    <w:bottom w:val="single" w:color="000000" w:sz="2" w:space="0"/>
                    <w:right w:val="single" w:color="000000" w:sz="2" w:space="0"/>
                  </w:tcBorders>
                  <w:vAlign w:val="center"/>
                </w:tcPr>
                <w:p w14:paraId="16A20790">
                  <w:pPr>
                    <w:pStyle w:val="43"/>
                    <w:spacing w:line="240" w:lineRule="atLeast"/>
                    <w:rPr>
                      <w:b/>
                      <w:color w:val="auto"/>
                    </w:rPr>
                  </w:pPr>
                  <w:r>
                    <w:rPr>
                      <w:b/>
                      <w:color w:val="auto"/>
                    </w:rPr>
                    <w:t>污染物</w:t>
                  </w:r>
                </w:p>
              </w:tc>
              <w:tc>
                <w:tcPr>
                  <w:tcW w:w="3054" w:type="dxa"/>
                  <w:tcBorders>
                    <w:top w:val="single" w:color="000000" w:sz="2" w:space="0"/>
                    <w:left w:val="single" w:color="000000" w:sz="2" w:space="0"/>
                    <w:bottom w:val="single" w:color="000000" w:sz="2" w:space="0"/>
                    <w:right w:val="single" w:color="000000" w:sz="2" w:space="0"/>
                  </w:tcBorders>
                  <w:vAlign w:val="center"/>
                </w:tcPr>
                <w:p w14:paraId="17874F50">
                  <w:pPr>
                    <w:pStyle w:val="43"/>
                    <w:spacing w:line="240" w:lineRule="atLeast"/>
                    <w:rPr>
                      <w:b/>
                      <w:color w:val="auto"/>
                    </w:rPr>
                  </w:pPr>
                  <w:r>
                    <w:rPr>
                      <w:b/>
                      <w:color w:val="auto"/>
                    </w:rPr>
                    <w:t>浓度限值（mg/L）</w:t>
                  </w:r>
                </w:p>
              </w:tc>
              <w:tc>
                <w:tcPr>
                  <w:tcW w:w="3421" w:type="dxa"/>
                  <w:tcBorders>
                    <w:top w:val="single" w:color="000000" w:sz="2" w:space="0"/>
                    <w:left w:val="single" w:color="000000" w:sz="2" w:space="0"/>
                    <w:bottom w:val="single" w:color="000000" w:sz="2" w:space="0"/>
                    <w:right w:val="single" w:color="000000" w:sz="2" w:space="0"/>
                  </w:tcBorders>
                  <w:vAlign w:val="center"/>
                </w:tcPr>
                <w:p w14:paraId="1CAE1433">
                  <w:pPr>
                    <w:pStyle w:val="43"/>
                    <w:spacing w:line="240" w:lineRule="atLeast"/>
                    <w:rPr>
                      <w:b/>
                      <w:color w:val="auto"/>
                    </w:rPr>
                  </w:pPr>
                  <w:r>
                    <w:rPr>
                      <w:b/>
                      <w:color w:val="auto"/>
                    </w:rPr>
                    <w:t>标准来源</w:t>
                  </w:r>
                </w:p>
              </w:tc>
            </w:tr>
            <w:tr w14:paraId="2CB92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142" w:type="dxa"/>
                  <w:tcBorders>
                    <w:top w:val="single" w:color="000000" w:sz="2" w:space="0"/>
                    <w:left w:val="single" w:color="000000" w:sz="2" w:space="0"/>
                    <w:bottom w:val="single" w:color="000000" w:sz="2" w:space="0"/>
                    <w:right w:val="single" w:color="000000" w:sz="2" w:space="0"/>
                  </w:tcBorders>
                  <w:vAlign w:val="center"/>
                </w:tcPr>
                <w:p w14:paraId="151CE94A">
                  <w:pPr>
                    <w:pStyle w:val="43"/>
                    <w:spacing w:line="240" w:lineRule="atLeast"/>
                    <w:rPr>
                      <w:color w:val="auto"/>
                    </w:rPr>
                  </w:pPr>
                  <w:r>
                    <w:rPr>
                      <w:rFonts w:hint="eastAsia"/>
                      <w:color w:val="auto"/>
                    </w:rPr>
                    <w:t>pH</w:t>
                  </w:r>
                </w:p>
              </w:tc>
              <w:tc>
                <w:tcPr>
                  <w:tcW w:w="3054" w:type="dxa"/>
                  <w:tcBorders>
                    <w:top w:val="single" w:color="000000" w:sz="2" w:space="0"/>
                    <w:left w:val="single" w:color="000000" w:sz="2" w:space="0"/>
                    <w:bottom w:val="single" w:color="000000" w:sz="2" w:space="0"/>
                    <w:right w:val="single" w:color="000000" w:sz="2" w:space="0"/>
                  </w:tcBorders>
                  <w:vAlign w:val="center"/>
                </w:tcPr>
                <w:p w14:paraId="7E142F9D">
                  <w:pPr>
                    <w:pStyle w:val="43"/>
                    <w:spacing w:line="240" w:lineRule="atLeast"/>
                    <w:rPr>
                      <w:color w:val="auto"/>
                    </w:rPr>
                  </w:pPr>
                  <w:r>
                    <w:rPr>
                      <w:rFonts w:hint="eastAsia"/>
                      <w:color w:val="auto"/>
                    </w:rPr>
                    <w:t>6.5-9.5</w:t>
                  </w:r>
                </w:p>
              </w:tc>
              <w:tc>
                <w:tcPr>
                  <w:tcW w:w="3421" w:type="dxa"/>
                  <w:vMerge w:val="restart"/>
                  <w:tcBorders>
                    <w:top w:val="single" w:color="000000" w:sz="2" w:space="0"/>
                    <w:left w:val="single" w:color="000000" w:sz="2" w:space="0"/>
                    <w:right w:val="single" w:color="000000" w:sz="2" w:space="0"/>
                  </w:tcBorders>
                  <w:vAlign w:val="center"/>
                </w:tcPr>
                <w:p w14:paraId="1841AAA8">
                  <w:pPr>
                    <w:pStyle w:val="43"/>
                    <w:spacing w:line="240" w:lineRule="atLeast"/>
                    <w:rPr>
                      <w:color w:val="auto"/>
                    </w:rPr>
                  </w:pPr>
                  <w:r>
                    <w:rPr>
                      <w:rFonts w:hint="eastAsia"/>
                      <w:color w:val="auto"/>
                    </w:rPr>
                    <w:t>《污水排入城镇下水道水质标准》（GB/T31962-2015）中表1中B级标准</w:t>
                  </w:r>
                </w:p>
              </w:tc>
            </w:tr>
            <w:tr w14:paraId="75C52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2" w:type="dxa"/>
                  <w:tcBorders>
                    <w:top w:val="single" w:color="000000" w:sz="2" w:space="0"/>
                    <w:left w:val="single" w:color="000000" w:sz="2" w:space="0"/>
                    <w:bottom w:val="single" w:color="000000" w:sz="2" w:space="0"/>
                    <w:right w:val="single" w:color="000000" w:sz="2" w:space="0"/>
                  </w:tcBorders>
                  <w:vAlign w:val="center"/>
                </w:tcPr>
                <w:p w14:paraId="74FB9B4E">
                  <w:pPr>
                    <w:adjustRightInd w:val="0"/>
                    <w:spacing w:line="240" w:lineRule="atLeast"/>
                    <w:jc w:val="center"/>
                    <w:rPr>
                      <w:color w:val="auto"/>
                    </w:rPr>
                  </w:pPr>
                  <w:r>
                    <w:rPr>
                      <w:color w:val="auto"/>
                    </w:rPr>
                    <w:t>COD</w:t>
                  </w:r>
                </w:p>
              </w:tc>
              <w:tc>
                <w:tcPr>
                  <w:tcW w:w="3054" w:type="dxa"/>
                  <w:tcBorders>
                    <w:top w:val="single" w:color="000000" w:sz="2" w:space="0"/>
                    <w:left w:val="single" w:color="000000" w:sz="2" w:space="0"/>
                    <w:bottom w:val="single" w:color="000000" w:sz="2" w:space="0"/>
                    <w:right w:val="single" w:color="000000" w:sz="2" w:space="0"/>
                  </w:tcBorders>
                  <w:vAlign w:val="center"/>
                </w:tcPr>
                <w:p w14:paraId="2764DF8C">
                  <w:pPr>
                    <w:adjustRightInd w:val="0"/>
                    <w:spacing w:line="240" w:lineRule="atLeast"/>
                    <w:jc w:val="center"/>
                    <w:rPr>
                      <w:color w:val="auto"/>
                    </w:rPr>
                  </w:pPr>
                  <w:r>
                    <w:rPr>
                      <w:color w:val="auto"/>
                    </w:rPr>
                    <w:t>500</w:t>
                  </w:r>
                </w:p>
              </w:tc>
              <w:tc>
                <w:tcPr>
                  <w:tcW w:w="3421" w:type="dxa"/>
                  <w:vMerge w:val="continue"/>
                  <w:tcBorders>
                    <w:left w:val="single" w:color="000000" w:sz="2" w:space="0"/>
                    <w:right w:val="single" w:color="000000" w:sz="2" w:space="0"/>
                  </w:tcBorders>
                  <w:vAlign w:val="center"/>
                </w:tcPr>
                <w:p w14:paraId="30E3C8B2">
                  <w:pPr>
                    <w:spacing w:line="240" w:lineRule="atLeast"/>
                    <w:jc w:val="center"/>
                    <w:rPr>
                      <w:color w:val="auto"/>
                    </w:rPr>
                  </w:pPr>
                </w:p>
              </w:tc>
            </w:tr>
            <w:tr w14:paraId="523A4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2" w:type="dxa"/>
                  <w:tcBorders>
                    <w:top w:val="single" w:color="000000" w:sz="2" w:space="0"/>
                    <w:left w:val="single" w:color="000000" w:sz="2" w:space="0"/>
                    <w:bottom w:val="single" w:color="000000" w:sz="2" w:space="0"/>
                    <w:right w:val="single" w:color="000000" w:sz="2" w:space="0"/>
                  </w:tcBorders>
                  <w:vAlign w:val="center"/>
                </w:tcPr>
                <w:p w14:paraId="2A3CD0FD">
                  <w:pPr>
                    <w:adjustRightInd w:val="0"/>
                    <w:spacing w:line="240" w:lineRule="atLeast"/>
                    <w:jc w:val="center"/>
                    <w:rPr>
                      <w:color w:val="auto"/>
                    </w:rPr>
                  </w:pPr>
                  <w:r>
                    <w:rPr>
                      <w:color w:val="auto"/>
                    </w:rPr>
                    <w:t>SS</w:t>
                  </w:r>
                </w:p>
              </w:tc>
              <w:tc>
                <w:tcPr>
                  <w:tcW w:w="3054" w:type="dxa"/>
                  <w:tcBorders>
                    <w:top w:val="single" w:color="000000" w:sz="2" w:space="0"/>
                    <w:left w:val="single" w:color="000000" w:sz="2" w:space="0"/>
                    <w:bottom w:val="single" w:color="000000" w:sz="2" w:space="0"/>
                    <w:right w:val="single" w:color="000000" w:sz="2" w:space="0"/>
                  </w:tcBorders>
                  <w:vAlign w:val="center"/>
                </w:tcPr>
                <w:p w14:paraId="391C7F0F">
                  <w:pPr>
                    <w:adjustRightInd w:val="0"/>
                    <w:spacing w:line="240" w:lineRule="atLeast"/>
                    <w:jc w:val="center"/>
                    <w:rPr>
                      <w:color w:val="auto"/>
                    </w:rPr>
                  </w:pPr>
                  <w:r>
                    <w:rPr>
                      <w:color w:val="auto"/>
                    </w:rPr>
                    <w:t>400</w:t>
                  </w:r>
                </w:p>
              </w:tc>
              <w:tc>
                <w:tcPr>
                  <w:tcW w:w="3421" w:type="dxa"/>
                  <w:vMerge w:val="continue"/>
                  <w:tcBorders>
                    <w:left w:val="single" w:color="000000" w:sz="2" w:space="0"/>
                    <w:right w:val="single" w:color="000000" w:sz="2" w:space="0"/>
                  </w:tcBorders>
                  <w:vAlign w:val="center"/>
                </w:tcPr>
                <w:p w14:paraId="359831FE">
                  <w:pPr>
                    <w:spacing w:line="240" w:lineRule="atLeast"/>
                    <w:jc w:val="center"/>
                    <w:rPr>
                      <w:color w:val="auto"/>
                    </w:rPr>
                  </w:pPr>
                </w:p>
              </w:tc>
            </w:tr>
            <w:tr w14:paraId="753AE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2" w:type="dxa"/>
                  <w:tcBorders>
                    <w:top w:val="single" w:color="000000" w:sz="2" w:space="0"/>
                    <w:left w:val="single" w:color="000000" w:sz="2" w:space="0"/>
                    <w:bottom w:val="single" w:color="000000" w:sz="2" w:space="0"/>
                    <w:right w:val="single" w:color="000000" w:sz="2" w:space="0"/>
                  </w:tcBorders>
                  <w:vAlign w:val="center"/>
                </w:tcPr>
                <w:p w14:paraId="48CCA8B7">
                  <w:pPr>
                    <w:adjustRightInd w:val="0"/>
                    <w:spacing w:line="240" w:lineRule="atLeast"/>
                    <w:jc w:val="center"/>
                    <w:rPr>
                      <w:color w:val="auto"/>
                    </w:rPr>
                  </w:pPr>
                  <w:r>
                    <w:rPr>
                      <w:rFonts w:hint="eastAsia"/>
                      <w:bCs/>
                      <w:color w:val="auto"/>
                    </w:rPr>
                    <w:t>NH</w:t>
                  </w:r>
                  <w:r>
                    <w:rPr>
                      <w:rFonts w:hint="eastAsia"/>
                      <w:bCs/>
                      <w:color w:val="auto"/>
                      <w:vertAlign w:val="subscript"/>
                    </w:rPr>
                    <w:t>3</w:t>
                  </w:r>
                  <w:r>
                    <w:rPr>
                      <w:rFonts w:hint="eastAsia"/>
                      <w:bCs/>
                      <w:color w:val="auto"/>
                    </w:rPr>
                    <w:t>-N</w:t>
                  </w:r>
                </w:p>
              </w:tc>
              <w:tc>
                <w:tcPr>
                  <w:tcW w:w="3054" w:type="dxa"/>
                  <w:tcBorders>
                    <w:top w:val="single" w:color="000000" w:sz="2" w:space="0"/>
                    <w:left w:val="single" w:color="000000" w:sz="2" w:space="0"/>
                    <w:bottom w:val="single" w:color="000000" w:sz="2" w:space="0"/>
                    <w:right w:val="single" w:color="000000" w:sz="2" w:space="0"/>
                  </w:tcBorders>
                  <w:vAlign w:val="center"/>
                </w:tcPr>
                <w:p w14:paraId="6E246887">
                  <w:pPr>
                    <w:adjustRightInd w:val="0"/>
                    <w:spacing w:line="240" w:lineRule="atLeast"/>
                    <w:jc w:val="center"/>
                    <w:rPr>
                      <w:color w:val="auto"/>
                    </w:rPr>
                  </w:pPr>
                  <w:r>
                    <w:rPr>
                      <w:color w:val="auto"/>
                    </w:rPr>
                    <w:t>45</w:t>
                  </w:r>
                </w:p>
              </w:tc>
              <w:tc>
                <w:tcPr>
                  <w:tcW w:w="3421" w:type="dxa"/>
                  <w:vMerge w:val="continue"/>
                  <w:tcBorders>
                    <w:left w:val="single" w:color="000000" w:sz="2" w:space="0"/>
                    <w:right w:val="single" w:color="000000" w:sz="2" w:space="0"/>
                  </w:tcBorders>
                  <w:vAlign w:val="center"/>
                </w:tcPr>
                <w:p w14:paraId="041B56F5">
                  <w:pPr>
                    <w:adjustRightInd w:val="0"/>
                    <w:spacing w:line="240" w:lineRule="atLeast"/>
                    <w:jc w:val="center"/>
                    <w:rPr>
                      <w:color w:val="auto"/>
                    </w:rPr>
                  </w:pPr>
                </w:p>
              </w:tc>
            </w:tr>
            <w:tr w14:paraId="5446F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2" w:type="dxa"/>
                  <w:tcBorders>
                    <w:top w:val="single" w:color="000000" w:sz="2" w:space="0"/>
                    <w:left w:val="single" w:color="000000" w:sz="2" w:space="0"/>
                    <w:bottom w:val="single" w:color="000000" w:sz="2" w:space="0"/>
                    <w:right w:val="single" w:color="000000" w:sz="2" w:space="0"/>
                  </w:tcBorders>
                  <w:vAlign w:val="center"/>
                </w:tcPr>
                <w:p w14:paraId="0DA70145">
                  <w:pPr>
                    <w:adjustRightInd w:val="0"/>
                    <w:spacing w:line="240" w:lineRule="atLeast"/>
                    <w:jc w:val="center"/>
                    <w:rPr>
                      <w:color w:val="auto"/>
                    </w:rPr>
                  </w:pPr>
                  <w:r>
                    <w:rPr>
                      <w:rFonts w:hint="eastAsia"/>
                      <w:color w:val="auto"/>
                    </w:rPr>
                    <w:t>TP</w:t>
                  </w:r>
                </w:p>
              </w:tc>
              <w:tc>
                <w:tcPr>
                  <w:tcW w:w="3054" w:type="dxa"/>
                  <w:tcBorders>
                    <w:top w:val="single" w:color="000000" w:sz="2" w:space="0"/>
                    <w:left w:val="single" w:color="000000" w:sz="2" w:space="0"/>
                    <w:bottom w:val="single" w:color="000000" w:sz="2" w:space="0"/>
                    <w:right w:val="single" w:color="000000" w:sz="2" w:space="0"/>
                  </w:tcBorders>
                  <w:vAlign w:val="center"/>
                </w:tcPr>
                <w:p w14:paraId="41A42B90">
                  <w:pPr>
                    <w:adjustRightInd w:val="0"/>
                    <w:spacing w:line="240" w:lineRule="atLeast"/>
                    <w:jc w:val="center"/>
                    <w:rPr>
                      <w:color w:val="auto"/>
                    </w:rPr>
                  </w:pPr>
                  <w:r>
                    <w:rPr>
                      <w:color w:val="auto"/>
                    </w:rPr>
                    <w:t>8</w:t>
                  </w:r>
                </w:p>
              </w:tc>
              <w:tc>
                <w:tcPr>
                  <w:tcW w:w="3421" w:type="dxa"/>
                  <w:vMerge w:val="continue"/>
                  <w:tcBorders>
                    <w:left w:val="single" w:color="000000" w:sz="2" w:space="0"/>
                    <w:right w:val="single" w:color="000000" w:sz="2" w:space="0"/>
                  </w:tcBorders>
                  <w:vAlign w:val="center"/>
                </w:tcPr>
                <w:p w14:paraId="0C7E584B">
                  <w:pPr>
                    <w:spacing w:line="240" w:lineRule="atLeast"/>
                    <w:jc w:val="center"/>
                    <w:rPr>
                      <w:color w:val="auto"/>
                    </w:rPr>
                  </w:pPr>
                </w:p>
              </w:tc>
            </w:tr>
            <w:tr w14:paraId="2A87B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2" w:type="dxa"/>
                  <w:tcBorders>
                    <w:top w:val="single" w:color="000000" w:sz="2" w:space="0"/>
                    <w:left w:val="single" w:color="000000" w:sz="2" w:space="0"/>
                    <w:bottom w:val="single" w:color="000000" w:sz="2" w:space="0"/>
                    <w:right w:val="single" w:color="000000" w:sz="2" w:space="0"/>
                  </w:tcBorders>
                  <w:vAlign w:val="center"/>
                </w:tcPr>
                <w:p w14:paraId="7E4F5912">
                  <w:pPr>
                    <w:adjustRightInd w:val="0"/>
                    <w:spacing w:line="240" w:lineRule="atLeast"/>
                    <w:jc w:val="center"/>
                    <w:rPr>
                      <w:color w:val="auto"/>
                    </w:rPr>
                  </w:pPr>
                  <w:r>
                    <w:rPr>
                      <w:rFonts w:hint="eastAsia"/>
                      <w:color w:val="auto"/>
                    </w:rPr>
                    <w:t>TN</w:t>
                  </w:r>
                </w:p>
              </w:tc>
              <w:tc>
                <w:tcPr>
                  <w:tcW w:w="3054" w:type="dxa"/>
                  <w:tcBorders>
                    <w:top w:val="single" w:color="000000" w:sz="2" w:space="0"/>
                    <w:left w:val="single" w:color="000000" w:sz="2" w:space="0"/>
                    <w:bottom w:val="single" w:color="000000" w:sz="2" w:space="0"/>
                    <w:right w:val="single" w:color="000000" w:sz="2" w:space="0"/>
                  </w:tcBorders>
                  <w:vAlign w:val="center"/>
                </w:tcPr>
                <w:p w14:paraId="7872175D">
                  <w:pPr>
                    <w:adjustRightInd w:val="0"/>
                    <w:spacing w:line="240" w:lineRule="atLeast"/>
                    <w:jc w:val="center"/>
                    <w:rPr>
                      <w:color w:val="auto"/>
                    </w:rPr>
                  </w:pPr>
                  <w:r>
                    <w:rPr>
                      <w:color w:val="auto"/>
                    </w:rPr>
                    <w:t>70</w:t>
                  </w:r>
                </w:p>
              </w:tc>
              <w:tc>
                <w:tcPr>
                  <w:tcW w:w="3421" w:type="dxa"/>
                  <w:vMerge w:val="continue"/>
                  <w:tcBorders>
                    <w:left w:val="single" w:color="000000" w:sz="2" w:space="0"/>
                    <w:right w:val="single" w:color="000000" w:sz="2" w:space="0"/>
                  </w:tcBorders>
                  <w:vAlign w:val="center"/>
                </w:tcPr>
                <w:p w14:paraId="62BFFA33">
                  <w:pPr>
                    <w:spacing w:line="240" w:lineRule="atLeast"/>
                    <w:jc w:val="center"/>
                    <w:rPr>
                      <w:color w:val="auto"/>
                    </w:rPr>
                  </w:pPr>
                </w:p>
              </w:tc>
            </w:tr>
            <w:tr w14:paraId="099F5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142" w:type="dxa"/>
                  <w:tcBorders>
                    <w:top w:val="single" w:color="000000" w:sz="2" w:space="0"/>
                    <w:left w:val="single" w:color="000000" w:sz="2" w:space="0"/>
                    <w:bottom w:val="single" w:color="000000" w:sz="2" w:space="0"/>
                    <w:right w:val="single" w:color="000000" w:sz="2" w:space="0"/>
                  </w:tcBorders>
                  <w:vAlign w:val="center"/>
                </w:tcPr>
                <w:p w14:paraId="130999A8">
                  <w:pPr>
                    <w:adjustRightInd w:val="0"/>
                    <w:spacing w:line="240" w:lineRule="atLeast"/>
                    <w:jc w:val="center"/>
                    <w:rPr>
                      <w:color w:val="auto"/>
                    </w:rPr>
                  </w:pPr>
                  <w:r>
                    <w:rPr>
                      <w:rFonts w:hint="eastAsia"/>
                      <w:color w:val="auto"/>
                    </w:rPr>
                    <w:t>动植物油</w:t>
                  </w:r>
                </w:p>
              </w:tc>
              <w:tc>
                <w:tcPr>
                  <w:tcW w:w="3054" w:type="dxa"/>
                  <w:tcBorders>
                    <w:top w:val="single" w:color="000000" w:sz="2" w:space="0"/>
                    <w:left w:val="single" w:color="000000" w:sz="2" w:space="0"/>
                    <w:bottom w:val="single" w:color="000000" w:sz="2" w:space="0"/>
                    <w:right w:val="single" w:color="000000" w:sz="2" w:space="0"/>
                  </w:tcBorders>
                  <w:vAlign w:val="center"/>
                </w:tcPr>
                <w:p w14:paraId="650B7773">
                  <w:pPr>
                    <w:adjustRightInd w:val="0"/>
                    <w:spacing w:line="240" w:lineRule="atLeast"/>
                    <w:jc w:val="center"/>
                    <w:rPr>
                      <w:color w:val="auto"/>
                    </w:rPr>
                  </w:pPr>
                  <w:r>
                    <w:rPr>
                      <w:rFonts w:hint="eastAsia"/>
                      <w:color w:val="auto"/>
                    </w:rPr>
                    <w:t>100</w:t>
                  </w:r>
                </w:p>
              </w:tc>
              <w:tc>
                <w:tcPr>
                  <w:tcW w:w="3421" w:type="dxa"/>
                  <w:vMerge w:val="continue"/>
                  <w:tcBorders>
                    <w:left w:val="single" w:color="000000" w:sz="2" w:space="0"/>
                    <w:bottom w:val="single" w:color="000000" w:sz="2" w:space="0"/>
                    <w:right w:val="single" w:color="000000" w:sz="2" w:space="0"/>
                  </w:tcBorders>
                  <w:vAlign w:val="center"/>
                </w:tcPr>
                <w:p w14:paraId="0AABF580">
                  <w:pPr>
                    <w:spacing w:line="240" w:lineRule="atLeast"/>
                    <w:jc w:val="center"/>
                    <w:rPr>
                      <w:color w:val="auto"/>
                    </w:rPr>
                  </w:pPr>
                </w:p>
              </w:tc>
            </w:tr>
          </w:tbl>
          <w:p w14:paraId="2660BC86">
            <w:pPr>
              <w:pStyle w:val="40"/>
              <w:snapToGrid/>
              <w:spacing w:line="360" w:lineRule="auto"/>
              <w:ind w:firstLine="360"/>
              <w:jc w:val="left"/>
              <w:rPr>
                <w:color w:val="auto"/>
                <w:sz w:val="18"/>
                <w:szCs w:val="18"/>
              </w:rPr>
            </w:pPr>
            <w:r>
              <w:rPr>
                <w:rFonts w:hint="eastAsia"/>
                <w:color w:val="auto"/>
                <w:sz w:val="18"/>
                <w:szCs w:val="18"/>
              </w:rPr>
              <w:t>注；pH无量纲</w:t>
            </w:r>
          </w:p>
          <w:p w14:paraId="7DCB7E6E">
            <w:pPr>
              <w:pStyle w:val="40"/>
              <w:snapToGrid/>
              <w:spacing w:line="360" w:lineRule="auto"/>
              <w:ind w:firstLine="0" w:firstLineChars="0"/>
              <w:jc w:val="center"/>
              <w:rPr>
                <w:b/>
                <w:bCs/>
                <w:color w:val="auto"/>
                <w:sz w:val="24"/>
                <w:szCs w:val="20"/>
              </w:rPr>
            </w:pPr>
            <w:r>
              <w:rPr>
                <w:rFonts w:hint="eastAsia"/>
                <w:b/>
                <w:bCs/>
                <w:color w:val="auto"/>
                <w:sz w:val="24"/>
                <w:szCs w:val="20"/>
              </w:rPr>
              <w:t>表3-1</w:t>
            </w:r>
            <w:r>
              <w:rPr>
                <w:rFonts w:hint="eastAsia"/>
                <w:b/>
                <w:bCs/>
                <w:color w:val="auto"/>
                <w:sz w:val="24"/>
                <w:szCs w:val="20"/>
                <w:lang w:val="en-US" w:eastAsia="zh-CN"/>
              </w:rPr>
              <w:t>2</w:t>
            </w:r>
            <w:r>
              <w:rPr>
                <w:rFonts w:hint="eastAsia"/>
                <w:b/>
                <w:bCs/>
                <w:color w:val="auto"/>
                <w:sz w:val="24"/>
                <w:szCs w:val="20"/>
              </w:rPr>
              <w:t xml:space="preserve">  </w:t>
            </w:r>
            <w:r>
              <w:rPr>
                <w:rFonts w:hint="eastAsia"/>
                <w:b/>
                <w:bCs/>
                <w:color w:val="auto"/>
                <w:sz w:val="24"/>
                <w:szCs w:val="20"/>
                <w:lang w:eastAsia="zh-CN"/>
              </w:rPr>
              <w:t>常州市金坛区溪城污水处理有限公司直溪污水处理厂</w:t>
            </w:r>
            <w:r>
              <w:rPr>
                <w:rFonts w:hint="eastAsia"/>
                <w:b/>
                <w:bCs/>
                <w:color w:val="auto"/>
                <w:sz w:val="24"/>
                <w:szCs w:val="20"/>
              </w:rPr>
              <w:t>排放标准</w:t>
            </w:r>
          </w:p>
          <w:tbl>
            <w:tblPr>
              <w:tblStyle w:val="22"/>
              <w:tblW w:w="8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5"/>
              <w:gridCol w:w="2494"/>
              <w:gridCol w:w="4348"/>
            </w:tblGrid>
            <w:tr w14:paraId="634FB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vAlign w:val="center"/>
                </w:tcPr>
                <w:p w14:paraId="015D2E59">
                  <w:pPr>
                    <w:spacing w:line="240" w:lineRule="atLeast"/>
                    <w:jc w:val="center"/>
                    <w:rPr>
                      <w:b/>
                      <w:color w:val="auto"/>
                    </w:rPr>
                  </w:pPr>
                  <w:r>
                    <w:rPr>
                      <w:b/>
                      <w:color w:val="auto"/>
                    </w:rPr>
                    <w:t>污染物名称</w:t>
                  </w:r>
                </w:p>
              </w:tc>
              <w:tc>
                <w:tcPr>
                  <w:tcW w:w="2494" w:type="dxa"/>
                  <w:tcBorders>
                    <w:top w:val="single" w:color="000000" w:sz="2" w:space="0"/>
                    <w:left w:val="single" w:color="000000" w:sz="2" w:space="0"/>
                    <w:bottom w:val="single" w:color="000000" w:sz="2" w:space="0"/>
                    <w:right w:val="single" w:color="000000" w:sz="2" w:space="0"/>
                  </w:tcBorders>
                  <w:vAlign w:val="center"/>
                </w:tcPr>
                <w:p w14:paraId="629FAB9A">
                  <w:pPr>
                    <w:spacing w:line="240" w:lineRule="atLeast"/>
                    <w:jc w:val="center"/>
                    <w:rPr>
                      <w:b/>
                      <w:color w:val="auto"/>
                    </w:rPr>
                  </w:pPr>
                  <w:r>
                    <w:rPr>
                      <w:b/>
                      <w:color w:val="auto"/>
                    </w:rPr>
                    <w:t>最高允许排放浓度限值（mg/L）</w:t>
                  </w:r>
                </w:p>
              </w:tc>
              <w:tc>
                <w:tcPr>
                  <w:tcW w:w="4348" w:type="dxa"/>
                  <w:tcBorders>
                    <w:top w:val="single" w:color="000000" w:sz="2" w:space="0"/>
                    <w:left w:val="single" w:color="000000" w:sz="2" w:space="0"/>
                    <w:bottom w:val="single" w:color="000000" w:sz="2" w:space="0"/>
                    <w:right w:val="single" w:color="000000" w:sz="2" w:space="0"/>
                  </w:tcBorders>
                  <w:vAlign w:val="center"/>
                </w:tcPr>
                <w:p w14:paraId="2A7AE90A">
                  <w:pPr>
                    <w:spacing w:line="240" w:lineRule="atLeast"/>
                    <w:jc w:val="center"/>
                    <w:rPr>
                      <w:b/>
                      <w:color w:val="auto"/>
                    </w:rPr>
                  </w:pPr>
                  <w:r>
                    <w:rPr>
                      <w:b/>
                      <w:color w:val="auto"/>
                    </w:rPr>
                    <w:t>标准来源</w:t>
                  </w:r>
                </w:p>
              </w:tc>
            </w:tr>
            <w:tr w14:paraId="0A4DB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vAlign w:val="center"/>
                </w:tcPr>
                <w:p w14:paraId="2CD7871D">
                  <w:pPr>
                    <w:adjustRightInd w:val="0"/>
                    <w:spacing w:line="240" w:lineRule="atLeast"/>
                    <w:jc w:val="center"/>
                    <w:rPr>
                      <w:color w:val="auto"/>
                    </w:rPr>
                  </w:pPr>
                  <w:r>
                    <w:rPr>
                      <w:color w:val="auto"/>
                    </w:rPr>
                    <w:t>pH</w:t>
                  </w:r>
                </w:p>
              </w:tc>
              <w:tc>
                <w:tcPr>
                  <w:tcW w:w="2494" w:type="dxa"/>
                  <w:tcBorders>
                    <w:top w:val="single" w:color="000000" w:sz="2" w:space="0"/>
                    <w:left w:val="single" w:color="000000" w:sz="2" w:space="0"/>
                    <w:bottom w:val="single" w:color="000000" w:sz="2" w:space="0"/>
                    <w:right w:val="single" w:color="000000" w:sz="2" w:space="0"/>
                  </w:tcBorders>
                  <w:vAlign w:val="center"/>
                </w:tcPr>
                <w:p w14:paraId="53143562">
                  <w:pPr>
                    <w:adjustRightInd w:val="0"/>
                    <w:spacing w:line="240" w:lineRule="atLeast"/>
                    <w:jc w:val="center"/>
                    <w:rPr>
                      <w:color w:val="auto"/>
                    </w:rPr>
                  </w:pPr>
                  <w:r>
                    <w:rPr>
                      <w:color w:val="auto"/>
                    </w:rPr>
                    <w:t>6～9</w:t>
                  </w:r>
                </w:p>
              </w:tc>
              <w:tc>
                <w:tcPr>
                  <w:tcW w:w="4348" w:type="dxa"/>
                  <w:vMerge w:val="restart"/>
                  <w:tcBorders>
                    <w:top w:val="single" w:color="000000" w:sz="2" w:space="0"/>
                    <w:left w:val="single" w:color="000000" w:sz="2" w:space="0"/>
                    <w:right w:val="single" w:color="000000" w:sz="2" w:space="0"/>
                  </w:tcBorders>
                  <w:vAlign w:val="center"/>
                </w:tcPr>
                <w:p w14:paraId="3DAF66D1">
                  <w:pPr>
                    <w:spacing w:line="240" w:lineRule="atLeast"/>
                    <w:jc w:val="center"/>
                    <w:rPr>
                      <w:b/>
                      <w:color w:val="auto"/>
                    </w:rPr>
                  </w:pPr>
                  <w:r>
                    <w:rPr>
                      <w:color w:val="auto"/>
                    </w:rPr>
                    <w:t>《城镇污水处理厂污染物排放标准》（GB18918-2002）表1中一级标准A标准</w:t>
                  </w:r>
                </w:p>
              </w:tc>
            </w:tr>
            <w:tr w14:paraId="0DECD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vAlign w:val="center"/>
                </w:tcPr>
                <w:p w14:paraId="730619C0">
                  <w:pPr>
                    <w:adjustRightInd w:val="0"/>
                    <w:spacing w:line="240" w:lineRule="atLeast"/>
                    <w:jc w:val="center"/>
                    <w:rPr>
                      <w:color w:val="auto"/>
                    </w:rPr>
                  </w:pPr>
                  <w:r>
                    <w:rPr>
                      <w:color w:val="auto"/>
                    </w:rPr>
                    <w:t>SS</w:t>
                  </w:r>
                </w:p>
              </w:tc>
              <w:tc>
                <w:tcPr>
                  <w:tcW w:w="2494" w:type="dxa"/>
                  <w:tcBorders>
                    <w:top w:val="single" w:color="000000" w:sz="2" w:space="0"/>
                    <w:left w:val="single" w:color="000000" w:sz="2" w:space="0"/>
                    <w:bottom w:val="single" w:color="000000" w:sz="2" w:space="0"/>
                    <w:right w:val="single" w:color="000000" w:sz="2" w:space="0"/>
                  </w:tcBorders>
                  <w:vAlign w:val="center"/>
                </w:tcPr>
                <w:p w14:paraId="545FD6C1">
                  <w:pPr>
                    <w:adjustRightInd w:val="0"/>
                    <w:spacing w:line="240" w:lineRule="atLeast"/>
                    <w:jc w:val="center"/>
                    <w:rPr>
                      <w:color w:val="auto"/>
                    </w:rPr>
                  </w:pPr>
                  <w:r>
                    <w:rPr>
                      <w:rFonts w:hint="eastAsia"/>
                      <w:color w:val="auto"/>
                    </w:rPr>
                    <w:t>10</w:t>
                  </w:r>
                </w:p>
              </w:tc>
              <w:tc>
                <w:tcPr>
                  <w:tcW w:w="4348" w:type="dxa"/>
                  <w:vMerge w:val="continue"/>
                  <w:tcBorders>
                    <w:left w:val="single" w:color="000000" w:sz="2" w:space="0"/>
                    <w:right w:val="single" w:color="000000" w:sz="2" w:space="0"/>
                  </w:tcBorders>
                  <w:vAlign w:val="center"/>
                </w:tcPr>
                <w:p w14:paraId="4720C3B8">
                  <w:pPr>
                    <w:spacing w:line="240" w:lineRule="atLeast"/>
                    <w:jc w:val="center"/>
                    <w:rPr>
                      <w:b/>
                      <w:color w:val="auto"/>
                    </w:rPr>
                  </w:pPr>
                </w:p>
              </w:tc>
            </w:tr>
            <w:tr w14:paraId="701E4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vAlign w:val="center"/>
                </w:tcPr>
                <w:p w14:paraId="6E7A3621">
                  <w:pPr>
                    <w:adjustRightInd w:val="0"/>
                    <w:spacing w:line="240" w:lineRule="atLeast"/>
                    <w:jc w:val="center"/>
                    <w:rPr>
                      <w:color w:val="auto"/>
                    </w:rPr>
                  </w:pPr>
                  <w:r>
                    <w:rPr>
                      <w:rFonts w:hint="eastAsia"/>
                      <w:color w:val="auto"/>
                    </w:rPr>
                    <w:t>动植物油</w:t>
                  </w:r>
                </w:p>
              </w:tc>
              <w:tc>
                <w:tcPr>
                  <w:tcW w:w="2494" w:type="dxa"/>
                  <w:tcBorders>
                    <w:top w:val="single" w:color="000000" w:sz="2" w:space="0"/>
                    <w:left w:val="single" w:color="000000" w:sz="2" w:space="0"/>
                    <w:bottom w:val="single" w:color="000000" w:sz="2" w:space="0"/>
                    <w:right w:val="single" w:color="000000" w:sz="2" w:space="0"/>
                  </w:tcBorders>
                  <w:vAlign w:val="center"/>
                </w:tcPr>
                <w:p w14:paraId="1D18E52C">
                  <w:pPr>
                    <w:adjustRightInd w:val="0"/>
                    <w:spacing w:line="240" w:lineRule="atLeast"/>
                    <w:jc w:val="center"/>
                    <w:rPr>
                      <w:color w:val="auto"/>
                    </w:rPr>
                  </w:pPr>
                  <w:r>
                    <w:rPr>
                      <w:rFonts w:hint="eastAsia"/>
                      <w:color w:val="auto"/>
                    </w:rPr>
                    <w:t>1</w:t>
                  </w:r>
                </w:p>
              </w:tc>
              <w:tc>
                <w:tcPr>
                  <w:tcW w:w="4348" w:type="dxa"/>
                  <w:vMerge w:val="continue"/>
                  <w:tcBorders>
                    <w:left w:val="single" w:color="000000" w:sz="2" w:space="0"/>
                    <w:right w:val="single" w:color="000000" w:sz="2" w:space="0"/>
                  </w:tcBorders>
                  <w:vAlign w:val="center"/>
                </w:tcPr>
                <w:p w14:paraId="40967B2B">
                  <w:pPr>
                    <w:spacing w:line="240" w:lineRule="atLeast"/>
                    <w:jc w:val="center"/>
                    <w:rPr>
                      <w:b/>
                      <w:color w:val="auto"/>
                    </w:rPr>
                  </w:pPr>
                </w:p>
              </w:tc>
            </w:tr>
            <w:tr w14:paraId="267C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vAlign w:val="center"/>
                </w:tcPr>
                <w:p w14:paraId="7E6CE263">
                  <w:pPr>
                    <w:adjustRightInd w:val="0"/>
                    <w:spacing w:line="240" w:lineRule="atLeast"/>
                    <w:jc w:val="center"/>
                    <w:rPr>
                      <w:color w:val="auto"/>
                    </w:rPr>
                  </w:pPr>
                  <w:r>
                    <w:rPr>
                      <w:rFonts w:hint="eastAsia"/>
                      <w:color w:val="auto"/>
                    </w:rPr>
                    <w:t>石油类</w:t>
                  </w:r>
                </w:p>
              </w:tc>
              <w:tc>
                <w:tcPr>
                  <w:tcW w:w="2494" w:type="dxa"/>
                  <w:tcBorders>
                    <w:top w:val="single" w:color="000000" w:sz="2" w:space="0"/>
                    <w:left w:val="single" w:color="000000" w:sz="2" w:space="0"/>
                    <w:bottom w:val="single" w:color="000000" w:sz="2" w:space="0"/>
                    <w:right w:val="single" w:color="000000" w:sz="2" w:space="0"/>
                  </w:tcBorders>
                  <w:vAlign w:val="center"/>
                </w:tcPr>
                <w:p w14:paraId="64943E6F">
                  <w:pPr>
                    <w:adjustRightInd w:val="0"/>
                    <w:spacing w:line="240" w:lineRule="atLeast"/>
                    <w:jc w:val="center"/>
                    <w:rPr>
                      <w:color w:val="auto"/>
                    </w:rPr>
                  </w:pPr>
                  <w:r>
                    <w:rPr>
                      <w:rFonts w:hint="eastAsia"/>
                      <w:color w:val="auto"/>
                    </w:rPr>
                    <w:t>1</w:t>
                  </w:r>
                </w:p>
              </w:tc>
              <w:tc>
                <w:tcPr>
                  <w:tcW w:w="4348" w:type="dxa"/>
                  <w:vMerge w:val="continue"/>
                  <w:tcBorders>
                    <w:left w:val="single" w:color="000000" w:sz="2" w:space="0"/>
                    <w:right w:val="single" w:color="000000" w:sz="2" w:space="0"/>
                  </w:tcBorders>
                  <w:vAlign w:val="center"/>
                </w:tcPr>
                <w:p w14:paraId="030F854F">
                  <w:pPr>
                    <w:spacing w:line="240" w:lineRule="atLeast"/>
                    <w:jc w:val="center"/>
                    <w:rPr>
                      <w:b/>
                      <w:color w:val="auto"/>
                    </w:rPr>
                  </w:pPr>
                </w:p>
              </w:tc>
            </w:tr>
            <w:tr w14:paraId="43486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vAlign w:val="center"/>
                </w:tcPr>
                <w:p w14:paraId="172D41DD">
                  <w:pPr>
                    <w:adjustRightInd w:val="0"/>
                    <w:spacing w:line="240" w:lineRule="atLeast"/>
                    <w:jc w:val="center"/>
                    <w:rPr>
                      <w:color w:val="auto"/>
                    </w:rPr>
                  </w:pPr>
                  <w:r>
                    <w:rPr>
                      <w:color w:val="auto"/>
                    </w:rPr>
                    <w:t>COD</w:t>
                  </w:r>
                </w:p>
              </w:tc>
              <w:tc>
                <w:tcPr>
                  <w:tcW w:w="2494" w:type="dxa"/>
                  <w:tcBorders>
                    <w:top w:val="single" w:color="000000" w:sz="2" w:space="0"/>
                    <w:left w:val="single" w:color="000000" w:sz="2" w:space="0"/>
                    <w:bottom w:val="single" w:color="000000" w:sz="2" w:space="0"/>
                    <w:right w:val="single" w:color="000000" w:sz="2" w:space="0"/>
                  </w:tcBorders>
                  <w:vAlign w:val="center"/>
                </w:tcPr>
                <w:p w14:paraId="141DE4D8">
                  <w:pPr>
                    <w:adjustRightInd w:val="0"/>
                    <w:spacing w:line="240" w:lineRule="atLeast"/>
                    <w:jc w:val="center"/>
                    <w:rPr>
                      <w:color w:val="auto"/>
                    </w:rPr>
                  </w:pPr>
                  <w:r>
                    <w:rPr>
                      <w:rFonts w:hint="eastAsia"/>
                      <w:color w:val="auto"/>
                    </w:rPr>
                    <w:t>50</w:t>
                  </w:r>
                </w:p>
              </w:tc>
              <w:tc>
                <w:tcPr>
                  <w:tcW w:w="4348" w:type="dxa"/>
                  <w:vMerge w:val="restart"/>
                  <w:tcBorders>
                    <w:top w:val="single" w:color="000000" w:sz="2" w:space="0"/>
                    <w:left w:val="single" w:color="000000" w:sz="2" w:space="0"/>
                    <w:bottom w:val="single" w:color="000000" w:sz="2" w:space="0"/>
                    <w:right w:val="single" w:color="000000" w:sz="2" w:space="0"/>
                  </w:tcBorders>
                  <w:vAlign w:val="center"/>
                </w:tcPr>
                <w:p w14:paraId="65866A7D">
                  <w:pPr>
                    <w:adjustRightInd w:val="0"/>
                    <w:spacing w:line="240" w:lineRule="atLeast"/>
                    <w:jc w:val="center"/>
                    <w:rPr>
                      <w:color w:val="auto"/>
                    </w:rPr>
                  </w:pPr>
                  <w:r>
                    <w:rPr>
                      <w:color w:val="auto"/>
                    </w:rPr>
                    <w:t>《太湖地区城镇污水处理厂及重点工业行业主要水污染物排放限值》（DB32/1072-2018）表2标准</w:t>
                  </w:r>
                </w:p>
              </w:tc>
            </w:tr>
            <w:tr w14:paraId="6E4E0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vAlign w:val="center"/>
                </w:tcPr>
                <w:p w14:paraId="197F967D">
                  <w:pPr>
                    <w:adjustRightInd w:val="0"/>
                    <w:spacing w:line="240" w:lineRule="atLeast"/>
                    <w:jc w:val="center"/>
                    <w:rPr>
                      <w:color w:val="auto"/>
                    </w:rPr>
                  </w:pPr>
                  <w:r>
                    <w:rPr>
                      <w:rFonts w:hint="eastAsia"/>
                      <w:bCs/>
                      <w:color w:val="auto"/>
                    </w:rPr>
                    <w:t>NH</w:t>
                  </w:r>
                  <w:r>
                    <w:rPr>
                      <w:rFonts w:hint="eastAsia"/>
                      <w:bCs/>
                      <w:color w:val="auto"/>
                      <w:vertAlign w:val="subscript"/>
                    </w:rPr>
                    <w:t>3</w:t>
                  </w:r>
                  <w:r>
                    <w:rPr>
                      <w:rFonts w:hint="eastAsia"/>
                      <w:bCs/>
                      <w:color w:val="auto"/>
                    </w:rPr>
                    <w:t>-N</w:t>
                  </w:r>
                </w:p>
              </w:tc>
              <w:tc>
                <w:tcPr>
                  <w:tcW w:w="2494" w:type="dxa"/>
                  <w:tcBorders>
                    <w:top w:val="single" w:color="000000" w:sz="2" w:space="0"/>
                    <w:left w:val="single" w:color="000000" w:sz="2" w:space="0"/>
                    <w:bottom w:val="single" w:color="000000" w:sz="2" w:space="0"/>
                    <w:right w:val="single" w:color="000000" w:sz="2" w:space="0"/>
                  </w:tcBorders>
                  <w:vAlign w:val="center"/>
                </w:tcPr>
                <w:p w14:paraId="63AC2515">
                  <w:pPr>
                    <w:adjustRightInd w:val="0"/>
                    <w:spacing w:line="240" w:lineRule="atLeast"/>
                    <w:jc w:val="center"/>
                    <w:rPr>
                      <w:color w:val="auto"/>
                    </w:rPr>
                  </w:pPr>
                  <w:r>
                    <w:rPr>
                      <w:rFonts w:hint="eastAsia"/>
                      <w:color w:val="auto"/>
                    </w:rPr>
                    <w:t>4（6）</w:t>
                  </w:r>
                </w:p>
              </w:tc>
              <w:tc>
                <w:tcPr>
                  <w:tcW w:w="4348" w:type="dxa"/>
                  <w:vMerge w:val="continue"/>
                  <w:tcBorders>
                    <w:top w:val="single" w:color="000000" w:sz="2" w:space="0"/>
                    <w:left w:val="single" w:color="000000" w:sz="2" w:space="0"/>
                    <w:bottom w:val="single" w:color="000000" w:sz="2" w:space="0"/>
                    <w:right w:val="single" w:color="000000" w:sz="2" w:space="0"/>
                  </w:tcBorders>
                  <w:vAlign w:val="center"/>
                </w:tcPr>
                <w:p w14:paraId="59CDF473">
                  <w:pPr>
                    <w:spacing w:line="240" w:lineRule="atLeast"/>
                    <w:jc w:val="center"/>
                    <w:rPr>
                      <w:color w:val="auto"/>
                    </w:rPr>
                  </w:pPr>
                </w:p>
              </w:tc>
            </w:tr>
            <w:tr w14:paraId="3E44B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vAlign w:val="center"/>
                </w:tcPr>
                <w:p w14:paraId="1692D1A8">
                  <w:pPr>
                    <w:adjustRightInd w:val="0"/>
                    <w:spacing w:line="240" w:lineRule="atLeast"/>
                    <w:jc w:val="center"/>
                    <w:rPr>
                      <w:color w:val="auto"/>
                    </w:rPr>
                  </w:pPr>
                  <w:r>
                    <w:rPr>
                      <w:rFonts w:hint="eastAsia"/>
                      <w:color w:val="auto"/>
                    </w:rPr>
                    <w:t>TP</w:t>
                  </w:r>
                </w:p>
              </w:tc>
              <w:tc>
                <w:tcPr>
                  <w:tcW w:w="2494" w:type="dxa"/>
                  <w:tcBorders>
                    <w:top w:val="single" w:color="000000" w:sz="2" w:space="0"/>
                    <w:left w:val="single" w:color="000000" w:sz="2" w:space="0"/>
                    <w:bottom w:val="single" w:color="000000" w:sz="2" w:space="0"/>
                    <w:right w:val="single" w:color="000000" w:sz="2" w:space="0"/>
                  </w:tcBorders>
                  <w:vAlign w:val="center"/>
                </w:tcPr>
                <w:p w14:paraId="75BC681F">
                  <w:pPr>
                    <w:adjustRightInd w:val="0"/>
                    <w:spacing w:line="240" w:lineRule="atLeast"/>
                    <w:jc w:val="center"/>
                    <w:rPr>
                      <w:color w:val="auto"/>
                    </w:rPr>
                  </w:pPr>
                  <w:r>
                    <w:rPr>
                      <w:rFonts w:hint="eastAsia"/>
                      <w:color w:val="auto"/>
                    </w:rPr>
                    <w:t>0.5</w:t>
                  </w:r>
                </w:p>
              </w:tc>
              <w:tc>
                <w:tcPr>
                  <w:tcW w:w="4348" w:type="dxa"/>
                  <w:vMerge w:val="continue"/>
                  <w:tcBorders>
                    <w:top w:val="single" w:color="000000" w:sz="2" w:space="0"/>
                    <w:left w:val="single" w:color="000000" w:sz="2" w:space="0"/>
                    <w:bottom w:val="single" w:color="000000" w:sz="2" w:space="0"/>
                    <w:right w:val="single" w:color="000000" w:sz="2" w:space="0"/>
                  </w:tcBorders>
                  <w:vAlign w:val="center"/>
                </w:tcPr>
                <w:p w14:paraId="0B45AF55">
                  <w:pPr>
                    <w:spacing w:line="240" w:lineRule="atLeast"/>
                    <w:jc w:val="center"/>
                    <w:rPr>
                      <w:color w:val="auto"/>
                    </w:rPr>
                  </w:pPr>
                </w:p>
              </w:tc>
            </w:tr>
            <w:tr w14:paraId="701DA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vAlign w:val="center"/>
                </w:tcPr>
                <w:p w14:paraId="1A7A63C0">
                  <w:pPr>
                    <w:adjustRightInd w:val="0"/>
                    <w:spacing w:line="240" w:lineRule="atLeast"/>
                    <w:jc w:val="center"/>
                    <w:rPr>
                      <w:color w:val="auto"/>
                    </w:rPr>
                  </w:pPr>
                  <w:r>
                    <w:rPr>
                      <w:rFonts w:hint="eastAsia"/>
                      <w:color w:val="auto"/>
                    </w:rPr>
                    <w:t>TN</w:t>
                  </w:r>
                </w:p>
              </w:tc>
              <w:tc>
                <w:tcPr>
                  <w:tcW w:w="2494" w:type="dxa"/>
                  <w:tcBorders>
                    <w:top w:val="single" w:color="000000" w:sz="2" w:space="0"/>
                    <w:left w:val="single" w:color="000000" w:sz="2" w:space="0"/>
                    <w:bottom w:val="single" w:color="000000" w:sz="2" w:space="0"/>
                    <w:right w:val="single" w:color="000000" w:sz="2" w:space="0"/>
                  </w:tcBorders>
                  <w:vAlign w:val="center"/>
                </w:tcPr>
                <w:p w14:paraId="31689886">
                  <w:pPr>
                    <w:spacing w:line="240" w:lineRule="atLeast"/>
                    <w:jc w:val="center"/>
                    <w:rPr>
                      <w:color w:val="auto"/>
                    </w:rPr>
                  </w:pPr>
                  <w:r>
                    <w:rPr>
                      <w:rFonts w:hint="eastAsia"/>
                      <w:color w:val="auto"/>
                    </w:rPr>
                    <w:t>12（15）</w:t>
                  </w:r>
                </w:p>
              </w:tc>
              <w:tc>
                <w:tcPr>
                  <w:tcW w:w="4348" w:type="dxa"/>
                  <w:vMerge w:val="continue"/>
                  <w:tcBorders>
                    <w:top w:val="single" w:color="000000" w:sz="2" w:space="0"/>
                    <w:left w:val="single" w:color="000000" w:sz="2" w:space="0"/>
                    <w:bottom w:val="single" w:color="000000" w:sz="2" w:space="0"/>
                    <w:right w:val="single" w:color="000000" w:sz="2" w:space="0"/>
                  </w:tcBorders>
                  <w:vAlign w:val="center"/>
                </w:tcPr>
                <w:p w14:paraId="45201A20">
                  <w:pPr>
                    <w:spacing w:line="240" w:lineRule="atLeast"/>
                    <w:jc w:val="center"/>
                    <w:rPr>
                      <w:color w:val="auto"/>
                    </w:rPr>
                  </w:pPr>
                </w:p>
              </w:tc>
            </w:tr>
            <w:tr w14:paraId="352BC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EDC651">
                  <w:pPr>
                    <w:adjustRightInd w:val="0"/>
                    <w:jc w:val="center"/>
                    <w:rPr>
                      <w:color w:val="auto"/>
                      <w:lang w:bidi="ar"/>
                    </w:rPr>
                  </w:pPr>
                  <w:r>
                    <w:rPr>
                      <w:color w:val="auto"/>
                      <w:lang w:bidi="ar"/>
                    </w:rPr>
                    <w:t>pH（无量纲）</w:t>
                  </w:r>
                </w:p>
              </w:tc>
              <w:tc>
                <w:tcPr>
                  <w:tcW w:w="249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D57AACF">
                  <w:pPr>
                    <w:adjustRightInd w:val="0"/>
                    <w:jc w:val="center"/>
                    <w:rPr>
                      <w:color w:val="auto"/>
                      <w:lang w:bidi="ar"/>
                    </w:rPr>
                  </w:pPr>
                  <w:r>
                    <w:rPr>
                      <w:color w:val="auto"/>
                      <w:lang w:bidi="ar"/>
                    </w:rPr>
                    <w:t>6～9</w:t>
                  </w:r>
                </w:p>
              </w:tc>
              <w:tc>
                <w:tcPr>
                  <w:tcW w:w="4348" w:type="dxa"/>
                  <w:vMerge w:val="restart"/>
                  <w:tcBorders>
                    <w:top w:val="single" w:color="000000" w:sz="2" w:space="0"/>
                    <w:left w:val="single" w:color="000000" w:sz="2" w:space="0"/>
                    <w:right w:val="single" w:color="000000" w:sz="2" w:space="0"/>
                  </w:tcBorders>
                  <w:vAlign w:val="center"/>
                </w:tcPr>
                <w:p w14:paraId="114EB3AB">
                  <w:pPr>
                    <w:spacing w:line="240" w:lineRule="atLeast"/>
                    <w:jc w:val="center"/>
                    <w:rPr>
                      <w:color w:val="auto"/>
                    </w:rPr>
                  </w:pPr>
                  <w:r>
                    <w:rPr>
                      <w:color w:val="auto"/>
                      <w:lang w:bidi="ar"/>
                    </w:rPr>
                    <w:t>《城镇污水处理厂污染物排放标准》（DB32/4440-2022）中表1</w:t>
                  </w:r>
                  <w:r>
                    <w:rPr>
                      <w:rFonts w:hint="eastAsia"/>
                      <w:color w:val="auto"/>
                      <w:lang w:bidi="ar"/>
                    </w:rPr>
                    <w:t>C</w:t>
                  </w:r>
                  <w:r>
                    <w:rPr>
                      <w:color w:val="auto"/>
                      <w:lang w:bidi="ar"/>
                    </w:rPr>
                    <w:t>类标准</w:t>
                  </w:r>
                </w:p>
              </w:tc>
            </w:tr>
            <w:tr w14:paraId="2C985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870F11">
                  <w:pPr>
                    <w:adjustRightInd w:val="0"/>
                    <w:jc w:val="center"/>
                    <w:rPr>
                      <w:color w:val="auto"/>
                      <w:lang w:bidi="ar"/>
                    </w:rPr>
                  </w:pPr>
                  <w:r>
                    <w:rPr>
                      <w:color w:val="auto"/>
                      <w:lang w:bidi="ar"/>
                    </w:rPr>
                    <w:t>COD</w:t>
                  </w:r>
                </w:p>
              </w:tc>
              <w:tc>
                <w:tcPr>
                  <w:tcW w:w="249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1ACFA3C">
                  <w:pPr>
                    <w:adjustRightInd w:val="0"/>
                    <w:jc w:val="center"/>
                    <w:rPr>
                      <w:color w:val="auto"/>
                      <w:lang w:bidi="ar"/>
                    </w:rPr>
                  </w:pPr>
                  <w:r>
                    <w:rPr>
                      <w:rFonts w:hint="eastAsia"/>
                      <w:color w:val="auto"/>
                      <w:lang w:bidi="ar"/>
                    </w:rPr>
                    <w:t>50</w:t>
                  </w:r>
                </w:p>
              </w:tc>
              <w:tc>
                <w:tcPr>
                  <w:tcW w:w="4348" w:type="dxa"/>
                  <w:vMerge w:val="continue"/>
                  <w:tcBorders>
                    <w:left w:val="single" w:color="000000" w:sz="2" w:space="0"/>
                    <w:right w:val="single" w:color="000000" w:sz="2" w:space="0"/>
                  </w:tcBorders>
                  <w:vAlign w:val="center"/>
                </w:tcPr>
                <w:p w14:paraId="5BCFA2FB">
                  <w:pPr>
                    <w:spacing w:line="240" w:lineRule="atLeast"/>
                    <w:jc w:val="center"/>
                    <w:rPr>
                      <w:color w:val="auto"/>
                    </w:rPr>
                  </w:pPr>
                </w:p>
              </w:tc>
            </w:tr>
            <w:tr w14:paraId="695AE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2C61DE8">
                  <w:pPr>
                    <w:adjustRightInd w:val="0"/>
                    <w:jc w:val="center"/>
                    <w:rPr>
                      <w:color w:val="auto"/>
                      <w:lang w:bidi="ar"/>
                    </w:rPr>
                  </w:pPr>
                  <w:r>
                    <w:rPr>
                      <w:color w:val="auto"/>
                      <w:lang w:bidi="ar"/>
                    </w:rPr>
                    <w:t>SS</w:t>
                  </w:r>
                </w:p>
              </w:tc>
              <w:tc>
                <w:tcPr>
                  <w:tcW w:w="249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984E78">
                  <w:pPr>
                    <w:adjustRightInd w:val="0"/>
                    <w:jc w:val="center"/>
                    <w:rPr>
                      <w:color w:val="auto"/>
                      <w:lang w:bidi="ar"/>
                    </w:rPr>
                  </w:pPr>
                  <w:r>
                    <w:rPr>
                      <w:color w:val="auto"/>
                      <w:lang w:bidi="ar"/>
                    </w:rPr>
                    <w:t>10</w:t>
                  </w:r>
                </w:p>
              </w:tc>
              <w:tc>
                <w:tcPr>
                  <w:tcW w:w="4348" w:type="dxa"/>
                  <w:vMerge w:val="continue"/>
                  <w:tcBorders>
                    <w:left w:val="single" w:color="000000" w:sz="2" w:space="0"/>
                    <w:right w:val="single" w:color="000000" w:sz="2" w:space="0"/>
                  </w:tcBorders>
                  <w:vAlign w:val="center"/>
                </w:tcPr>
                <w:p w14:paraId="7273CC42">
                  <w:pPr>
                    <w:spacing w:line="240" w:lineRule="atLeast"/>
                    <w:jc w:val="center"/>
                    <w:rPr>
                      <w:color w:val="auto"/>
                    </w:rPr>
                  </w:pPr>
                </w:p>
              </w:tc>
            </w:tr>
            <w:tr w14:paraId="76A82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3E6E0A">
                  <w:pPr>
                    <w:adjustRightInd w:val="0"/>
                    <w:jc w:val="center"/>
                    <w:rPr>
                      <w:color w:val="auto"/>
                      <w:lang w:bidi="ar"/>
                    </w:rPr>
                  </w:pPr>
                  <w:r>
                    <w:rPr>
                      <w:color w:val="auto"/>
                      <w:lang w:bidi="ar"/>
                    </w:rPr>
                    <w:t>NH</w:t>
                  </w:r>
                  <w:r>
                    <w:rPr>
                      <w:color w:val="auto"/>
                      <w:vertAlign w:val="subscript"/>
                      <w:lang w:bidi="ar"/>
                    </w:rPr>
                    <w:t>3</w:t>
                  </w:r>
                  <w:r>
                    <w:rPr>
                      <w:color w:val="auto"/>
                      <w:lang w:bidi="ar"/>
                    </w:rPr>
                    <w:t>-N</w:t>
                  </w:r>
                </w:p>
              </w:tc>
              <w:tc>
                <w:tcPr>
                  <w:tcW w:w="249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BFD68F">
                  <w:pPr>
                    <w:adjustRightInd w:val="0"/>
                    <w:jc w:val="center"/>
                    <w:rPr>
                      <w:color w:val="auto"/>
                      <w:lang w:bidi="ar"/>
                    </w:rPr>
                  </w:pPr>
                  <w:r>
                    <w:rPr>
                      <w:rFonts w:hint="eastAsia"/>
                      <w:color w:val="auto"/>
                      <w:lang w:bidi="ar"/>
                    </w:rPr>
                    <w:t>4</w:t>
                  </w:r>
                  <w:r>
                    <w:rPr>
                      <w:color w:val="auto"/>
                      <w:lang w:bidi="ar"/>
                    </w:rPr>
                    <w:t>(</w:t>
                  </w:r>
                  <w:r>
                    <w:rPr>
                      <w:rFonts w:hint="eastAsia"/>
                      <w:color w:val="auto"/>
                      <w:lang w:bidi="ar"/>
                    </w:rPr>
                    <w:t>6</w:t>
                  </w:r>
                  <w:r>
                    <w:rPr>
                      <w:color w:val="auto"/>
                      <w:lang w:bidi="ar"/>
                    </w:rPr>
                    <w:t>)*</w:t>
                  </w:r>
                </w:p>
              </w:tc>
              <w:tc>
                <w:tcPr>
                  <w:tcW w:w="4348" w:type="dxa"/>
                  <w:vMerge w:val="continue"/>
                  <w:tcBorders>
                    <w:left w:val="single" w:color="000000" w:sz="2" w:space="0"/>
                    <w:right w:val="single" w:color="000000" w:sz="2" w:space="0"/>
                  </w:tcBorders>
                  <w:vAlign w:val="center"/>
                </w:tcPr>
                <w:p w14:paraId="53FFE3DD">
                  <w:pPr>
                    <w:spacing w:line="240" w:lineRule="atLeast"/>
                    <w:jc w:val="center"/>
                    <w:rPr>
                      <w:color w:val="auto"/>
                    </w:rPr>
                  </w:pPr>
                </w:p>
              </w:tc>
            </w:tr>
            <w:tr w14:paraId="4B8D1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shd w:val="clear" w:color="auto" w:fill="auto"/>
                  <w:vAlign w:val="center"/>
                </w:tcPr>
                <w:p w14:paraId="62E45B27">
                  <w:pPr>
                    <w:adjustRightInd w:val="0"/>
                    <w:jc w:val="center"/>
                    <w:rPr>
                      <w:color w:val="auto"/>
                      <w:lang w:bidi="ar"/>
                    </w:rPr>
                  </w:pPr>
                  <w:r>
                    <w:rPr>
                      <w:color w:val="auto"/>
                      <w:lang w:bidi="ar"/>
                    </w:rPr>
                    <w:t>TP</w:t>
                  </w:r>
                </w:p>
              </w:tc>
              <w:tc>
                <w:tcPr>
                  <w:tcW w:w="2494" w:type="dxa"/>
                  <w:shd w:val="clear" w:color="auto" w:fill="auto"/>
                  <w:vAlign w:val="center"/>
                </w:tcPr>
                <w:p w14:paraId="3F191FE2">
                  <w:pPr>
                    <w:adjustRightInd w:val="0"/>
                    <w:jc w:val="center"/>
                    <w:rPr>
                      <w:color w:val="auto"/>
                      <w:lang w:bidi="ar"/>
                    </w:rPr>
                  </w:pPr>
                  <w:r>
                    <w:rPr>
                      <w:color w:val="auto"/>
                      <w:lang w:bidi="ar"/>
                    </w:rPr>
                    <w:t>0.</w:t>
                  </w:r>
                  <w:r>
                    <w:rPr>
                      <w:rFonts w:hint="eastAsia"/>
                      <w:color w:val="auto"/>
                      <w:lang w:bidi="ar"/>
                    </w:rPr>
                    <w:t>5</w:t>
                  </w:r>
                </w:p>
              </w:tc>
              <w:tc>
                <w:tcPr>
                  <w:tcW w:w="4348" w:type="dxa"/>
                  <w:vMerge w:val="continue"/>
                  <w:tcBorders>
                    <w:left w:val="single" w:color="000000" w:sz="2" w:space="0"/>
                    <w:right w:val="single" w:color="000000" w:sz="2" w:space="0"/>
                  </w:tcBorders>
                </w:tcPr>
                <w:p w14:paraId="68BD10B5">
                  <w:pPr>
                    <w:spacing w:line="240" w:lineRule="atLeast"/>
                    <w:jc w:val="center"/>
                    <w:rPr>
                      <w:color w:val="auto"/>
                    </w:rPr>
                  </w:pPr>
                </w:p>
              </w:tc>
            </w:tr>
            <w:tr w14:paraId="46D88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shd w:val="clear" w:color="auto" w:fill="auto"/>
                  <w:vAlign w:val="center"/>
                </w:tcPr>
                <w:p w14:paraId="4E0059ED">
                  <w:pPr>
                    <w:adjustRightInd w:val="0"/>
                    <w:jc w:val="center"/>
                    <w:rPr>
                      <w:color w:val="auto"/>
                      <w:lang w:bidi="ar"/>
                    </w:rPr>
                  </w:pPr>
                  <w:r>
                    <w:rPr>
                      <w:color w:val="auto"/>
                      <w:lang w:bidi="ar"/>
                    </w:rPr>
                    <w:t>TN</w:t>
                  </w:r>
                </w:p>
              </w:tc>
              <w:tc>
                <w:tcPr>
                  <w:tcW w:w="2494" w:type="dxa"/>
                  <w:shd w:val="clear" w:color="auto" w:fill="auto"/>
                  <w:vAlign w:val="center"/>
                </w:tcPr>
                <w:p w14:paraId="1D213FC1">
                  <w:pPr>
                    <w:adjustRightInd w:val="0"/>
                    <w:jc w:val="center"/>
                    <w:rPr>
                      <w:color w:val="auto"/>
                      <w:lang w:bidi="ar"/>
                    </w:rPr>
                  </w:pPr>
                  <w:r>
                    <w:rPr>
                      <w:color w:val="auto"/>
                      <w:lang w:bidi="ar"/>
                    </w:rPr>
                    <w:t>1</w:t>
                  </w:r>
                  <w:r>
                    <w:rPr>
                      <w:rFonts w:hint="eastAsia"/>
                      <w:color w:val="auto"/>
                      <w:lang w:bidi="ar"/>
                    </w:rPr>
                    <w:t>2</w:t>
                  </w:r>
                  <w:r>
                    <w:rPr>
                      <w:color w:val="auto"/>
                      <w:lang w:bidi="ar"/>
                    </w:rPr>
                    <w:t>（1</w:t>
                  </w:r>
                  <w:r>
                    <w:rPr>
                      <w:rFonts w:hint="eastAsia"/>
                      <w:color w:val="auto"/>
                      <w:lang w:bidi="ar"/>
                    </w:rPr>
                    <w:t>5</w:t>
                  </w:r>
                  <w:r>
                    <w:rPr>
                      <w:color w:val="auto"/>
                      <w:lang w:bidi="ar"/>
                    </w:rPr>
                    <w:t>）*</w:t>
                  </w:r>
                </w:p>
              </w:tc>
              <w:tc>
                <w:tcPr>
                  <w:tcW w:w="4348" w:type="dxa"/>
                  <w:vMerge w:val="continue"/>
                  <w:tcBorders>
                    <w:left w:val="single" w:color="000000" w:sz="2" w:space="0"/>
                    <w:right w:val="single" w:color="000000" w:sz="2" w:space="0"/>
                  </w:tcBorders>
                </w:tcPr>
                <w:p w14:paraId="4E9D264E">
                  <w:pPr>
                    <w:spacing w:line="240" w:lineRule="atLeast"/>
                    <w:jc w:val="center"/>
                    <w:rPr>
                      <w:color w:val="auto"/>
                    </w:rPr>
                  </w:pPr>
                </w:p>
              </w:tc>
            </w:tr>
            <w:tr w14:paraId="5BEDB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75" w:type="dxa"/>
                  <w:shd w:val="clear" w:color="auto" w:fill="auto"/>
                  <w:vAlign w:val="center"/>
                </w:tcPr>
                <w:p w14:paraId="52160FE7">
                  <w:pPr>
                    <w:adjustRightInd w:val="0"/>
                    <w:jc w:val="center"/>
                    <w:rPr>
                      <w:color w:val="auto"/>
                      <w:lang w:bidi="ar"/>
                    </w:rPr>
                  </w:pPr>
                  <w:r>
                    <w:rPr>
                      <w:color w:val="auto"/>
                      <w:lang w:bidi="ar"/>
                    </w:rPr>
                    <w:t>动植物油</w:t>
                  </w:r>
                </w:p>
              </w:tc>
              <w:tc>
                <w:tcPr>
                  <w:tcW w:w="2494" w:type="dxa"/>
                  <w:shd w:val="clear" w:color="auto" w:fill="auto"/>
                  <w:vAlign w:val="center"/>
                </w:tcPr>
                <w:p w14:paraId="3F1BD1CB">
                  <w:pPr>
                    <w:adjustRightInd w:val="0"/>
                    <w:jc w:val="center"/>
                    <w:rPr>
                      <w:color w:val="auto"/>
                      <w:lang w:bidi="ar"/>
                    </w:rPr>
                  </w:pPr>
                  <w:r>
                    <w:rPr>
                      <w:color w:val="auto"/>
                      <w:lang w:bidi="ar"/>
                    </w:rPr>
                    <w:t>1</w:t>
                  </w:r>
                </w:p>
              </w:tc>
              <w:tc>
                <w:tcPr>
                  <w:tcW w:w="4348" w:type="dxa"/>
                  <w:vMerge w:val="continue"/>
                  <w:tcBorders>
                    <w:left w:val="single" w:color="000000" w:sz="2" w:space="0"/>
                    <w:right w:val="single" w:color="000000" w:sz="2" w:space="0"/>
                  </w:tcBorders>
                </w:tcPr>
                <w:p w14:paraId="4D8A3C8F">
                  <w:pPr>
                    <w:spacing w:line="240" w:lineRule="atLeast"/>
                    <w:jc w:val="center"/>
                    <w:rPr>
                      <w:color w:val="auto"/>
                    </w:rPr>
                  </w:pPr>
                </w:p>
              </w:tc>
            </w:tr>
          </w:tbl>
          <w:p w14:paraId="6CD01BAD">
            <w:pPr>
              <w:pStyle w:val="7"/>
              <w:rPr>
                <w:color w:val="auto"/>
              </w:rPr>
            </w:pPr>
            <w:r>
              <w:rPr>
                <w:color w:val="auto"/>
              </w:rPr>
              <w:t>注：括号外数值为水温＞12℃时的控制指标，括号内数值为水温≤12℃时的控制指标；pH为无量纲。</w:t>
            </w:r>
          </w:p>
          <w:p w14:paraId="36AC4F08">
            <w:pPr>
              <w:spacing w:line="360" w:lineRule="auto"/>
              <w:ind w:firstLine="480" w:firstLineChars="200"/>
              <w:rPr>
                <w:bCs/>
                <w:color w:val="auto"/>
                <w:sz w:val="24"/>
              </w:rPr>
            </w:pPr>
            <w:r>
              <w:rPr>
                <w:bCs/>
                <w:color w:val="auto"/>
                <w:sz w:val="24"/>
              </w:rPr>
              <w:t>3、噪声排放标准</w:t>
            </w:r>
          </w:p>
          <w:p w14:paraId="56BACAFD">
            <w:pPr>
              <w:spacing w:line="360" w:lineRule="auto"/>
              <w:ind w:firstLine="480" w:firstLineChars="200"/>
              <w:rPr>
                <w:color w:val="auto"/>
                <w:sz w:val="24"/>
              </w:rPr>
            </w:pPr>
            <w:r>
              <w:rPr>
                <w:color w:val="auto"/>
                <w:sz w:val="24"/>
              </w:rPr>
              <w:t>营运期厂界噪声排放执行《工业企业厂界环境噪声排放标准》（GB12348-2008）表1中3类标准对应标准限值</w:t>
            </w:r>
            <w:r>
              <w:rPr>
                <w:rFonts w:hint="eastAsia"/>
                <w:color w:val="auto"/>
                <w:sz w:val="24"/>
              </w:rPr>
              <w:t>，</w:t>
            </w:r>
            <w:r>
              <w:rPr>
                <w:color w:val="auto"/>
                <w:sz w:val="24"/>
              </w:rPr>
              <w:t>具体见表</w:t>
            </w:r>
            <w:r>
              <w:rPr>
                <w:rFonts w:hint="eastAsia"/>
                <w:color w:val="auto"/>
                <w:sz w:val="24"/>
              </w:rPr>
              <w:t>3-1</w:t>
            </w:r>
            <w:r>
              <w:rPr>
                <w:rFonts w:hint="eastAsia"/>
                <w:color w:val="auto"/>
                <w:sz w:val="24"/>
                <w:lang w:val="en-US" w:eastAsia="zh-CN"/>
              </w:rPr>
              <w:t>3</w:t>
            </w:r>
            <w:r>
              <w:rPr>
                <w:color w:val="auto"/>
                <w:sz w:val="24"/>
              </w:rPr>
              <w:t>。</w:t>
            </w:r>
          </w:p>
          <w:p w14:paraId="799EC9DD">
            <w:pPr>
              <w:tabs>
                <w:tab w:val="left" w:pos="5142"/>
              </w:tabs>
              <w:spacing w:line="276" w:lineRule="auto"/>
              <w:jc w:val="center"/>
              <w:rPr>
                <w:b/>
                <w:color w:val="auto"/>
                <w:sz w:val="24"/>
              </w:rPr>
            </w:pPr>
            <w:r>
              <w:rPr>
                <w:rFonts w:hint="eastAsia"/>
                <w:b/>
                <w:color w:val="auto"/>
                <w:sz w:val="24"/>
              </w:rPr>
              <w:t>表3-1</w:t>
            </w:r>
            <w:r>
              <w:rPr>
                <w:rFonts w:hint="eastAsia"/>
                <w:b/>
                <w:color w:val="auto"/>
                <w:sz w:val="24"/>
                <w:lang w:val="en-US" w:eastAsia="zh-CN"/>
              </w:rPr>
              <w:t>3</w:t>
            </w:r>
            <w:r>
              <w:rPr>
                <w:rFonts w:hint="eastAsia"/>
                <w:b/>
                <w:color w:val="auto"/>
                <w:sz w:val="24"/>
              </w:rPr>
              <w:t xml:space="preserve">  环境噪声标准限值</w:t>
            </w:r>
          </w:p>
          <w:tbl>
            <w:tblPr>
              <w:tblStyle w:val="22"/>
              <w:tblW w:w="907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153"/>
              <w:gridCol w:w="2918"/>
              <w:gridCol w:w="3001"/>
            </w:tblGrid>
            <w:tr w14:paraId="29FE8F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153" w:type="dxa"/>
                  <w:tcBorders>
                    <w:top w:val="single" w:color="auto" w:sz="2" w:space="0"/>
                    <w:left w:val="single" w:color="auto" w:sz="2" w:space="0"/>
                    <w:bottom w:val="single" w:color="auto" w:sz="2" w:space="0"/>
                    <w:right w:val="single" w:color="auto" w:sz="2" w:space="0"/>
                  </w:tcBorders>
                  <w:vAlign w:val="center"/>
                </w:tcPr>
                <w:p w14:paraId="0B813D2E">
                  <w:pPr>
                    <w:spacing w:line="240" w:lineRule="atLeast"/>
                    <w:ind w:right="110"/>
                    <w:jc w:val="center"/>
                    <w:rPr>
                      <w:b/>
                      <w:color w:val="auto"/>
                    </w:rPr>
                  </w:pPr>
                  <w:r>
                    <w:rPr>
                      <w:rFonts w:hint="eastAsia"/>
                      <w:b/>
                      <w:color w:val="auto"/>
                    </w:rPr>
                    <w:t>时段厂界外声环境功能区类别</w:t>
                  </w:r>
                </w:p>
              </w:tc>
              <w:tc>
                <w:tcPr>
                  <w:tcW w:w="2918" w:type="dxa"/>
                  <w:tcBorders>
                    <w:top w:val="single" w:color="auto" w:sz="2" w:space="0"/>
                    <w:left w:val="single" w:color="auto" w:sz="2" w:space="0"/>
                    <w:bottom w:val="single" w:color="auto" w:sz="2" w:space="0"/>
                    <w:right w:val="single" w:color="auto" w:sz="2" w:space="0"/>
                  </w:tcBorders>
                  <w:vAlign w:val="center"/>
                </w:tcPr>
                <w:p w14:paraId="0F39AF7B">
                  <w:pPr>
                    <w:spacing w:line="240" w:lineRule="atLeast"/>
                    <w:jc w:val="center"/>
                    <w:rPr>
                      <w:b/>
                      <w:color w:val="auto"/>
                    </w:rPr>
                  </w:pPr>
                  <w:r>
                    <w:rPr>
                      <w:rFonts w:hint="eastAsia"/>
                      <w:b/>
                      <w:color w:val="auto"/>
                    </w:rPr>
                    <w:t>昼间（</w:t>
                  </w:r>
                  <w:r>
                    <w:rPr>
                      <w:b/>
                      <w:color w:val="auto"/>
                    </w:rPr>
                    <w:t>dB</w:t>
                  </w:r>
                  <w:r>
                    <w:rPr>
                      <w:rFonts w:hint="eastAsia"/>
                      <w:b/>
                      <w:color w:val="auto"/>
                    </w:rPr>
                    <w:t>（A））</w:t>
                  </w:r>
                </w:p>
              </w:tc>
              <w:tc>
                <w:tcPr>
                  <w:tcW w:w="3001" w:type="dxa"/>
                  <w:tcBorders>
                    <w:top w:val="single" w:color="auto" w:sz="2" w:space="0"/>
                    <w:left w:val="single" w:color="auto" w:sz="2" w:space="0"/>
                    <w:bottom w:val="single" w:color="auto" w:sz="2" w:space="0"/>
                    <w:right w:val="single" w:color="auto" w:sz="2" w:space="0"/>
                  </w:tcBorders>
                  <w:vAlign w:val="center"/>
                </w:tcPr>
                <w:p w14:paraId="6FE7518E">
                  <w:pPr>
                    <w:spacing w:line="240" w:lineRule="atLeast"/>
                    <w:jc w:val="center"/>
                    <w:rPr>
                      <w:b/>
                      <w:color w:val="auto"/>
                    </w:rPr>
                  </w:pPr>
                  <w:r>
                    <w:rPr>
                      <w:rFonts w:hint="eastAsia"/>
                      <w:b/>
                      <w:color w:val="auto"/>
                    </w:rPr>
                    <w:t>夜间（</w:t>
                  </w:r>
                  <w:r>
                    <w:rPr>
                      <w:b/>
                      <w:color w:val="auto"/>
                    </w:rPr>
                    <w:t>dB</w:t>
                  </w:r>
                  <w:r>
                    <w:rPr>
                      <w:rFonts w:hint="eastAsia"/>
                      <w:b/>
                      <w:color w:val="auto"/>
                    </w:rPr>
                    <w:t>（A））</w:t>
                  </w:r>
                </w:p>
              </w:tc>
            </w:tr>
            <w:tr w14:paraId="26EFEC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153" w:type="dxa"/>
                  <w:tcBorders>
                    <w:top w:val="single" w:color="auto" w:sz="2" w:space="0"/>
                    <w:left w:val="single" w:color="auto" w:sz="2" w:space="0"/>
                    <w:bottom w:val="single" w:color="auto" w:sz="2" w:space="0"/>
                    <w:right w:val="single" w:color="auto" w:sz="2" w:space="0"/>
                  </w:tcBorders>
                  <w:vAlign w:val="center"/>
                </w:tcPr>
                <w:p w14:paraId="35FC0AA5">
                  <w:pPr>
                    <w:spacing w:line="240" w:lineRule="atLeast"/>
                    <w:jc w:val="center"/>
                    <w:rPr>
                      <w:color w:val="auto"/>
                    </w:rPr>
                  </w:pPr>
                  <w:r>
                    <w:rPr>
                      <w:rFonts w:hint="eastAsia"/>
                      <w:color w:val="auto"/>
                    </w:rPr>
                    <w:t>3类</w:t>
                  </w:r>
                </w:p>
              </w:tc>
              <w:tc>
                <w:tcPr>
                  <w:tcW w:w="2918" w:type="dxa"/>
                  <w:tcBorders>
                    <w:top w:val="single" w:color="auto" w:sz="2" w:space="0"/>
                    <w:left w:val="single" w:color="auto" w:sz="2" w:space="0"/>
                    <w:bottom w:val="single" w:color="auto" w:sz="2" w:space="0"/>
                    <w:right w:val="single" w:color="auto" w:sz="2" w:space="0"/>
                  </w:tcBorders>
                  <w:vAlign w:val="center"/>
                </w:tcPr>
                <w:p w14:paraId="1A31826D">
                  <w:pPr>
                    <w:spacing w:line="240" w:lineRule="atLeast"/>
                    <w:jc w:val="center"/>
                    <w:rPr>
                      <w:color w:val="auto"/>
                    </w:rPr>
                  </w:pPr>
                  <w:r>
                    <w:rPr>
                      <w:color w:val="auto"/>
                    </w:rPr>
                    <w:t>6</w:t>
                  </w:r>
                  <w:r>
                    <w:rPr>
                      <w:rFonts w:hint="eastAsia"/>
                      <w:color w:val="auto"/>
                    </w:rPr>
                    <w:t>5</w:t>
                  </w:r>
                </w:p>
              </w:tc>
              <w:tc>
                <w:tcPr>
                  <w:tcW w:w="3001" w:type="dxa"/>
                  <w:tcBorders>
                    <w:top w:val="single" w:color="auto" w:sz="2" w:space="0"/>
                    <w:left w:val="single" w:color="auto" w:sz="2" w:space="0"/>
                    <w:bottom w:val="single" w:color="auto" w:sz="2" w:space="0"/>
                    <w:right w:val="single" w:color="auto" w:sz="2" w:space="0"/>
                  </w:tcBorders>
                  <w:vAlign w:val="center"/>
                </w:tcPr>
                <w:p w14:paraId="30FDAE62">
                  <w:pPr>
                    <w:spacing w:line="240" w:lineRule="atLeast"/>
                    <w:jc w:val="center"/>
                    <w:rPr>
                      <w:color w:val="auto"/>
                    </w:rPr>
                  </w:pPr>
                  <w:r>
                    <w:rPr>
                      <w:color w:val="auto"/>
                    </w:rPr>
                    <w:t>5</w:t>
                  </w:r>
                  <w:r>
                    <w:rPr>
                      <w:rFonts w:hint="eastAsia"/>
                      <w:color w:val="auto"/>
                    </w:rPr>
                    <w:t>5</w:t>
                  </w:r>
                </w:p>
              </w:tc>
            </w:tr>
          </w:tbl>
          <w:p w14:paraId="2609ACA2">
            <w:pPr>
              <w:spacing w:line="360" w:lineRule="auto"/>
              <w:ind w:firstLine="480" w:firstLineChars="200"/>
              <w:rPr>
                <w:bCs/>
                <w:color w:val="auto"/>
                <w:sz w:val="24"/>
              </w:rPr>
            </w:pPr>
            <w:r>
              <w:rPr>
                <w:bCs/>
                <w:color w:val="auto"/>
                <w:sz w:val="24"/>
              </w:rPr>
              <w:t>4、固体废物标准</w:t>
            </w:r>
          </w:p>
          <w:p w14:paraId="169DDF48">
            <w:pPr>
              <w:pStyle w:val="40"/>
              <w:snapToGrid/>
              <w:spacing w:line="360" w:lineRule="auto"/>
              <w:ind w:firstLine="480"/>
              <w:rPr>
                <w:color w:val="auto"/>
                <w:sz w:val="24"/>
              </w:rPr>
            </w:pPr>
            <w:r>
              <w:rPr>
                <w:bCs/>
                <w:color w:val="auto"/>
                <w:sz w:val="24"/>
              </w:rPr>
              <w:t>本项目</w:t>
            </w:r>
            <w:r>
              <w:rPr>
                <w:rFonts w:hint="eastAsia"/>
                <w:bCs/>
                <w:color w:val="auto"/>
                <w:sz w:val="24"/>
              </w:rPr>
              <w:t>危险废物</w:t>
            </w:r>
            <w:r>
              <w:rPr>
                <w:bCs/>
                <w:color w:val="auto"/>
                <w:sz w:val="24"/>
              </w:rPr>
              <w:t>收集、贮存、运输等过程按照《危险废物贮存污染控制标准》（GB18597-20</w:t>
            </w:r>
            <w:r>
              <w:rPr>
                <w:rFonts w:hint="eastAsia"/>
                <w:bCs/>
                <w:color w:val="auto"/>
                <w:sz w:val="24"/>
              </w:rPr>
              <w:t>23</w:t>
            </w:r>
            <w:r>
              <w:rPr>
                <w:bCs/>
                <w:color w:val="auto"/>
                <w:sz w:val="24"/>
              </w:rPr>
              <w:t>）、《危险废物收集贮存运输技术规范》（HJ2025-2012）的相关要求执行；一般工业废弃物的贮存、处置应符合《一般工业固体废物贮存和填埋污染控制标准》（GB18599-2020）</w:t>
            </w:r>
            <w:r>
              <w:rPr>
                <w:rFonts w:hint="eastAsia"/>
                <w:bCs/>
                <w:color w:val="auto"/>
                <w:sz w:val="24"/>
              </w:rPr>
              <w:t>。</w:t>
            </w:r>
          </w:p>
        </w:tc>
      </w:tr>
      <w:tr w14:paraId="4475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598" w:type="dxa"/>
            <w:vAlign w:val="center"/>
          </w:tcPr>
          <w:p w14:paraId="018301CA">
            <w:pPr>
              <w:jc w:val="left"/>
              <w:rPr>
                <w:color w:val="auto"/>
                <w:sz w:val="24"/>
                <w:szCs w:val="24"/>
              </w:rPr>
            </w:pPr>
            <w:r>
              <w:rPr>
                <w:rFonts w:hint="eastAsia"/>
                <w:color w:val="auto"/>
                <w:sz w:val="24"/>
                <w:szCs w:val="24"/>
              </w:rPr>
              <w:t>总</w:t>
            </w:r>
          </w:p>
          <w:p w14:paraId="5DB1A874">
            <w:pPr>
              <w:jc w:val="left"/>
              <w:rPr>
                <w:color w:val="auto"/>
                <w:sz w:val="24"/>
                <w:szCs w:val="24"/>
              </w:rPr>
            </w:pPr>
          </w:p>
          <w:p w14:paraId="1D1770CC">
            <w:pPr>
              <w:jc w:val="left"/>
              <w:rPr>
                <w:color w:val="auto"/>
                <w:sz w:val="24"/>
                <w:szCs w:val="24"/>
              </w:rPr>
            </w:pPr>
            <w:r>
              <w:rPr>
                <w:rFonts w:hint="eastAsia"/>
                <w:color w:val="auto"/>
                <w:sz w:val="24"/>
                <w:szCs w:val="24"/>
              </w:rPr>
              <w:t>量</w:t>
            </w:r>
          </w:p>
          <w:p w14:paraId="7D5ADD02">
            <w:pPr>
              <w:jc w:val="left"/>
              <w:rPr>
                <w:color w:val="auto"/>
                <w:sz w:val="24"/>
                <w:szCs w:val="24"/>
              </w:rPr>
            </w:pPr>
          </w:p>
          <w:p w14:paraId="4F162C51">
            <w:pPr>
              <w:jc w:val="left"/>
              <w:rPr>
                <w:color w:val="auto"/>
                <w:sz w:val="24"/>
                <w:szCs w:val="24"/>
              </w:rPr>
            </w:pPr>
            <w:r>
              <w:rPr>
                <w:rFonts w:hint="eastAsia"/>
                <w:color w:val="auto"/>
                <w:sz w:val="24"/>
                <w:szCs w:val="24"/>
              </w:rPr>
              <w:t>控</w:t>
            </w:r>
          </w:p>
          <w:p w14:paraId="194C81AD">
            <w:pPr>
              <w:jc w:val="left"/>
              <w:rPr>
                <w:color w:val="auto"/>
                <w:sz w:val="24"/>
                <w:szCs w:val="24"/>
              </w:rPr>
            </w:pPr>
          </w:p>
          <w:p w14:paraId="1995F847">
            <w:pPr>
              <w:jc w:val="left"/>
              <w:rPr>
                <w:color w:val="auto"/>
                <w:sz w:val="24"/>
                <w:szCs w:val="24"/>
              </w:rPr>
            </w:pPr>
            <w:r>
              <w:rPr>
                <w:rFonts w:hint="eastAsia"/>
                <w:color w:val="auto"/>
                <w:sz w:val="24"/>
                <w:szCs w:val="24"/>
              </w:rPr>
              <w:t>制</w:t>
            </w:r>
          </w:p>
          <w:p w14:paraId="5839EF0E">
            <w:pPr>
              <w:jc w:val="left"/>
              <w:rPr>
                <w:color w:val="auto"/>
                <w:sz w:val="24"/>
                <w:szCs w:val="24"/>
              </w:rPr>
            </w:pPr>
          </w:p>
          <w:p w14:paraId="5B32D5B8">
            <w:pPr>
              <w:jc w:val="left"/>
              <w:rPr>
                <w:color w:val="auto"/>
                <w:sz w:val="24"/>
                <w:szCs w:val="24"/>
              </w:rPr>
            </w:pPr>
            <w:r>
              <w:rPr>
                <w:rFonts w:hint="eastAsia"/>
                <w:color w:val="auto"/>
                <w:sz w:val="24"/>
                <w:szCs w:val="24"/>
              </w:rPr>
              <w:t>指</w:t>
            </w:r>
          </w:p>
          <w:p w14:paraId="4DEB307E">
            <w:pPr>
              <w:jc w:val="left"/>
              <w:rPr>
                <w:color w:val="auto"/>
                <w:sz w:val="24"/>
                <w:szCs w:val="24"/>
              </w:rPr>
            </w:pPr>
          </w:p>
          <w:p w14:paraId="3DC35B25">
            <w:pPr>
              <w:jc w:val="left"/>
              <w:rPr>
                <w:color w:val="auto"/>
              </w:rPr>
            </w:pPr>
            <w:r>
              <w:rPr>
                <w:rFonts w:hint="eastAsia"/>
                <w:color w:val="auto"/>
                <w:sz w:val="24"/>
                <w:szCs w:val="24"/>
              </w:rPr>
              <w:t>标</w:t>
            </w:r>
          </w:p>
        </w:tc>
        <w:tc>
          <w:tcPr>
            <w:tcW w:w="9352" w:type="dxa"/>
            <w:vAlign w:val="center"/>
          </w:tcPr>
          <w:p w14:paraId="4BD57CE9">
            <w:pPr>
              <w:spacing w:line="360" w:lineRule="auto"/>
              <w:ind w:firstLine="480" w:firstLineChars="200"/>
              <w:rPr>
                <w:color w:val="auto"/>
                <w:sz w:val="24"/>
                <w:szCs w:val="24"/>
              </w:rPr>
            </w:pPr>
            <w:r>
              <w:rPr>
                <w:color w:val="auto"/>
                <w:sz w:val="24"/>
                <w:szCs w:val="24"/>
              </w:rPr>
              <w:t>1、本项目污染物排放情况及总量控制建议见下表</w:t>
            </w:r>
            <w:r>
              <w:rPr>
                <w:rFonts w:hint="eastAsia"/>
                <w:color w:val="auto"/>
                <w:sz w:val="24"/>
                <w:szCs w:val="24"/>
              </w:rPr>
              <w:t>3-</w:t>
            </w:r>
            <w:r>
              <w:rPr>
                <w:color w:val="auto"/>
                <w:sz w:val="24"/>
                <w:szCs w:val="24"/>
              </w:rPr>
              <w:t>1</w:t>
            </w:r>
            <w:r>
              <w:rPr>
                <w:rFonts w:hint="eastAsia"/>
                <w:color w:val="auto"/>
                <w:sz w:val="24"/>
                <w:szCs w:val="24"/>
                <w:lang w:val="en-US" w:eastAsia="zh-CN"/>
              </w:rPr>
              <w:t>4</w:t>
            </w:r>
            <w:r>
              <w:rPr>
                <w:color w:val="auto"/>
                <w:sz w:val="24"/>
                <w:szCs w:val="24"/>
              </w:rPr>
              <w:t>。</w:t>
            </w:r>
          </w:p>
          <w:p w14:paraId="375FECA9">
            <w:pPr>
              <w:jc w:val="center"/>
              <w:rPr>
                <w:color w:val="auto"/>
                <w:sz w:val="24"/>
                <w:szCs w:val="24"/>
              </w:rPr>
            </w:pPr>
            <w:r>
              <w:rPr>
                <w:rFonts w:hint="eastAsia"/>
                <w:b/>
                <w:bCs/>
                <w:color w:val="auto"/>
                <w:sz w:val="24"/>
                <w:szCs w:val="24"/>
              </w:rPr>
              <w:t>表3-1</w:t>
            </w:r>
            <w:r>
              <w:rPr>
                <w:rFonts w:hint="eastAsia"/>
                <w:b/>
                <w:bCs/>
                <w:color w:val="auto"/>
                <w:sz w:val="24"/>
                <w:szCs w:val="24"/>
                <w:lang w:val="en-US" w:eastAsia="zh-CN"/>
              </w:rPr>
              <w:t>4</w:t>
            </w:r>
            <w:r>
              <w:rPr>
                <w:rFonts w:hint="eastAsia"/>
                <w:b/>
                <w:bCs/>
                <w:color w:val="auto"/>
                <w:sz w:val="24"/>
                <w:szCs w:val="24"/>
              </w:rPr>
              <w:t xml:space="preserve">  </w:t>
            </w:r>
            <w:r>
              <w:rPr>
                <w:b/>
                <w:bCs/>
                <w:color w:val="auto"/>
                <w:sz w:val="24"/>
                <w:szCs w:val="24"/>
              </w:rPr>
              <w:t>建设项目污染物排放总量建议指标单位：t/a</w:t>
            </w:r>
          </w:p>
          <w:tbl>
            <w:tblPr>
              <w:tblStyle w:val="22"/>
              <w:tblW w:w="907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19"/>
              <w:gridCol w:w="490"/>
              <w:gridCol w:w="880"/>
              <w:gridCol w:w="737"/>
              <w:gridCol w:w="724"/>
              <w:gridCol w:w="714"/>
              <w:gridCol w:w="723"/>
              <w:gridCol w:w="1012"/>
              <w:gridCol w:w="1300"/>
              <w:gridCol w:w="986"/>
              <w:gridCol w:w="986"/>
            </w:tblGrid>
            <w:tr w14:paraId="236DD6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6" w:hRule="atLeast"/>
                <w:jc w:val="center"/>
              </w:trPr>
              <w:tc>
                <w:tcPr>
                  <w:tcW w:w="519" w:type="dxa"/>
                  <w:vMerge w:val="restart"/>
                  <w:tcBorders>
                    <w:top w:val="single" w:color="auto" w:sz="2" w:space="0"/>
                    <w:left w:val="single" w:color="auto" w:sz="2" w:space="0"/>
                    <w:right w:val="single" w:color="auto" w:sz="2" w:space="0"/>
                  </w:tcBorders>
                  <w:vAlign w:val="center"/>
                </w:tcPr>
                <w:p w14:paraId="0F4AED9F">
                  <w:pPr>
                    <w:widowControl/>
                    <w:jc w:val="center"/>
                    <w:rPr>
                      <w:b/>
                      <w:bCs/>
                      <w:color w:val="auto"/>
                    </w:rPr>
                  </w:pPr>
                  <w:r>
                    <w:rPr>
                      <w:rFonts w:hint="eastAsia"/>
                      <w:b/>
                      <w:bCs/>
                      <w:color w:val="auto"/>
                    </w:rPr>
                    <w:t>类别</w:t>
                  </w:r>
                </w:p>
              </w:tc>
              <w:tc>
                <w:tcPr>
                  <w:tcW w:w="1370" w:type="dxa"/>
                  <w:gridSpan w:val="2"/>
                  <w:vMerge w:val="restart"/>
                  <w:tcBorders>
                    <w:top w:val="single" w:color="auto" w:sz="2" w:space="0"/>
                    <w:left w:val="single" w:color="auto" w:sz="2" w:space="0"/>
                    <w:right w:val="single" w:color="auto" w:sz="2" w:space="0"/>
                  </w:tcBorders>
                  <w:vAlign w:val="center"/>
                </w:tcPr>
                <w:p w14:paraId="23A4E88A">
                  <w:pPr>
                    <w:widowControl/>
                    <w:jc w:val="center"/>
                    <w:rPr>
                      <w:b/>
                      <w:bCs/>
                      <w:color w:val="auto"/>
                    </w:rPr>
                  </w:pPr>
                  <w:r>
                    <w:rPr>
                      <w:rFonts w:hint="eastAsia"/>
                      <w:b/>
                      <w:bCs/>
                      <w:color w:val="auto"/>
                    </w:rPr>
                    <w:t>污染因子</w:t>
                  </w:r>
                </w:p>
              </w:tc>
              <w:tc>
                <w:tcPr>
                  <w:tcW w:w="737" w:type="dxa"/>
                  <w:vMerge w:val="restart"/>
                  <w:tcBorders>
                    <w:left w:val="single" w:color="auto" w:sz="2" w:space="0"/>
                    <w:right w:val="single" w:color="auto" w:sz="2" w:space="0"/>
                  </w:tcBorders>
                  <w:vAlign w:val="center"/>
                </w:tcPr>
                <w:p w14:paraId="67E4BBBA">
                  <w:pPr>
                    <w:widowControl/>
                    <w:jc w:val="center"/>
                    <w:rPr>
                      <w:b/>
                      <w:bCs/>
                      <w:color w:val="auto"/>
                    </w:rPr>
                  </w:pPr>
                  <w:r>
                    <w:rPr>
                      <w:rFonts w:hint="eastAsia"/>
                      <w:b/>
                      <w:bCs/>
                      <w:color w:val="auto"/>
                    </w:rPr>
                    <w:t>原有项目量</w:t>
                  </w:r>
                </w:p>
              </w:tc>
              <w:tc>
                <w:tcPr>
                  <w:tcW w:w="2161" w:type="dxa"/>
                  <w:gridSpan w:val="3"/>
                  <w:tcBorders>
                    <w:left w:val="single" w:color="auto" w:sz="2" w:space="0"/>
                    <w:bottom w:val="single" w:color="auto" w:sz="2" w:space="0"/>
                    <w:right w:val="single" w:color="auto" w:sz="2" w:space="0"/>
                  </w:tcBorders>
                  <w:vAlign w:val="center"/>
                </w:tcPr>
                <w:p w14:paraId="3E94D655">
                  <w:pPr>
                    <w:jc w:val="center"/>
                    <w:rPr>
                      <w:b/>
                      <w:bCs/>
                      <w:color w:val="auto"/>
                    </w:rPr>
                  </w:pPr>
                  <w:r>
                    <w:rPr>
                      <w:rFonts w:hint="eastAsia"/>
                      <w:b/>
                      <w:bCs/>
                      <w:color w:val="auto"/>
                    </w:rPr>
                    <w:t>本项目</w:t>
                  </w:r>
                </w:p>
              </w:tc>
              <w:tc>
                <w:tcPr>
                  <w:tcW w:w="1012" w:type="dxa"/>
                  <w:vMerge w:val="restart"/>
                  <w:tcBorders>
                    <w:left w:val="single" w:color="auto" w:sz="2" w:space="0"/>
                    <w:right w:val="single" w:color="auto" w:sz="2" w:space="0"/>
                  </w:tcBorders>
                  <w:vAlign w:val="center"/>
                </w:tcPr>
                <w:p w14:paraId="50A9B0AC">
                  <w:pPr>
                    <w:jc w:val="center"/>
                    <w:rPr>
                      <w:b/>
                      <w:bCs/>
                      <w:color w:val="auto"/>
                    </w:rPr>
                  </w:pPr>
                  <w:r>
                    <w:rPr>
                      <w:rFonts w:hint="eastAsia"/>
                      <w:b/>
                      <w:bCs/>
                      <w:color w:val="auto"/>
                    </w:rPr>
                    <w:t>“以新带老”削减量</w:t>
                  </w:r>
                </w:p>
              </w:tc>
              <w:tc>
                <w:tcPr>
                  <w:tcW w:w="1300" w:type="dxa"/>
                  <w:vMerge w:val="restart"/>
                  <w:tcBorders>
                    <w:left w:val="single" w:color="auto" w:sz="2" w:space="0"/>
                    <w:right w:val="single" w:color="auto" w:sz="2" w:space="0"/>
                  </w:tcBorders>
                  <w:vAlign w:val="center"/>
                </w:tcPr>
                <w:p w14:paraId="3FFA3AC6">
                  <w:pPr>
                    <w:jc w:val="center"/>
                    <w:rPr>
                      <w:color w:val="auto"/>
                    </w:rPr>
                  </w:pPr>
                  <w:r>
                    <w:rPr>
                      <w:rFonts w:hint="eastAsia"/>
                      <w:b/>
                      <w:bCs/>
                      <w:color w:val="auto"/>
                    </w:rPr>
                    <w:t>全厂排放量</w:t>
                  </w:r>
                </w:p>
              </w:tc>
              <w:tc>
                <w:tcPr>
                  <w:tcW w:w="986" w:type="dxa"/>
                  <w:vMerge w:val="restart"/>
                  <w:tcBorders>
                    <w:top w:val="single" w:color="auto" w:sz="2" w:space="0"/>
                    <w:left w:val="single" w:color="auto" w:sz="2" w:space="0"/>
                    <w:right w:val="single" w:color="auto" w:sz="2" w:space="0"/>
                  </w:tcBorders>
                  <w:vAlign w:val="center"/>
                </w:tcPr>
                <w:p w14:paraId="5AA69209">
                  <w:pPr>
                    <w:jc w:val="center"/>
                    <w:rPr>
                      <w:b/>
                      <w:bCs/>
                      <w:color w:val="auto"/>
                    </w:rPr>
                  </w:pPr>
                  <w:r>
                    <w:rPr>
                      <w:rFonts w:hint="eastAsia"/>
                      <w:b/>
                      <w:bCs/>
                      <w:color w:val="auto"/>
                    </w:rPr>
                    <w:t>增减量</w:t>
                  </w:r>
                </w:p>
              </w:tc>
              <w:tc>
                <w:tcPr>
                  <w:tcW w:w="986" w:type="dxa"/>
                  <w:vMerge w:val="restart"/>
                  <w:tcBorders>
                    <w:top w:val="single" w:color="auto" w:sz="2" w:space="0"/>
                    <w:left w:val="single" w:color="auto" w:sz="2" w:space="0"/>
                    <w:right w:val="single" w:color="auto" w:sz="2" w:space="0"/>
                  </w:tcBorders>
                  <w:vAlign w:val="center"/>
                </w:tcPr>
                <w:p w14:paraId="032124A4">
                  <w:pPr>
                    <w:widowControl/>
                    <w:jc w:val="center"/>
                    <w:rPr>
                      <w:b/>
                      <w:bCs/>
                      <w:color w:val="auto"/>
                    </w:rPr>
                  </w:pPr>
                  <w:r>
                    <w:rPr>
                      <w:rFonts w:hint="eastAsia"/>
                      <w:b/>
                      <w:bCs/>
                      <w:color w:val="auto"/>
                    </w:rPr>
                    <w:t>全厂最终外排放量</w:t>
                  </w:r>
                </w:p>
              </w:tc>
            </w:tr>
            <w:tr w14:paraId="29F48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74" w:hRule="atLeast"/>
                <w:jc w:val="center"/>
              </w:trPr>
              <w:tc>
                <w:tcPr>
                  <w:tcW w:w="519" w:type="dxa"/>
                  <w:vMerge w:val="continue"/>
                  <w:tcBorders>
                    <w:left w:val="single" w:color="auto" w:sz="2" w:space="0"/>
                    <w:bottom w:val="single" w:color="auto" w:sz="2" w:space="0"/>
                    <w:right w:val="single" w:color="auto" w:sz="2" w:space="0"/>
                  </w:tcBorders>
                  <w:vAlign w:val="center"/>
                </w:tcPr>
                <w:p w14:paraId="3FDED48C">
                  <w:pPr>
                    <w:jc w:val="center"/>
                    <w:rPr>
                      <w:color w:val="auto"/>
                    </w:rPr>
                  </w:pPr>
                </w:p>
              </w:tc>
              <w:tc>
                <w:tcPr>
                  <w:tcW w:w="1370" w:type="dxa"/>
                  <w:gridSpan w:val="2"/>
                  <w:vMerge w:val="continue"/>
                  <w:tcBorders>
                    <w:left w:val="single" w:color="auto" w:sz="2" w:space="0"/>
                    <w:bottom w:val="single" w:color="auto" w:sz="2" w:space="0"/>
                    <w:right w:val="single" w:color="auto" w:sz="2" w:space="0"/>
                  </w:tcBorders>
                  <w:vAlign w:val="center"/>
                </w:tcPr>
                <w:p w14:paraId="64F2E92E">
                  <w:pPr>
                    <w:jc w:val="center"/>
                    <w:rPr>
                      <w:color w:val="auto"/>
                    </w:rPr>
                  </w:pPr>
                </w:p>
              </w:tc>
              <w:tc>
                <w:tcPr>
                  <w:tcW w:w="737" w:type="dxa"/>
                  <w:vMerge w:val="continue"/>
                  <w:tcBorders>
                    <w:left w:val="single" w:color="auto" w:sz="2" w:space="0"/>
                    <w:bottom w:val="single" w:color="auto" w:sz="2" w:space="0"/>
                    <w:right w:val="single" w:color="auto" w:sz="2" w:space="0"/>
                  </w:tcBorders>
                  <w:vAlign w:val="center"/>
                </w:tcPr>
                <w:p w14:paraId="0A657064">
                  <w:pPr>
                    <w:jc w:val="center"/>
                    <w:rPr>
                      <w:color w:val="auto"/>
                    </w:rPr>
                  </w:pPr>
                </w:p>
              </w:tc>
              <w:tc>
                <w:tcPr>
                  <w:tcW w:w="724" w:type="dxa"/>
                  <w:tcBorders>
                    <w:left w:val="single" w:color="auto" w:sz="2" w:space="0"/>
                    <w:bottom w:val="single" w:color="auto" w:sz="2" w:space="0"/>
                    <w:right w:val="single" w:color="auto" w:sz="2" w:space="0"/>
                  </w:tcBorders>
                  <w:vAlign w:val="center"/>
                </w:tcPr>
                <w:p w14:paraId="50E9192E">
                  <w:pPr>
                    <w:jc w:val="center"/>
                    <w:rPr>
                      <w:b/>
                      <w:bCs/>
                      <w:color w:val="auto"/>
                    </w:rPr>
                  </w:pPr>
                  <w:r>
                    <w:rPr>
                      <w:rFonts w:hint="eastAsia"/>
                      <w:b/>
                      <w:bCs/>
                      <w:color w:val="auto"/>
                    </w:rPr>
                    <w:t>产生量</w:t>
                  </w:r>
                </w:p>
              </w:tc>
              <w:tc>
                <w:tcPr>
                  <w:tcW w:w="714" w:type="dxa"/>
                  <w:tcBorders>
                    <w:left w:val="single" w:color="auto" w:sz="2" w:space="0"/>
                    <w:right w:val="single" w:color="auto" w:sz="2" w:space="0"/>
                  </w:tcBorders>
                  <w:vAlign w:val="center"/>
                </w:tcPr>
                <w:p w14:paraId="739CB8EE">
                  <w:pPr>
                    <w:jc w:val="center"/>
                    <w:rPr>
                      <w:b/>
                      <w:bCs/>
                      <w:color w:val="auto"/>
                    </w:rPr>
                  </w:pPr>
                  <w:r>
                    <w:rPr>
                      <w:rFonts w:hint="eastAsia"/>
                      <w:b/>
                      <w:bCs/>
                      <w:color w:val="auto"/>
                    </w:rPr>
                    <w:t>消减量</w:t>
                  </w:r>
                </w:p>
              </w:tc>
              <w:tc>
                <w:tcPr>
                  <w:tcW w:w="723" w:type="dxa"/>
                  <w:tcBorders>
                    <w:left w:val="single" w:color="auto" w:sz="2" w:space="0"/>
                    <w:right w:val="single" w:color="auto" w:sz="2" w:space="0"/>
                  </w:tcBorders>
                  <w:vAlign w:val="center"/>
                </w:tcPr>
                <w:p w14:paraId="62E9BCE0">
                  <w:pPr>
                    <w:jc w:val="center"/>
                    <w:rPr>
                      <w:b/>
                      <w:bCs/>
                      <w:color w:val="auto"/>
                    </w:rPr>
                  </w:pPr>
                  <w:r>
                    <w:rPr>
                      <w:rFonts w:hint="eastAsia"/>
                      <w:b/>
                      <w:bCs/>
                      <w:color w:val="auto"/>
                    </w:rPr>
                    <w:t>排放量</w:t>
                  </w:r>
                </w:p>
              </w:tc>
              <w:tc>
                <w:tcPr>
                  <w:tcW w:w="1012" w:type="dxa"/>
                  <w:vMerge w:val="continue"/>
                  <w:tcBorders>
                    <w:left w:val="single" w:color="auto" w:sz="2" w:space="0"/>
                    <w:right w:val="single" w:color="auto" w:sz="2" w:space="0"/>
                  </w:tcBorders>
                  <w:vAlign w:val="center"/>
                </w:tcPr>
                <w:p w14:paraId="4DBEC4E0">
                  <w:pPr>
                    <w:jc w:val="center"/>
                    <w:rPr>
                      <w:b/>
                      <w:bCs/>
                      <w:color w:val="auto"/>
                    </w:rPr>
                  </w:pPr>
                </w:p>
              </w:tc>
              <w:tc>
                <w:tcPr>
                  <w:tcW w:w="1300" w:type="dxa"/>
                  <w:vMerge w:val="continue"/>
                  <w:tcBorders>
                    <w:left w:val="single" w:color="auto" w:sz="2" w:space="0"/>
                    <w:right w:val="single" w:color="auto" w:sz="2" w:space="0"/>
                  </w:tcBorders>
                  <w:vAlign w:val="center"/>
                </w:tcPr>
                <w:p w14:paraId="0B00AAC4">
                  <w:pPr>
                    <w:jc w:val="center"/>
                    <w:rPr>
                      <w:b/>
                      <w:bCs/>
                      <w:color w:val="auto"/>
                    </w:rPr>
                  </w:pPr>
                </w:p>
              </w:tc>
              <w:tc>
                <w:tcPr>
                  <w:tcW w:w="986" w:type="dxa"/>
                  <w:vMerge w:val="continue"/>
                  <w:tcBorders>
                    <w:left w:val="single" w:color="auto" w:sz="2" w:space="0"/>
                    <w:bottom w:val="single" w:color="auto" w:sz="2" w:space="0"/>
                    <w:right w:val="single" w:color="auto" w:sz="2" w:space="0"/>
                  </w:tcBorders>
                  <w:vAlign w:val="center"/>
                </w:tcPr>
                <w:p w14:paraId="2F24195B">
                  <w:pPr>
                    <w:jc w:val="center"/>
                    <w:rPr>
                      <w:b/>
                      <w:bCs/>
                      <w:color w:val="auto"/>
                    </w:rPr>
                  </w:pPr>
                </w:p>
              </w:tc>
              <w:tc>
                <w:tcPr>
                  <w:tcW w:w="986" w:type="dxa"/>
                  <w:vMerge w:val="continue"/>
                  <w:tcBorders>
                    <w:left w:val="single" w:color="auto" w:sz="2" w:space="0"/>
                    <w:bottom w:val="single" w:color="auto" w:sz="2" w:space="0"/>
                    <w:right w:val="single" w:color="auto" w:sz="2" w:space="0"/>
                  </w:tcBorders>
                  <w:vAlign w:val="center"/>
                </w:tcPr>
                <w:p w14:paraId="3639A6A1">
                  <w:pPr>
                    <w:jc w:val="center"/>
                    <w:rPr>
                      <w:b/>
                      <w:bCs/>
                      <w:color w:val="auto"/>
                    </w:rPr>
                  </w:pPr>
                </w:p>
              </w:tc>
            </w:tr>
            <w:tr w14:paraId="1AF478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519" w:type="dxa"/>
                  <w:vMerge w:val="restart"/>
                  <w:tcBorders>
                    <w:top w:val="single" w:color="auto" w:sz="2" w:space="0"/>
                    <w:left w:val="single" w:color="auto" w:sz="2" w:space="0"/>
                    <w:right w:val="single" w:color="auto" w:sz="2" w:space="0"/>
                  </w:tcBorders>
                  <w:vAlign w:val="center"/>
                </w:tcPr>
                <w:p w14:paraId="2C00397B">
                  <w:pPr>
                    <w:jc w:val="center"/>
                    <w:rPr>
                      <w:color w:val="auto"/>
                    </w:rPr>
                  </w:pPr>
                  <w:r>
                    <w:rPr>
                      <w:color w:val="auto"/>
                    </w:rPr>
                    <w:t>废气</w:t>
                  </w:r>
                </w:p>
              </w:tc>
              <w:tc>
                <w:tcPr>
                  <w:tcW w:w="490" w:type="dxa"/>
                  <w:tcBorders>
                    <w:top w:val="single" w:color="auto" w:sz="2" w:space="0"/>
                    <w:left w:val="single" w:color="auto" w:sz="2" w:space="0"/>
                    <w:right w:val="single" w:color="auto" w:sz="4" w:space="0"/>
                  </w:tcBorders>
                  <w:vAlign w:val="center"/>
                </w:tcPr>
                <w:p w14:paraId="70D34C1C">
                  <w:pPr>
                    <w:jc w:val="center"/>
                    <w:rPr>
                      <w:color w:val="auto"/>
                    </w:rPr>
                  </w:pPr>
                  <w:r>
                    <w:rPr>
                      <w:color w:val="auto"/>
                    </w:rPr>
                    <w:t>有组织</w:t>
                  </w:r>
                </w:p>
              </w:tc>
              <w:tc>
                <w:tcPr>
                  <w:tcW w:w="880" w:type="dxa"/>
                  <w:vMerge w:val="restart"/>
                  <w:tcBorders>
                    <w:top w:val="single" w:color="auto" w:sz="2" w:space="0"/>
                    <w:left w:val="single" w:color="auto" w:sz="4" w:space="0"/>
                    <w:right w:val="single" w:color="auto" w:sz="2" w:space="0"/>
                  </w:tcBorders>
                  <w:vAlign w:val="center"/>
                </w:tcPr>
                <w:p w14:paraId="30EA7DC4">
                  <w:pPr>
                    <w:jc w:val="center"/>
                    <w:rPr>
                      <w:color w:val="auto"/>
                    </w:rPr>
                  </w:pPr>
                  <w:r>
                    <w:rPr>
                      <w:rFonts w:hint="eastAsia"/>
                      <w:color w:val="auto"/>
                    </w:rPr>
                    <w:t>非甲烷总烃</w:t>
                  </w:r>
                </w:p>
              </w:tc>
              <w:tc>
                <w:tcPr>
                  <w:tcW w:w="737" w:type="dxa"/>
                  <w:tcBorders>
                    <w:top w:val="single" w:color="auto" w:sz="2" w:space="0"/>
                    <w:left w:val="single" w:color="auto" w:sz="2" w:space="0"/>
                    <w:bottom w:val="single" w:color="auto" w:sz="2" w:space="0"/>
                    <w:right w:val="single" w:color="auto" w:sz="2" w:space="0"/>
                  </w:tcBorders>
                  <w:vAlign w:val="center"/>
                </w:tcPr>
                <w:p w14:paraId="565D8414">
                  <w:pPr>
                    <w:jc w:val="center"/>
                    <w:rPr>
                      <w:rFonts w:hint="default" w:eastAsia="宋体"/>
                      <w:color w:val="auto"/>
                      <w:lang w:val="en-US" w:eastAsia="zh-CN"/>
                    </w:rPr>
                  </w:pPr>
                  <w:r>
                    <w:rPr>
                      <w:rFonts w:hint="eastAsia"/>
                      <w:color w:val="auto"/>
                      <w:lang w:val="en-US" w:eastAsia="zh-CN"/>
                    </w:rPr>
                    <w:t>0.0279</w:t>
                  </w:r>
                </w:p>
              </w:tc>
              <w:tc>
                <w:tcPr>
                  <w:tcW w:w="724" w:type="dxa"/>
                  <w:tcBorders>
                    <w:top w:val="single" w:color="auto" w:sz="2" w:space="0"/>
                    <w:left w:val="single" w:color="auto" w:sz="2" w:space="0"/>
                    <w:bottom w:val="single" w:color="auto" w:sz="2" w:space="0"/>
                    <w:right w:val="single" w:color="auto" w:sz="2" w:space="0"/>
                  </w:tcBorders>
                  <w:vAlign w:val="center"/>
                </w:tcPr>
                <w:p w14:paraId="7A10789D">
                  <w:pPr>
                    <w:jc w:val="center"/>
                    <w:rPr>
                      <w:color w:val="auto"/>
                    </w:rPr>
                  </w:pPr>
                  <w:r>
                    <w:rPr>
                      <w:rFonts w:hint="eastAsia"/>
                      <w:color w:val="auto"/>
                    </w:rPr>
                    <w:t>1.4</w:t>
                  </w:r>
                </w:p>
              </w:tc>
              <w:tc>
                <w:tcPr>
                  <w:tcW w:w="714" w:type="dxa"/>
                  <w:tcBorders>
                    <w:top w:val="single" w:color="auto" w:sz="2" w:space="0"/>
                    <w:left w:val="single" w:color="auto" w:sz="2" w:space="0"/>
                    <w:bottom w:val="single" w:color="auto" w:sz="2" w:space="0"/>
                    <w:right w:val="single" w:color="auto" w:sz="2" w:space="0"/>
                  </w:tcBorders>
                  <w:vAlign w:val="center"/>
                </w:tcPr>
                <w:p w14:paraId="5141138F">
                  <w:pPr>
                    <w:jc w:val="center"/>
                    <w:rPr>
                      <w:color w:val="auto"/>
                    </w:rPr>
                  </w:pPr>
                  <w:r>
                    <w:rPr>
                      <w:rFonts w:hint="eastAsia"/>
                      <w:color w:val="auto"/>
                    </w:rPr>
                    <w:t>1.26</w:t>
                  </w:r>
                </w:p>
              </w:tc>
              <w:tc>
                <w:tcPr>
                  <w:tcW w:w="723" w:type="dxa"/>
                  <w:tcBorders>
                    <w:top w:val="single" w:color="auto" w:sz="2" w:space="0"/>
                    <w:left w:val="single" w:color="auto" w:sz="2" w:space="0"/>
                    <w:bottom w:val="single" w:color="auto" w:sz="2" w:space="0"/>
                    <w:right w:val="single" w:color="auto" w:sz="2" w:space="0"/>
                  </w:tcBorders>
                  <w:vAlign w:val="center"/>
                </w:tcPr>
                <w:p w14:paraId="747B0BF1">
                  <w:pPr>
                    <w:jc w:val="center"/>
                    <w:rPr>
                      <w:color w:val="auto"/>
                    </w:rPr>
                  </w:pPr>
                  <w:r>
                    <w:rPr>
                      <w:rFonts w:hint="eastAsia"/>
                      <w:color w:val="auto"/>
                    </w:rPr>
                    <w:t>0.14</w:t>
                  </w:r>
                </w:p>
              </w:tc>
              <w:tc>
                <w:tcPr>
                  <w:tcW w:w="1012" w:type="dxa"/>
                  <w:tcBorders>
                    <w:top w:val="single" w:color="auto" w:sz="2" w:space="0"/>
                    <w:left w:val="single" w:color="auto" w:sz="2" w:space="0"/>
                    <w:bottom w:val="single" w:color="auto" w:sz="2" w:space="0"/>
                    <w:right w:val="single" w:color="auto" w:sz="2" w:space="0"/>
                  </w:tcBorders>
                  <w:vAlign w:val="center"/>
                </w:tcPr>
                <w:p w14:paraId="0DC6EC7C">
                  <w:pPr>
                    <w:jc w:val="center"/>
                    <w:rPr>
                      <w:color w:val="auto"/>
                    </w:rPr>
                  </w:pPr>
                  <w:r>
                    <w:rPr>
                      <w:rFonts w:hint="eastAsia"/>
                      <w:color w:val="auto"/>
                      <w:lang w:val="en-US" w:eastAsia="zh-CN"/>
                    </w:rPr>
                    <w:t>0.0279</w:t>
                  </w:r>
                </w:p>
              </w:tc>
              <w:tc>
                <w:tcPr>
                  <w:tcW w:w="1300" w:type="dxa"/>
                  <w:tcBorders>
                    <w:top w:val="single" w:color="auto" w:sz="2" w:space="0"/>
                    <w:left w:val="single" w:color="auto" w:sz="2" w:space="0"/>
                    <w:bottom w:val="single" w:color="auto" w:sz="2" w:space="0"/>
                    <w:right w:val="single" w:color="auto" w:sz="2" w:space="0"/>
                  </w:tcBorders>
                  <w:vAlign w:val="center"/>
                </w:tcPr>
                <w:p w14:paraId="261435E4">
                  <w:pPr>
                    <w:jc w:val="center"/>
                    <w:rPr>
                      <w:color w:val="auto"/>
                    </w:rPr>
                  </w:pPr>
                  <w:r>
                    <w:rPr>
                      <w:rFonts w:hint="eastAsia"/>
                      <w:color w:val="auto"/>
                    </w:rPr>
                    <w:t>0.14</w:t>
                  </w:r>
                </w:p>
              </w:tc>
              <w:tc>
                <w:tcPr>
                  <w:tcW w:w="986" w:type="dxa"/>
                  <w:tcBorders>
                    <w:top w:val="single" w:color="auto" w:sz="2" w:space="0"/>
                    <w:left w:val="single" w:color="auto" w:sz="2" w:space="0"/>
                    <w:bottom w:val="single" w:color="auto" w:sz="2" w:space="0"/>
                    <w:right w:val="single" w:color="auto" w:sz="2" w:space="0"/>
                  </w:tcBorders>
                  <w:vAlign w:val="center"/>
                </w:tcPr>
                <w:p w14:paraId="32168A06">
                  <w:pPr>
                    <w:jc w:val="center"/>
                    <w:rPr>
                      <w:rFonts w:hint="default" w:eastAsia="宋体"/>
                      <w:color w:val="auto"/>
                      <w:lang w:val="en-US" w:eastAsia="zh-CN"/>
                    </w:rPr>
                  </w:pPr>
                  <w:r>
                    <w:rPr>
                      <w:rFonts w:hint="eastAsia"/>
                      <w:color w:val="auto"/>
                    </w:rPr>
                    <w:t>+0.</w:t>
                  </w:r>
                  <w:r>
                    <w:rPr>
                      <w:rFonts w:hint="eastAsia"/>
                      <w:color w:val="auto"/>
                      <w:lang w:val="en-US" w:eastAsia="zh-CN"/>
                    </w:rPr>
                    <w:t>1121</w:t>
                  </w:r>
                </w:p>
              </w:tc>
              <w:tc>
                <w:tcPr>
                  <w:tcW w:w="986" w:type="dxa"/>
                  <w:tcBorders>
                    <w:top w:val="single" w:color="auto" w:sz="2" w:space="0"/>
                    <w:left w:val="single" w:color="auto" w:sz="2" w:space="0"/>
                    <w:bottom w:val="single" w:color="auto" w:sz="2" w:space="0"/>
                    <w:right w:val="single" w:color="auto" w:sz="2" w:space="0"/>
                  </w:tcBorders>
                  <w:vAlign w:val="center"/>
                </w:tcPr>
                <w:p w14:paraId="2005F1A5">
                  <w:pPr>
                    <w:jc w:val="center"/>
                    <w:rPr>
                      <w:color w:val="auto"/>
                    </w:rPr>
                  </w:pPr>
                  <w:r>
                    <w:rPr>
                      <w:rFonts w:hint="eastAsia"/>
                      <w:color w:val="auto"/>
                    </w:rPr>
                    <w:t>0.14</w:t>
                  </w:r>
                </w:p>
              </w:tc>
            </w:tr>
            <w:tr w14:paraId="2086F6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2" w:hRule="atLeast"/>
                <w:jc w:val="center"/>
              </w:trPr>
              <w:tc>
                <w:tcPr>
                  <w:tcW w:w="519" w:type="dxa"/>
                  <w:vMerge w:val="continue"/>
                  <w:tcBorders>
                    <w:left w:val="single" w:color="auto" w:sz="2" w:space="0"/>
                    <w:right w:val="single" w:color="auto" w:sz="2" w:space="0"/>
                  </w:tcBorders>
                  <w:vAlign w:val="center"/>
                </w:tcPr>
                <w:p w14:paraId="715F8291">
                  <w:pPr>
                    <w:widowControl/>
                    <w:jc w:val="center"/>
                    <w:rPr>
                      <w:color w:val="auto"/>
                    </w:rPr>
                  </w:pPr>
                </w:p>
              </w:tc>
              <w:tc>
                <w:tcPr>
                  <w:tcW w:w="490" w:type="dxa"/>
                  <w:tcBorders>
                    <w:top w:val="single" w:color="auto" w:sz="2" w:space="0"/>
                    <w:left w:val="single" w:color="auto" w:sz="2" w:space="0"/>
                    <w:right w:val="single" w:color="auto" w:sz="4" w:space="0"/>
                  </w:tcBorders>
                  <w:vAlign w:val="center"/>
                </w:tcPr>
                <w:p w14:paraId="5912C0C8">
                  <w:pPr>
                    <w:jc w:val="center"/>
                    <w:rPr>
                      <w:color w:val="auto"/>
                    </w:rPr>
                  </w:pPr>
                  <w:r>
                    <w:rPr>
                      <w:rFonts w:hint="eastAsia"/>
                      <w:color w:val="auto"/>
                    </w:rPr>
                    <w:t>无组织</w:t>
                  </w:r>
                </w:p>
              </w:tc>
              <w:tc>
                <w:tcPr>
                  <w:tcW w:w="880" w:type="dxa"/>
                  <w:vMerge w:val="continue"/>
                  <w:tcBorders>
                    <w:left w:val="single" w:color="auto" w:sz="4" w:space="0"/>
                    <w:right w:val="single" w:color="auto" w:sz="2" w:space="0"/>
                  </w:tcBorders>
                  <w:vAlign w:val="center"/>
                </w:tcPr>
                <w:p w14:paraId="07FB4C4F">
                  <w:pPr>
                    <w:jc w:val="center"/>
                    <w:rPr>
                      <w:color w:val="auto"/>
                    </w:rPr>
                  </w:pPr>
                </w:p>
              </w:tc>
              <w:tc>
                <w:tcPr>
                  <w:tcW w:w="737" w:type="dxa"/>
                  <w:tcBorders>
                    <w:top w:val="single" w:color="auto" w:sz="2" w:space="0"/>
                    <w:left w:val="single" w:color="auto" w:sz="2" w:space="0"/>
                    <w:bottom w:val="single" w:color="auto" w:sz="2" w:space="0"/>
                    <w:right w:val="single" w:color="auto" w:sz="2" w:space="0"/>
                  </w:tcBorders>
                  <w:vAlign w:val="center"/>
                </w:tcPr>
                <w:p w14:paraId="1F4F958C">
                  <w:pPr>
                    <w:jc w:val="center"/>
                    <w:rPr>
                      <w:color w:val="auto"/>
                    </w:rPr>
                  </w:pPr>
                  <w:r>
                    <w:rPr>
                      <w:rFonts w:hint="eastAsia"/>
                      <w:color w:val="auto"/>
                    </w:rPr>
                    <w:t>0</w:t>
                  </w:r>
                </w:p>
              </w:tc>
              <w:tc>
                <w:tcPr>
                  <w:tcW w:w="724" w:type="dxa"/>
                  <w:tcBorders>
                    <w:top w:val="single" w:color="auto" w:sz="2" w:space="0"/>
                    <w:left w:val="single" w:color="auto" w:sz="2" w:space="0"/>
                    <w:bottom w:val="single" w:color="auto" w:sz="2" w:space="0"/>
                    <w:right w:val="single" w:color="auto" w:sz="2" w:space="0"/>
                  </w:tcBorders>
                  <w:vAlign w:val="center"/>
                </w:tcPr>
                <w:p w14:paraId="21BC0817">
                  <w:pPr>
                    <w:jc w:val="center"/>
                    <w:rPr>
                      <w:color w:val="auto"/>
                    </w:rPr>
                  </w:pPr>
                  <w:r>
                    <w:rPr>
                      <w:rFonts w:hint="eastAsia"/>
                      <w:color w:val="auto"/>
                    </w:rPr>
                    <w:t>0.15</w:t>
                  </w:r>
                </w:p>
              </w:tc>
              <w:tc>
                <w:tcPr>
                  <w:tcW w:w="714" w:type="dxa"/>
                  <w:tcBorders>
                    <w:top w:val="single" w:color="auto" w:sz="2" w:space="0"/>
                    <w:left w:val="single" w:color="auto" w:sz="2" w:space="0"/>
                    <w:bottom w:val="single" w:color="auto" w:sz="2" w:space="0"/>
                    <w:right w:val="single" w:color="auto" w:sz="2" w:space="0"/>
                  </w:tcBorders>
                  <w:vAlign w:val="center"/>
                </w:tcPr>
                <w:p w14:paraId="159388A7">
                  <w:pPr>
                    <w:jc w:val="center"/>
                    <w:rPr>
                      <w:color w:val="auto"/>
                    </w:rPr>
                  </w:pPr>
                  <w:r>
                    <w:rPr>
                      <w:rFonts w:hint="eastAsia"/>
                      <w:color w:val="auto"/>
                    </w:rPr>
                    <w:t>0</w:t>
                  </w:r>
                </w:p>
              </w:tc>
              <w:tc>
                <w:tcPr>
                  <w:tcW w:w="723" w:type="dxa"/>
                  <w:tcBorders>
                    <w:top w:val="single" w:color="auto" w:sz="2" w:space="0"/>
                    <w:left w:val="single" w:color="auto" w:sz="2" w:space="0"/>
                    <w:bottom w:val="single" w:color="auto" w:sz="2" w:space="0"/>
                    <w:right w:val="single" w:color="auto" w:sz="2" w:space="0"/>
                  </w:tcBorders>
                  <w:vAlign w:val="center"/>
                </w:tcPr>
                <w:p w14:paraId="6A87B23F">
                  <w:pPr>
                    <w:jc w:val="center"/>
                    <w:rPr>
                      <w:color w:val="auto"/>
                    </w:rPr>
                  </w:pPr>
                  <w:r>
                    <w:rPr>
                      <w:rFonts w:hint="eastAsia"/>
                      <w:color w:val="auto"/>
                    </w:rPr>
                    <w:t>0.15</w:t>
                  </w:r>
                </w:p>
              </w:tc>
              <w:tc>
                <w:tcPr>
                  <w:tcW w:w="1012" w:type="dxa"/>
                  <w:tcBorders>
                    <w:top w:val="single" w:color="auto" w:sz="2" w:space="0"/>
                    <w:left w:val="single" w:color="auto" w:sz="2" w:space="0"/>
                    <w:bottom w:val="single" w:color="auto" w:sz="2" w:space="0"/>
                    <w:right w:val="single" w:color="auto" w:sz="2" w:space="0"/>
                  </w:tcBorders>
                  <w:vAlign w:val="center"/>
                </w:tcPr>
                <w:p w14:paraId="21EF7DFC">
                  <w:pPr>
                    <w:jc w:val="center"/>
                    <w:rPr>
                      <w:color w:val="auto"/>
                    </w:rPr>
                  </w:pPr>
                  <w:r>
                    <w:rPr>
                      <w:rFonts w:hint="eastAsia"/>
                      <w:color w:val="auto"/>
                    </w:rPr>
                    <w:t>0</w:t>
                  </w:r>
                </w:p>
              </w:tc>
              <w:tc>
                <w:tcPr>
                  <w:tcW w:w="1300" w:type="dxa"/>
                  <w:tcBorders>
                    <w:top w:val="single" w:color="auto" w:sz="2" w:space="0"/>
                    <w:left w:val="single" w:color="auto" w:sz="2" w:space="0"/>
                    <w:bottom w:val="single" w:color="auto" w:sz="2" w:space="0"/>
                    <w:right w:val="single" w:color="auto" w:sz="2" w:space="0"/>
                  </w:tcBorders>
                  <w:vAlign w:val="center"/>
                </w:tcPr>
                <w:p w14:paraId="55D4F784">
                  <w:pPr>
                    <w:jc w:val="center"/>
                    <w:rPr>
                      <w:color w:val="auto"/>
                    </w:rPr>
                  </w:pPr>
                  <w:r>
                    <w:rPr>
                      <w:rFonts w:hint="eastAsia"/>
                      <w:color w:val="auto"/>
                    </w:rPr>
                    <w:t>0.15</w:t>
                  </w:r>
                </w:p>
              </w:tc>
              <w:tc>
                <w:tcPr>
                  <w:tcW w:w="986" w:type="dxa"/>
                  <w:tcBorders>
                    <w:top w:val="single" w:color="auto" w:sz="2" w:space="0"/>
                    <w:left w:val="single" w:color="auto" w:sz="2" w:space="0"/>
                    <w:bottom w:val="single" w:color="auto" w:sz="2" w:space="0"/>
                    <w:right w:val="single" w:color="auto" w:sz="2" w:space="0"/>
                  </w:tcBorders>
                  <w:vAlign w:val="center"/>
                </w:tcPr>
                <w:p w14:paraId="0A4AE47E">
                  <w:pPr>
                    <w:jc w:val="center"/>
                    <w:rPr>
                      <w:color w:val="auto"/>
                    </w:rPr>
                  </w:pPr>
                  <w:r>
                    <w:rPr>
                      <w:rFonts w:hint="eastAsia"/>
                      <w:color w:val="auto"/>
                    </w:rPr>
                    <w:t>+0.15</w:t>
                  </w:r>
                </w:p>
              </w:tc>
              <w:tc>
                <w:tcPr>
                  <w:tcW w:w="986" w:type="dxa"/>
                  <w:tcBorders>
                    <w:top w:val="single" w:color="auto" w:sz="2" w:space="0"/>
                    <w:left w:val="single" w:color="auto" w:sz="2" w:space="0"/>
                    <w:bottom w:val="single" w:color="auto" w:sz="2" w:space="0"/>
                    <w:right w:val="single" w:color="auto" w:sz="2" w:space="0"/>
                  </w:tcBorders>
                  <w:vAlign w:val="center"/>
                </w:tcPr>
                <w:p w14:paraId="3687A031">
                  <w:pPr>
                    <w:jc w:val="center"/>
                    <w:rPr>
                      <w:color w:val="auto"/>
                    </w:rPr>
                  </w:pPr>
                  <w:r>
                    <w:rPr>
                      <w:rFonts w:hint="eastAsia"/>
                      <w:color w:val="auto"/>
                    </w:rPr>
                    <w:t>0.15</w:t>
                  </w:r>
                </w:p>
              </w:tc>
            </w:tr>
            <w:tr w14:paraId="52FF06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2" w:hRule="atLeast"/>
                <w:jc w:val="center"/>
              </w:trPr>
              <w:tc>
                <w:tcPr>
                  <w:tcW w:w="519" w:type="dxa"/>
                  <w:vMerge w:val="continue"/>
                  <w:tcBorders>
                    <w:left w:val="single" w:color="auto" w:sz="2" w:space="0"/>
                    <w:right w:val="single" w:color="auto" w:sz="2" w:space="0"/>
                  </w:tcBorders>
                  <w:vAlign w:val="center"/>
                </w:tcPr>
                <w:p w14:paraId="16377FA2">
                  <w:pPr>
                    <w:widowControl/>
                    <w:jc w:val="center"/>
                    <w:rPr>
                      <w:color w:val="auto"/>
                    </w:rPr>
                  </w:pPr>
                </w:p>
              </w:tc>
              <w:tc>
                <w:tcPr>
                  <w:tcW w:w="490" w:type="dxa"/>
                  <w:tcBorders>
                    <w:top w:val="single" w:color="auto" w:sz="2" w:space="0"/>
                    <w:left w:val="single" w:color="auto" w:sz="2" w:space="0"/>
                    <w:right w:val="single" w:color="auto" w:sz="4" w:space="0"/>
                  </w:tcBorders>
                  <w:vAlign w:val="center"/>
                </w:tcPr>
                <w:p w14:paraId="31D002DF">
                  <w:pPr>
                    <w:jc w:val="center"/>
                    <w:rPr>
                      <w:color w:val="auto"/>
                    </w:rPr>
                  </w:pPr>
                  <w:r>
                    <w:rPr>
                      <w:rFonts w:hint="eastAsia"/>
                      <w:color w:val="auto"/>
                    </w:rPr>
                    <w:t>有组织</w:t>
                  </w:r>
                </w:p>
              </w:tc>
              <w:tc>
                <w:tcPr>
                  <w:tcW w:w="880" w:type="dxa"/>
                  <w:vMerge w:val="restart"/>
                  <w:tcBorders>
                    <w:left w:val="single" w:color="auto" w:sz="4" w:space="0"/>
                    <w:right w:val="single" w:color="auto" w:sz="2" w:space="0"/>
                  </w:tcBorders>
                  <w:vAlign w:val="center"/>
                </w:tcPr>
                <w:p w14:paraId="109583C9">
                  <w:pPr>
                    <w:jc w:val="center"/>
                    <w:rPr>
                      <w:color w:val="auto"/>
                    </w:rPr>
                  </w:pPr>
                  <w:r>
                    <w:rPr>
                      <w:rFonts w:hint="eastAsia"/>
                      <w:color w:val="auto"/>
                    </w:rPr>
                    <w:t>颗粒物</w:t>
                  </w:r>
                </w:p>
              </w:tc>
              <w:tc>
                <w:tcPr>
                  <w:tcW w:w="737" w:type="dxa"/>
                  <w:tcBorders>
                    <w:top w:val="single" w:color="auto" w:sz="2" w:space="0"/>
                    <w:left w:val="single" w:color="auto" w:sz="2" w:space="0"/>
                    <w:bottom w:val="single" w:color="auto" w:sz="2" w:space="0"/>
                    <w:right w:val="single" w:color="auto" w:sz="2" w:space="0"/>
                  </w:tcBorders>
                  <w:vAlign w:val="center"/>
                </w:tcPr>
                <w:p w14:paraId="666858AC">
                  <w:pPr>
                    <w:jc w:val="center"/>
                    <w:rPr>
                      <w:rFonts w:hint="default" w:eastAsia="宋体"/>
                      <w:color w:val="auto"/>
                      <w:lang w:val="en-US" w:eastAsia="zh-CN"/>
                    </w:rPr>
                  </w:pPr>
                  <w:r>
                    <w:rPr>
                      <w:rFonts w:hint="eastAsia"/>
                      <w:color w:val="auto"/>
                      <w:lang w:val="en-US" w:eastAsia="zh-CN"/>
                    </w:rPr>
                    <w:t>0.015</w:t>
                  </w:r>
                </w:p>
              </w:tc>
              <w:tc>
                <w:tcPr>
                  <w:tcW w:w="724" w:type="dxa"/>
                  <w:tcBorders>
                    <w:top w:val="single" w:color="auto" w:sz="2" w:space="0"/>
                    <w:left w:val="single" w:color="auto" w:sz="2" w:space="0"/>
                    <w:bottom w:val="single" w:color="auto" w:sz="2" w:space="0"/>
                    <w:right w:val="single" w:color="auto" w:sz="2" w:space="0"/>
                  </w:tcBorders>
                  <w:vAlign w:val="center"/>
                </w:tcPr>
                <w:p w14:paraId="2A1AE3FA">
                  <w:pPr>
                    <w:jc w:val="center"/>
                    <w:rPr>
                      <w:color w:val="auto"/>
                    </w:rPr>
                  </w:pPr>
                  <w:r>
                    <w:rPr>
                      <w:rFonts w:hint="eastAsia"/>
                      <w:color w:val="auto"/>
                    </w:rPr>
                    <w:t>0.0</w:t>
                  </w:r>
                  <w:r>
                    <w:rPr>
                      <w:rFonts w:hint="eastAsia"/>
                      <w:color w:val="auto"/>
                      <w:lang w:val="en-US" w:eastAsia="zh-CN"/>
                    </w:rPr>
                    <w:t>2</w:t>
                  </w:r>
                  <w:r>
                    <w:rPr>
                      <w:rFonts w:hint="eastAsia"/>
                      <w:color w:val="auto"/>
                    </w:rPr>
                    <w:t>8</w:t>
                  </w:r>
                </w:p>
              </w:tc>
              <w:tc>
                <w:tcPr>
                  <w:tcW w:w="714" w:type="dxa"/>
                  <w:tcBorders>
                    <w:top w:val="single" w:color="auto" w:sz="2" w:space="0"/>
                    <w:left w:val="single" w:color="auto" w:sz="2" w:space="0"/>
                    <w:bottom w:val="single" w:color="auto" w:sz="2" w:space="0"/>
                    <w:right w:val="single" w:color="auto" w:sz="2" w:space="0"/>
                  </w:tcBorders>
                  <w:vAlign w:val="center"/>
                </w:tcPr>
                <w:p w14:paraId="4C6DEA01">
                  <w:pPr>
                    <w:jc w:val="center"/>
                    <w:rPr>
                      <w:rFonts w:hint="default" w:eastAsia="宋体"/>
                      <w:color w:val="auto"/>
                      <w:lang w:val="en-US" w:eastAsia="zh-CN"/>
                    </w:rPr>
                  </w:pPr>
                  <w:r>
                    <w:rPr>
                      <w:rFonts w:hint="eastAsia"/>
                      <w:color w:val="auto"/>
                    </w:rPr>
                    <w:t>0.0</w:t>
                  </w:r>
                  <w:r>
                    <w:rPr>
                      <w:rFonts w:hint="eastAsia"/>
                      <w:color w:val="auto"/>
                      <w:lang w:val="en-US" w:eastAsia="zh-CN"/>
                    </w:rPr>
                    <w:t>21</w:t>
                  </w:r>
                </w:p>
              </w:tc>
              <w:tc>
                <w:tcPr>
                  <w:tcW w:w="723" w:type="dxa"/>
                  <w:tcBorders>
                    <w:top w:val="single" w:color="auto" w:sz="2" w:space="0"/>
                    <w:left w:val="single" w:color="auto" w:sz="2" w:space="0"/>
                    <w:bottom w:val="single" w:color="auto" w:sz="2" w:space="0"/>
                    <w:right w:val="single" w:color="auto" w:sz="2" w:space="0"/>
                  </w:tcBorders>
                  <w:vAlign w:val="center"/>
                </w:tcPr>
                <w:p w14:paraId="3531A5DB">
                  <w:pPr>
                    <w:jc w:val="center"/>
                    <w:rPr>
                      <w:rFonts w:hint="default" w:eastAsia="宋体"/>
                      <w:color w:val="auto"/>
                      <w:lang w:val="en-US" w:eastAsia="zh-CN"/>
                    </w:rPr>
                  </w:pPr>
                  <w:r>
                    <w:rPr>
                      <w:rFonts w:hint="eastAsia"/>
                      <w:color w:val="auto"/>
                    </w:rPr>
                    <w:t>0.0</w:t>
                  </w:r>
                  <w:r>
                    <w:rPr>
                      <w:rFonts w:hint="eastAsia"/>
                      <w:color w:val="auto"/>
                      <w:lang w:val="en-US" w:eastAsia="zh-CN"/>
                    </w:rPr>
                    <w:t>07</w:t>
                  </w:r>
                </w:p>
              </w:tc>
              <w:tc>
                <w:tcPr>
                  <w:tcW w:w="1012" w:type="dxa"/>
                  <w:tcBorders>
                    <w:top w:val="single" w:color="auto" w:sz="2" w:space="0"/>
                    <w:left w:val="single" w:color="auto" w:sz="2" w:space="0"/>
                    <w:bottom w:val="single" w:color="auto" w:sz="2" w:space="0"/>
                    <w:right w:val="single" w:color="auto" w:sz="2" w:space="0"/>
                  </w:tcBorders>
                  <w:vAlign w:val="center"/>
                </w:tcPr>
                <w:p w14:paraId="37C95AB5">
                  <w:pPr>
                    <w:jc w:val="center"/>
                    <w:rPr>
                      <w:color w:val="auto"/>
                    </w:rPr>
                  </w:pPr>
                  <w:r>
                    <w:rPr>
                      <w:rFonts w:hint="eastAsia"/>
                      <w:color w:val="auto"/>
                      <w:lang w:val="en-US" w:eastAsia="zh-CN"/>
                    </w:rPr>
                    <w:t>0.015</w:t>
                  </w:r>
                </w:p>
              </w:tc>
              <w:tc>
                <w:tcPr>
                  <w:tcW w:w="1300" w:type="dxa"/>
                  <w:tcBorders>
                    <w:top w:val="single" w:color="auto" w:sz="2" w:space="0"/>
                    <w:left w:val="single" w:color="auto" w:sz="2" w:space="0"/>
                    <w:bottom w:val="single" w:color="auto" w:sz="2" w:space="0"/>
                    <w:right w:val="single" w:color="auto" w:sz="2" w:space="0"/>
                  </w:tcBorders>
                  <w:vAlign w:val="center"/>
                </w:tcPr>
                <w:p w14:paraId="18B1E29E">
                  <w:pPr>
                    <w:jc w:val="center"/>
                    <w:rPr>
                      <w:rFonts w:hint="eastAsia" w:eastAsia="宋体"/>
                      <w:color w:val="auto"/>
                      <w:lang w:eastAsia="zh-CN"/>
                    </w:rPr>
                  </w:pPr>
                  <w:r>
                    <w:rPr>
                      <w:rFonts w:hint="eastAsia"/>
                      <w:color w:val="auto"/>
                    </w:rPr>
                    <w:t>0.00</w:t>
                  </w:r>
                  <w:r>
                    <w:rPr>
                      <w:rFonts w:hint="eastAsia"/>
                      <w:color w:val="auto"/>
                      <w:lang w:val="en-US" w:eastAsia="zh-CN"/>
                    </w:rPr>
                    <w:t>7</w:t>
                  </w:r>
                </w:p>
              </w:tc>
              <w:tc>
                <w:tcPr>
                  <w:tcW w:w="986" w:type="dxa"/>
                  <w:tcBorders>
                    <w:top w:val="single" w:color="auto" w:sz="2" w:space="0"/>
                    <w:left w:val="single" w:color="auto" w:sz="2" w:space="0"/>
                    <w:bottom w:val="single" w:color="auto" w:sz="2" w:space="0"/>
                    <w:right w:val="single" w:color="auto" w:sz="2" w:space="0"/>
                  </w:tcBorders>
                  <w:vAlign w:val="center"/>
                </w:tcPr>
                <w:p w14:paraId="56DE12BF">
                  <w:pPr>
                    <w:jc w:val="center"/>
                    <w:rPr>
                      <w:rFonts w:hint="eastAsia" w:eastAsia="宋体"/>
                      <w:color w:val="auto"/>
                      <w:lang w:eastAsia="zh-CN"/>
                    </w:rPr>
                  </w:pPr>
                  <w:r>
                    <w:rPr>
                      <w:rFonts w:hint="eastAsia"/>
                      <w:color w:val="auto"/>
                      <w:lang w:val="en-US" w:eastAsia="zh-CN"/>
                    </w:rPr>
                    <w:t>-</w:t>
                  </w:r>
                  <w:r>
                    <w:rPr>
                      <w:rFonts w:hint="eastAsia"/>
                      <w:color w:val="auto"/>
                    </w:rPr>
                    <w:t>0.0</w:t>
                  </w:r>
                  <w:r>
                    <w:rPr>
                      <w:rFonts w:hint="eastAsia"/>
                      <w:color w:val="auto"/>
                      <w:lang w:val="en-US" w:eastAsia="zh-CN"/>
                    </w:rPr>
                    <w:t>8</w:t>
                  </w:r>
                </w:p>
              </w:tc>
              <w:tc>
                <w:tcPr>
                  <w:tcW w:w="986" w:type="dxa"/>
                  <w:tcBorders>
                    <w:top w:val="single" w:color="auto" w:sz="2" w:space="0"/>
                    <w:left w:val="single" w:color="auto" w:sz="2" w:space="0"/>
                    <w:bottom w:val="single" w:color="auto" w:sz="2" w:space="0"/>
                    <w:right w:val="single" w:color="auto" w:sz="2" w:space="0"/>
                  </w:tcBorders>
                  <w:vAlign w:val="center"/>
                </w:tcPr>
                <w:p w14:paraId="61B08CCA">
                  <w:pPr>
                    <w:jc w:val="center"/>
                    <w:rPr>
                      <w:rFonts w:hint="eastAsia" w:eastAsia="宋体"/>
                      <w:color w:val="auto"/>
                      <w:lang w:eastAsia="zh-CN"/>
                    </w:rPr>
                  </w:pPr>
                  <w:r>
                    <w:rPr>
                      <w:rFonts w:hint="eastAsia"/>
                      <w:color w:val="auto"/>
                    </w:rPr>
                    <w:t>0.00</w:t>
                  </w:r>
                  <w:r>
                    <w:rPr>
                      <w:rFonts w:hint="eastAsia"/>
                      <w:color w:val="auto"/>
                      <w:lang w:val="en-US" w:eastAsia="zh-CN"/>
                    </w:rPr>
                    <w:t>7</w:t>
                  </w:r>
                </w:p>
              </w:tc>
            </w:tr>
            <w:tr w14:paraId="72BB78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2" w:hRule="atLeast"/>
                <w:jc w:val="center"/>
              </w:trPr>
              <w:tc>
                <w:tcPr>
                  <w:tcW w:w="519" w:type="dxa"/>
                  <w:vMerge w:val="continue"/>
                  <w:tcBorders>
                    <w:left w:val="single" w:color="auto" w:sz="2" w:space="0"/>
                    <w:right w:val="single" w:color="auto" w:sz="2" w:space="0"/>
                  </w:tcBorders>
                  <w:vAlign w:val="center"/>
                </w:tcPr>
                <w:p w14:paraId="78F4275B">
                  <w:pPr>
                    <w:widowControl/>
                    <w:jc w:val="center"/>
                    <w:rPr>
                      <w:color w:val="auto"/>
                    </w:rPr>
                  </w:pPr>
                </w:p>
              </w:tc>
              <w:tc>
                <w:tcPr>
                  <w:tcW w:w="490" w:type="dxa"/>
                  <w:tcBorders>
                    <w:top w:val="single" w:color="auto" w:sz="2" w:space="0"/>
                    <w:left w:val="single" w:color="auto" w:sz="2" w:space="0"/>
                    <w:right w:val="single" w:color="auto" w:sz="4" w:space="0"/>
                  </w:tcBorders>
                  <w:vAlign w:val="center"/>
                </w:tcPr>
                <w:p w14:paraId="45E15044">
                  <w:pPr>
                    <w:jc w:val="center"/>
                    <w:rPr>
                      <w:color w:val="auto"/>
                    </w:rPr>
                  </w:pPr>
                  <w:r>
                    <w:rPr>
                      <w:rFonts w:hint="eastAsia"/>
                      <w:color w:val="auto"/>
                    </w:rPr>
                    <w:t>无组织</w:t>
                  </w:r>
                </w:p>
              </w:tc>
              <w:tc>
                <w:tcPr>
                  <w:tcW w:w="880" w:type="dxa"/>
                  <w:vMerge w:val="continue"/>
                  <w:tcBorders>
                    <w:left w:val="single" w:color="auto" w:sz="4" w:space="0"/>
                    <w:right w:val="single" w:color="auto" w:sz="2" w:space="0"/>
                  </w:tcBorders>
                  <w:vAlign w:val="center"/>
                </w:tcPr>
                <w:p w14:paraId="3703070F">
                  <w:pPr>
                    <w:jc w:val="center"/>
                    <w:rPr>
                      <w:color w:val="auto"/>
                    </w:rPr>
                  </w:pPr>
                </w:p>
              </w:tc>
              <w:tc>
                <w:tcPr>
                  <w:tcW w:w="737" w:type="dxa"/>
                  <w:tcBorders>
                    <w:top w:val="single" w:color="auto" w:sz="2" w:space="0"/>
                    <w:left w:val="single" w:color="auto" w:sz="2" w:space="0"/>
                    <w:bottom w:val="single" w:color="auto" w:sz="2" w:space="0"/>
                    <w:right w:val="single" w:color="auto" w:sz="2" w:space="0"/>
                  </w:tcBorders>
                  <w:vAlign w:val="center"/>
                </w:tcPr>
                <w:p w14:paraId="76E47C36">
                  <w:pPr>
                    <w:jc w:val="center"/>
                    <w:rPr>
                      <w:color w:val="auto"/>
                    </w:rPr>
                  </w:pPr>
                  <w:r>
                    <w:rPr>
                      <w:rFonts w:hint="eastAsia"/>
                      <w:color w:val="auto"/>
                    </w:rPr>
                    <w:t>0</w:t>
                  </w:r>
                </w:p>
              </w:tc>
              <w:tc>
                <w:tcPr>
                  <w:tcW w:w="724" w:type="dxa"/>
                  <w:tcBorders>
                    <w:top w:val="single" w:color="auto" w:sz="2" w:space="0"/>
                    <w:left w:val="single" w:color="auto" w:sz="2" w:space="0"/>
                    <w:bottom w:val="single" w:color="auto" w:sz="2" w:space="0"/>
                    <w:right w:val="single" w:color="auto" w:sz="2" w:space="0"/>
                  </w:tcBorders>
                  <w:vAlign w:val="center"/>
                </w:tcPr>
                <w:p w14:paraId="73EF8310">
                  <w:pPr>
                    <w:jc w:val="center"/>
                    <w:rPr>
                      <w:rFonts w:hint="eastAsia" w:eastAsia="宋体"/>
                      <w:color w:val="auto"/>
                      <w:lang w:eastAsia="zh-CN"/>
                    </w:rPr>
                  </w:pPr>
                  <w:r>
                    <w:rPr>
                      <w:rFonts w:hint="eastAsia"/>
                      <w:color w:val="auto"/>
                    </w:rPr>
                    <w:t>0.00</w:t>
                  </w:r>
                  <w:r>
                    <w:rPr>
                      <w:rFonts w:hint="eastAsia"/>
                      <w:color w:val="auto"/>
                      <w:lang w:val="en-US" w:eastAsia="zh-CN"/>
                    </w:rPr>
                    <w:t>3</w:t>
                  </w:r>
                </w:p>
              </w:tc>
              <w:tc>
                <w:tcPr>
                  <w:tcW w:w="714" w:type="dxa"/>
                  <w:tcBorders>
                    <w:top w:val="single" w:color="auto" w:sz="2" w:space="0"/>
                    <w:left w:val="single" w:color="auto" w:sz="2" w:space="0"/>
                    <w:bottom w:val="single" w:color="auto" w:sz="2" w:space="0"/>
                    <w:right w:val="single" w:color="auto" w:sz="2" w:space="0"/>
                  </w:tcBorders>
                  <w:vAlign w:val="center"/>
                </w:tcPr>
                <w:p w14:paraId="1697E546">
                  <w:pPr>
                    <w:jc w:val="center"/>
                    <w:rPr>
                      <w:color w:val="auto"/>
                    </w:rPr>
                  </w:pPr>
                  <w:r>
                    <w:rPr>
                      <w:rFonts w:hint="eastAsia"/>
                      <w:color w:val="auto"/>
                    </w:rPr>
                    <w:t>0</w:t>
                  </w:r>
                </w:p>
              </w:tc>
              <w:tc>
                <w:tcPr>
                  <w:tcW w:w="723" w:type="dxa"/>
                  <w:tcBorders>
                    <w:top w:val="single" w:color="auto" w:sz="2" w:space="0"/>
                    <w:left w:val="single" w:color="auto" w:sz="2" w:space="0"/>
                    <w:bottom w:val="single" w:color="auto" w:sz="2" w:space="0"/>
                    <w:right w:val="single" w:color="auto" w:sz="2" w:space="0"/>
                  </w:tcBorders>
                  <w:vAlign w:val="center"/>
                </w:tcPr>
                <w:p w14:paraId="7A9734E9">
                  <w:pPr>
                    <w:jc w:val="center"/>
                    <w:rPr>
                      <w:rFonts w:hint="eastAsia" w:eastAsia="宋体"/>
                      <w:color w:val="auto"/>
                      <w:lang w:eastAsia="zh-CN"/>
                    </w:rPr>
                  </w:pPr>
                  <w:r>
                    <w:rPr>
                      <w:rFonts w:hint="eastAsia"/>
                      <w:color w:val="auto"/>
                    </w:rPr>
                    <w:t>0.00</w:t>
                  </w:r>
                  <w:r>
                    <w:rPr>
                      <w:rFonts w:hint="eastAsia"/>
                      <w:color w:val="auto"/>
                      <w:lang w:val="en-US" w:eastAsia="zh-CN"/>
                    </w:rPr>
                    <w:t>3</w:t>
                  </w:r>
                </w:p>
              </w:tc>
              <w:tc>
                <w:tcPr>
                  <w:tcW w:w="1012" w:type="dxa"/>
                  <w:tcBorders>
                    <w:top w:val="single" w:color="auto" w:sz="2" w:space="0"/>
                    <w:left w:val="single" w:color="auto" w:sz="2" w:space="0"/>
                    <w:bottom w:val="single" w:color="auto" w:sz="2" w:space="0"/>
                    <w:right w:val="single" w:color="auto" w:sz="2" w:space="0"/>
                  </w:tcBorders>
                  <w:vAlign w:val="center"/>
                </w:tcPr>
                <w:p w14:paraId="210152C0">
                  <w:pPr>
                    <w:jc w:val="center"/>
                    <w:rPr>
                      <w:color w:val="auto"/>
                    </w:rPr>
                  </w:pPr>
                  <w:r>
                    <w:rPr>
                      <w:rFonts w:hint="eastAsia"/>
                      <w:color w:val="auto"/>
                    </w:rPr>
                    <w:t>0</w:t>
                  </w:r>
                </w:p>
              </w:tc>
              <w:tc>
                <w:tcPr>
                  <w:tcW w:w="1300" w:type="dxa"/>
                  <w:tcBorders>
                    <w:top w:val="single" w:color="auto" w:sz="2" w:space="0"/>
                    <w:left w:val="single" w:color="auto" w:sz="2" w:space="0"/>
                    <w:bottom w:val="single" w:color="auto" w:sz="2" w:space="0"/>
                    <w:right w:val="single" w:color="auto" w:sz="2" w:space="0"/>
                  </w:tcBorders>
                  <w:vAlign w:val="center"/>
                </w:tcPr>
                <w:p w14:paraId="6686808E">
                  <w:pPr>
                    <w:jc w:val="center"/>
                    <w:rPr>
                      <w:rFonts w:hint="eastAsia" w:eastAsia="宋体"/>
                      <w:color w:val="auto"/>
                      <w:lang w:eastAsia="zh-CN"/>
                    </w:rPr>
                  </w:pPr>
                  <w:r>
                    <w:rPr>
                      <w:rFonts w:hint="eastAsia"/>
                      <w:color w:val="auto"/>
                    </w:rPr>
                    <w:t>0.00</w:t>
                  </w:r>
                  <w:r>
                    <w:rPr>
                      <w:rFonts w:hint="eastAsia"/>
                      <w:color w:val="auto"/>
                      <w:lang w:val="en-US" w:eastAsia="zh-CN"/>
                    </w:rPr>
                    <w:t>3</w:t>
                  </w:r>
                </w:p>
              </w:tc>
              <w:tc>
                <w:tcPr>
                  <w:tcW w:w="986" w:type="dxa"/>
                  <w:tcBorders>
                    <w:top w:val="single" w:color="auto" w:sz="2" w:space="0"/>
                    <w:left w:val="single" w:color="auto" w:sz="2" w:space="0"/>
                    <w:bottom w:val="single" w:color="auto" w:sz="2" w:space="0"/>
                    <w:right w:val="single" w:color="auto" w:sz="2" w:space="0"/>
                  </w:tcBorders>
                  <w:vAlign w:val="center"/>
                </w:tcPr>
                <w:p w14:paraId="34737718">
                  <w:pPr>
                    <w:jc w:val="center"/>
                    <w:rPr>
                      <w:rFonts w:hint="eastAsia" w:eastAsia="宋体"/>
                      <w:color w:val="auto"/>
                      <w:lang w:eastAsia="zh-CN"/>
                    </w:rPr>
                  </w:pPr>
                  <w:r>
                    <w:rPr>
                      <w:rFonts w:hint="eastAsia"/>
                      <w:color w:val="auto"/>
                    </w:rPr>
                    <w:t>+0.00</w:t>
                  </w:r>
                  <w:r>
                    <w:rPr>
                      <w:rFonts w:hint="eastAsia"/>
                      <w:color w:val="auto"/>
                      <w:lang w:val="en-US" w:eastAsia="zh-CN"/>
                    </w:rPr>
                    <w:t>3</w:t>
                  </w:r>
                </w:p>
              </w:tc>
              <w:tc>
                <w:tcPr>
                  <w:tcW w:w="986" w:type="dxa"/>
                  <w:tcBorders>
                    <w:top w:val="single" w:color="auto" w:sz="2" w:space="0"/>
                    <w:left w:val="single" w:color="auto" w:sz="2" w:space="0"/>
                    <w:bottom w:val="single" w:color="auto" w:sz="2" w:space="0"/>
                    <w:right w:val="single" w:color="auto" w:sz="2" w:space="0"/>
                  </w:tcBorders>
                  <w:vAlign w:val="center"/>
                </w:tcPr>
                <w:p w14:paraId="0C02F081">
                  <w:pPr>
                    <w:jc w:val="center"/>
                    <w:rPr>
                      <w:rFonts w:hint="eastAsia" w:eastAsia="宋体"/>
                      <w:color w:val="auto"/>
                      <w:lang w:eastAsia="zh-CN"/>
                    </w:rPr>
                  </w:pPr>
                  <w:r>
                    <w:rPr>
                      <w:rFonts w:hint="eastAsia"/>
                      <w:color w:val="auto"/>
                    </w:rPr>
                    <w:t>0.00</w:t>
                  </w:r>
                  <w:r>
                    <w:rPr>
                      <w:rFonts w:hint="eastAsia"/>
                      <w:color w:val="auto"/>
                      <w:lang w:val="en-US" w:eastAsia="zh-CN"/>
                    </w:rPr>
                    <w:t>3</w:t>
                  </w:r>
                </w:p>
              </w:tc>
            </w:tr>
            <w:tr w14:paraId="3DEDEC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27" w:hRule="atLeast"/>
                <w:jc w:val="center"/>
              </w:trPr>
              <w:tc>
                <w:tcPr>
                  <w:tcW w:w="519" w:type="dxa"/>
                  <w:vMerge w:val="continue"/>
                  <w:tcBorders>
                    <w:left w:val="single" w:color="auto" w:sz="2" w:space="0"/>
                    <w:right w:val="single" w:color="auto" w:sz="2" w:space="0"/>
                  </w:tcBorders>
                  <w:vAlign w:val="center"/>
                </w:tcPr>
                <w:p w14:paraId="3ED0373C">
                  <w:pPr>
                    <w:widowControl/>
                    <w:jc w:val="center"/>
                    <w:rPr>
                      <w:color w:val="auto"/>
                    </w:rPr>
                  </w:pPr>
                </w:p>
              </w:tc>
              <w:tc>
                <w:tcPr>
                  <w:tcW w:w="490" w:type="dxa"/>
                  <w:vMerge w:val="restart"/>
                  <w:tcBorders>
                    <w:top w:val="single" w:color="auto" w:sz="2" w:space="0"/>
                    <w:left w:val="single" w:color="auto" w:sz="2" w:space="0"/>
                    <w:right w:val="single" w:color="auto" w:sz="4" w:space="0"/>
                  </w:tcBorders>
                  <w:vAlign w:val="center"/>
                </w:tcPr>
                <w:p w14:paraId="3AC6AB79">
                  <w:pPr>
                    <w:jc w:val="center"/>
                    <w:rPr>
                      <w:color w:val="auto"/>
                    </w:rPr>
                  </w:pPr>
                  <w:r>
                    <w:rPr>
                      <w:rFonts w:hint="eastAsia"/>
                      <w:color w:val="auto"/>
                    </w:rPr>
                    <w:t>合计</w:t>
                  </w:r>
                </w:p>
              </w:tc>
              <w:tc>
                <w:tcPr>
                  <w:tcW w:w="880" w:type="dxa"/>
                  <w:tcBorders>
                    <w:left w:val="single" w:color="auto" w:sz="4" w:space="0"/>
                    <w:right w:val="single" w:color="auto" w:sz="2" w:space="0"/>
                  </w:tcBorders>
                  <w:vAlign w:val="center"/>
                </w:tcPr>
                <w:p w14:paraId="0E602E7C">
                  <w:pPr>
                    <w:jc w:val="center"/>
                    <w:rPr>
                      <w:color w:val="auto"/>
                    </w:rPr>
                  </w:pPr>
                  <w:r>
                    <w:rPr>
                      <w:rFonts w:hint="eastAsia"/>
                      <w:color w:val="auto"/>
                    </w:rPr>
                    <w:t>颗粒物</w:t>
                  </w:r>
                </w:p>
              </w:tc>
              <w:tc>
                <w:tcPr>
                  <w:tcW w:w="737" w:type="dxa"/>
                  <w:tcBorders>
                    <w:top w:val="single" w:color="auto" w:sz="2" w:space="0"/>
                    <w:left w:val="single" w:color="auto" w:sz="2" w:space="0"/>
                    <w:bottom w:val="single" w:color="auto" w:sz="2" w:space="0"/>
                    <w:right w:val="single" w:color="auto" w:sz="2" w:space="0"/>
                  </w:tcBorders>
                  <w:vAlign w:val="center"/>
                </w:tcPr>
                <w:p w14:paraId="014FEEB6">
                  <w:pPr>
                    <w:jc w:val="center"/>
                    <w:rPr>
                      <w:rFonts w:hint="default"/>
                      <w:color w:val="auto"/>
                      <w:lang w:val="en-US"/>
                    </w:rPr>
                  </w:pPr>
                  <w:r>
                    <w:rPr>
                      <w:rFonts w:hint="eastAsia"/>
                      <w:color w:val="auto"/>
                      <w:lang w:val="en-US" w:eastAsia="zh-CN"/>
                    </w:rPr>
                    <w:t>0.015</w:t>
                  </w:r>
                </w:p>
              </w:tc>
              <w:tc>
                <w:tcPr>
                  <w:tcW w:w="724" w:type="dxa"/>
                  <w:tcBorders>
                    <w:top w:val="single" w:color="auto" w:sz="2" w:space="0"/>
                    <w:left w:val="single" w:color="auto" w:sz="2" w:space="0"/>
                    <w:bottom w:val="single" w:color="auto" w:sz="2" w:space="0"/>
                    <w:right w:val="single" w:color="auto" w:sz="2" w:space="0"/>
                  </w:tcBorders>
                  <w:vAlign w:val="center"/>
                </w:tcPr>
                <w:p w14:paraId="2A70517B">
                  <w:pPr>
                    <w:jc w:val="center"/>
                    <w:rPr>
                      <w:rFonts w:hint="default" w:eastAsia="宋体"/>
                      <w:color w:val="auto"/>
                      <w:kern w:val="0"/>
                      <w:lang w:val="en-US" w:eastAsia="zh-CN" w:bidi="ar"/>
                    </w:rPr>
                  </w:pPr>
                  <w:r>
                    <w:rPr>
                      <w:rFonts w:hint="eastAsia"/>
                      <w:color w:val="auto"/>
                    </w:rPr>
                    <w:t>0.0</w:t>
                  </w:r>
                  <w:r>
                    <w:rPr>
                      <w:rFonts w:hint="eastAsia"/>
                      <w:color w:val="auto"/>
                      <w:lang w:val="en-US" w:eastAsia="zh-CN"/>
                    </w:rPr>
                    <w:t>31</w:t>
                  </w:r>
                </w:p>
              </w:tc>
              <w:tc>
                <w:tcPr>
                  <w:tcW w:w="714" w:type="dxa"/>
                  <w:tcBorders>
                    <w:top w:val="single" w:color="auto" w:sz="2" w:space="0"/>
                    <w:left w:val="single" w:color="auto" w:sz="2" w:space="0"/>
                    <w:bottom w:val="single" w:color="auto" w:sz="2" w:space="0"/>
                    <w:right w:val="single" w:color="auto" w:sz="2" w:space="0"/>
                  </w:tcBorders>
                  <w:vAlign w:val="center"/>
                </w:tcPr>
                <w:p w14:paraId="43AC1B89">
                  <w:pPr>
                    <w:jc w:val="center"/>
                    <w:rPr>
                      <w:rFonts w:hint="default" w:eastAsia="宋体"/>
                      <w:color w:val="auto"/>
                      <w:lang w:val="en-US" w:eastAsia="zh-CN"/>
                    </w:rPr>
                  </w:pPr>
                  <w:r>
                    <w:rPr>
                      <w:rFonts w:hint="eastAsia"/>
                      <w:color w:val="auto"/>
                    </w:rPr>
                    <w:t>0.0</w:t>
                  </w:r>
                  <w:r>
                    <w:rPr>
                      <w:rFonts w:hint="eastAsia"/>
                      <w:color w:val="auto"/>
                      <w:lang w:val="en-US" w:eastAsia="zh-CN"/>
                    </w:rPr>
                    <w:t>21</w:t>
                  </w:r>
                </w:p>
              </w:tc>
              <w:tc>
                <w:tcPr>
                  <w:tcW w:w="723" w:type="dxa"/>
                  <w:tcBorders>
                    <w:top w:val="single" w:color="auto" w:sz="2" w:space="0"/>
                    <w:left w:val="single" w:color="auto" w:sz="2" w:space="0"/>
                    <w:bottom w:val="single" w:color="auto" w:sz="2" w:space="0"/>
                    <w:right w:val="single" w:color="auto" w:sz="2" w:space="0"/>
                  </w:tcBorders>
                  <w:vAlign w:val="center"/>
                </w:tcPr>
                <w:p w14:paraId="6B94624F">
                  <w:pPr>
                    <w:jc w:val="center"/>
                    <w:rPr>
                      <w:rFonts w:hint="eastAsia" w:eastAsia="宋体"/>
                      <w:color w:val="auto"/>
                      <w:kern w:val="0"/>
                      <w:lang w:eastAsia="zh-CN" w:bidi="ar"/>
                    </w:rPr>
                  </w:pPr>
                  <w:r>
                    <w:rPr>
                      <w:rFonts w:hint="eastAsia"/>
                      <w:color w:val="auto"/>
                    </w:rPr>
                    <w:t>0.0</w:t>
                  </w:r>
                  <w:r>
                    <w:rPr>
                      <w:rFonts w:hint="eastAsia"/>
                      <w:color w:val="auto"/>
                      <w:lang w:val="en-US" w:eastAsia="zh-CN"/>
                    </w:rPr>
                    <w:t>1</w:t>
                  </w:r>
                </w:p>
              </w:tc>
              <w:tc>
                <w:tcPr>
                  <w:tcW w:w="1012" w:type="dxa"/>
                  <w:tcBorders>
                    <w:top w:val="single" w:color="auto" w:sz="2" w:space="0"/>
                    <w:left w:val="single" w:color="auto" w:sz="2" w:space="0"/>
                    <w:bottom w:val="single" w:color="auto" w:sz="2" w:space="0"/>
                    <w:right w:val="single" w:color="auto" w:sz="2" w:space="0"/>
                  </w:tcBorders>
                  <w:vAlign w:val="center"/>
                </w:tcPr>
                <w:p w14:paraId="64CD8F34">
                  <w:pPr>
                    <w:jc w:val="center"/>
                    <w:rPr>
                      <w:color w:val="auto"/>
                      <w:kern w:val="0"/>
                      <w:lang w:bidi="ar"/>
                    </w:rPr>
                  </w:pPr>
                  <w:r>
                    <w:rPr>
                      <w:rFonts w:hint="eastAsia"/>
                      <w:color w:val="auto"/>
                      <w:lang w:val="en-US" w:eastAsia="zh-CN"/>
                    </w:rPr>
                    <w:t>0.015</w:t>
                  </w:r>
                </w:p>
              </w:tc>
              <w:tc>
                <w:tcPr>
                  <w:tcW w:w="1300" w:type="dxa"/>
                  <w:tcBorders>
                    <w:top w:val="single" w:color="auto" w:sz="2" w:space="0"/>
                    <w:left w:val="single" w:color="auto" w:sz="2" w:space="0"/>
                    <w:bottom w:val="single" w:color="auto" w:sz="2" w:space="0"/>
                    <w:right w:val="single" w:color="auto" w:sz="2" w:space="0"/>
                  </w:tcBorders>
                  <w:vAlign w:val="center"/>
                </w:tcPr>
                <w:p w14:paraId="5F77F483">
                  <w:pPr>
                    <w:jc w:val="center"/>
                    <w:rPr>
                      <w:rFonts w:hint="eastAsia" w:eastAsia="宋体"/>
                      <w:color w:val="auto"/>
                      <w:kern w:val="0"/>
                      <w:lang w:eastAsia="zh-CN" w:bidi="ar"/>
                    </w:rPr>
                  </w:pPr>
                  <w:r>
                    <w:rPr>
                      <w:rFonts w:hint="eastAsia"/>
                      <w:color w:val="auto"/>
                    </w:rPr>
                    <w:t>0.0</w:t>
                  </w:r>
                  <w:r>
                    <w:rPr>
                      <w:rFonts w:hint="eastAsia"/>
                      <w:color w:val="auto"/>
                      <w:lang w:val="en-US" w:eastAsia="zh-CN"/>
                    </w:rPr>
                    <w:t>1</w:t>
                  </w:r>
                </w:p>
              </w:tc>
              <w:tc>
                <w:tcPr>
                  <w:tcW w:w="986" w:type="dxa"/>
                  <w:tcBorders>
                    <w:top w:val="single" w:color="auto" w:sz="2" w:space="0"/>
                    <w:left w:val="single" w:color="auto" w:sz="2" w:space="0"/>
                    <w:bottom w:val="single" w:color="auto" w:sz="2" w:space="0"/>
                    <w:right w:val="single" w:color="auto" w:sz="2" w:space="0"/>
                  </w:tcBorders>
                  <w:vAlign w:val="center"/>
                </w:tcPr>
                <w:p w14:paraId="77C82800">
                  <w:pPr>
                    <w:jc w:val="center"/>
                    <w:rPr>
                      <w:rFonts w:hint="default" w:eastAsia="宋体"/>
                      <w:color w:val="auto"/>
                      <w:kern w:val="0"/>
                      <w:lang w:val="en-US" w:eastAsia="zh-CN" w:bidi="ar"/>
                    </w:rPr>
                  </w:pPr>
                  <w:r>
                    <w:rPr>
                      <w:rFonts w:hint="eastAsia"/>
                      <w:color w:val="auto"/>
                      <w:lang w:val="en-US" w:eastAsia="zh-CN"/>
                    </w:rPr>
                    <w:t>-</w:t>
                  </w:r>
                  <w:r>
                    <w:rPr>
                      <w:rFonts w:hint="eastAsia"/>
                      <w:color w:val="auto"/>
                    </w:rPr>
                    <w:t>0.0</w:t>
                  </w:r>
                  <w:r>
                    <w:rPr>
                      <w:rFonts w:hint="eastAsia"/>
                      <w:color w:val="auto"/>
                      <w:lang w:val="en-US" w:eastAsia="zh-CN"/>
                    </w:rPr>
                    <w:t>05</w:t>
                  </w:r>
                </w:p>
              </w:tc>
              <w:tc>
                <w:tcPr>
                  <w:tcW w:w="986" w:type="dxa"/>
                  <w:tcBorders>
                    <w:top w:val="single" w:color="auto" w:sz="2" w:space="0"/>
                    <w:left w:val="single" w:color="auto" w:sz="2" w:space="0"/>
                    <w:bottom w:val="single" w:color="auto" w:sz="2" w:space="0"/>
                    <w:right w:val="single" w:color="auto" w:sz="2" w:space="0"/>
                  </w:tcBorders>
                  <w:vAlign w:val="center"/>
                </w:tcPr>
                <w:p w14:paraId="50D2838F">
                  <w:pPr>
                    <w:jc w:val="center"/>
                    <w:rPr>
                      <w:rFonts w:hint="eastAsia" w:eastAsia="宋体"/>
                      <w:color w:val="auto"/>
                      <w:kern w:val="0"/>
                      <w:lang w:eastAsia="zh-CN" w:bidi="ar"/>
                    </w:rPr>
                  </w:pPr>
                  <w:r>
                    <w:rPr>
                      <w:rFonts w:hint="eastAsia"/>
                      <w:color w:val="auto"/>
                    </w:rPr>
                    <w:t>0.0</w:t>
                  </w:r>
                  <w:r>
                    <w:rPr>
                      <w:rFonts w:hint="eastAsia"/>
                      <w:color w:val="auto"/>
                      <w:lang w:val="en-US" w:eastAsia="zh-CN"/>
                    </w:rPr>
                    <w:t>1</w:t>
                  </w:r>
                </w:p>
              </w:tc>
            </w:tr>
            <w:tr w14:paraId="676F1E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6" w:hRule="atLeast"/>
                <w:jc w:val="center"/>
              </w:trPr>
              <w:tc>
                <w:tcPr>
                  <w:tcW w:w="519" w:type="dxa"/>
                  <w:vMerge w:val="continue"/>
                  <w:tcBorders>
                    <w:left w:val="single" w:color="auto" w:sz="2" w:space="0"/>
                    <w:right w:val="single" w:color="auto" w:sz="2" w:space="0"/>
                  </w:tcBorders>
                  <w:vAlign w:val="center"/>
                </w:tcPr>
                <w:p w14:paraId="34DC737C">
                  <w:pPr>
                    <w:widowControl/>
                    <w:jc w:val="center"/>
                    <w:rPr>
                      <w:color w:val="auto"/>
                    </w:rPr>
                  </w:pPr>
                </w:p>
              </w:tc>
              <w:tc>
                <w:tcPr>
                  <w:tcW w:w="490" w:type="dxa"/>
                  <w:vMerge w:val="continue"/>
                  <w:tcBorders>
                    <w:left w:val="single" w:color="auto" w:sz="2" w:space="0"/>
                    <w:right w:val="single" w:color="auto" w:sz="4" w:space="0"/>
                  </w:tcBorders>
                  <w:vAlign w:val="center"/>
                </w:tcPr>
                <w:p w14:paraId="52502E45">
                  <w:pPr>
                    <w:jc w:val="center"/>
                    <w:rPr>
                      <w:color w:val="auto"/>
                    </w:rPr>
                  </w:pPr>
                </w:p>
              </w:tc>
              <w:tc>
                <w:tcPr>
                  <w:tcW w:w="880" w:type="dxa"/>
                  <w:tcBorders>
                    <w:left w:val="single" w:color="auto" w:sz="4" w:space="0"/>
                    <w:right w:val="single" w:color="auto" w:sz="2" w:space="0"/>
                  </w:tcBorders>
                  <w:vAlign w:val="center"/>
                </w:tcPr>
                <w:p w14:paraId="64925840">
                  <w:pPr>
                    <w:jc w:val="center"/>
                    <w:rPr>
                      <w:color w:val="auto"/>
                    </w:rPr>
                  </w:pPr>
                  <w:r>
                    <w:rPr>
                      <w:rFonts w:hint="eastAsia"/>
                      <w:color w:val="auto"/>
                    </w:rPr>
                    <w:t>非甲烷总烃</w:t>
                  </w:r>
                </w:p>
              </w:tc>
              <w:tc>
                <w:tcPr>
                  <w:tcW w:w="737" w:type="dxa"/>
                  <w:tcBorders>
                    <w:top w:val="single" w:color="auto" w:sz="2" w:space="0"/>
                    <w:left w:val="single" w:color="auto" w:sz="2" w:space="0"/>
                    <w:bottom w:val="single" w:color="auto" w:sz="2" w:space="0"/>
                    <w:right w:val="single" w:color="auto" w:sz="2" w:space="0"/>
                  </w:tcBorders>
                  <w:vAlign w:val="center"/>
                </w:tcPr>
                <w:p w14:paraId="4BE9E258">
                  <w:pPr>
                    <w:jc w:val="center"/>
                    <w:rPr>
                      <w:rFonts w:hint="default"/>
                      <w:color w:val="auto"/>
                      <w:lang w:val="en-US"/>
                    </w:rPr>
                  </w:pPr>
                  <w:r>
                    <w:rPr>
                      <w:rFonts w:hint="eastAsia"/>
                      <w:color w:val="auto"/>
                      <w:lang w:val="en-US" w:eastAsia="zh-CN"/>
                    </w:rPr>
                    <w:t>0.0279</w:t>
                  </w:r>
                </w:p>
              </w:tc>
              <w:tc>
                <w:tcPr>
                  <w:tcW w:w="724" w:type="dxa"/>
                  <w:tcBorders>
                    <w:top w:val="single" w:color="auto" w:sz="2" w:space="0"/>
                    <w:left w:val="single" w:color="auto" w:sz="2" w:space="0"/>
                    <w:bottom w:val="single" w:color="auto" w:sz="2" w:space="0"/>
                    <w:right w:val="single" w:color="auto" w:sz="2" w:space="0"/>
                  </w:tcBorders>
                  <w:vAlign w:val="center"/>
                </w:tcPr>
                <w:p w14:paraId="341C7160">
                  <w:pPr>
                    <w:widowControl/>
                    <w:jc w:val="center"/>
                    <w:textAlignment w:val="center"/>
                    <w:rPr>
                      <w:color w:val="auto"/>
                      <w:kern w:val="0"/>
                      <w:lang w:bidi="ar"/>
                    </w:rPr>
                  </w:pPr>
                  <w:r>
                    <w:rPr>
                      <w:rFonts w:hint="eastAsia"/>
                      <w:color w:val="auto"/>
                      <w:kern w:val="0"/>
                      <w:lang w:bidi="ar"/>
                    </w:rPr>
                    <w:t>1.55</w:t>
                  </w:r>
                </w:p>
              </w:tc>
              <w:tc>
                <w:tcPr>
                  <w:tcW w:w="714" w:type="dxa"/>
                  <w:tcBorders>
                    <w:top w:val="single" w:color="auto" w:sz="2" w:space="0"/>
                    <w:left w:val="single" w:color="auto" w:sz="2" w:space="0"/>
                    <w:bottom w:val="single" w:color="auto" w:sz="2" w:space="0"/>
                    <w:right w:val="single" w:color="auto" w:sz="2" w:space="0"/>
                  </w:tcBorders>
                  <w:vAlign w:val="center"/>
                </w:tcPr>
                <w:p w14:paraId="0CDF6BCB">
                  <w:pPr>
                    <w:jc w:val="center"/>
                    <w:rPr>
                      <w:color w:val="auto"/>
                    </w:rPr>
                  </w:pPr>
                  <w:r>
                    <w:rPr>
                      <w:rFonts w:hint="eastAsia"/>
                      <w:color w:val="auto"/>
                    </w:rPr>
                    <w:t>1.26</w:t>
                  </w:r>
                </w:p>
              </w:tc>
              <w:tc>
                <w:tcPr>
                  <w:tcW w:w="723" w:type="dxa"/>
                  <w:tcBorders>
                    <w:top w:val="single" w:color="auto" w:sz="2" w:space="0"/>
                    <w:left w:val="single" w:color="auto" w:sz="2" w:space="0"/>
                    <w:bottom w:val="single" w:color="auto" w:sz="2" w:space="0"/>
                    <w:right w:val="single" w:color="auto" w:sz="2" w:space="0"/>
                  </w:tcBorders>
                  <w:vAlign w:val="center"/>
                </w:tcPr>
                <w:p w14:paraId="7A3C8DD1">
                  <w:pPr>
                    <w:jc w:val="center"/>
                    <w:rPr>
                      <w:color w:val="auto"/>
                      <w:kern w:val="0"/>
                      <w:lang w:bidi="ar"/>
                    </w:rPr>
                  </w:pPr>
                  <w:r>
                    <w:rPr>
                      <w:rFonts w:hint="eastAsia"/>
                      <w:color w:val="auto"/>
                      <w:kern w:val="0"/>
                      <w:lang w:bidi="ar"/>
                    </w:rPr>
                    <w:t>0.29</w:t>
                  </w:r>
                </w:p>
              </w:tc>
              <w:tc>
                <w:tcPr>
                  <w:tcW w:w="1012" w:type="dxa"/>
                  <w:tcBorders>
                    <w:top w:val="single" w:color="auto" w:sz="2" w:space="0"/>
                    <w:left w:val="single" w:color="auto" w:sz="2" w:space="0"/>
                    <w:bottom w:val="single" w:color="auto" w:sz="2" w:space="0"/>
                    <w:right w:val="single" w:color="auto" w:sz="2" w:space="0"/>
                  </w:tcBorders>
                  <w:vAlign w:val="center"/>
                </w:tcPr>
                <w:p w14:paraId="50D4126E">
                  <w:pPr>
                    <w:jc w:val="center"/>
                    <w:rPr>
                      <w:color w:val="auto"/>
                      <w:kern w:val="0"/>
                      <w:lang w:bidi="ar"/>
                    </w:rPr>
                  </w:pPr>
                  <w:r>
                    <w:rPr>
                      <w:rFonts w:hint="eastAsia"/>
                      <w:color w:val="auto"/>
                      <w:lang w:val="en-US" w:eastAsia="zh-CN"/>
                    </w:rPr>
                    <w:t>0.0279</w:t>
                  </w:r>
                </w:p>
              </w:tc>
              <w:tc>
                <w:tcPr>
                  <w:tcW w:w="1300" w:type="dxa"/>
                  <w:tcBorders>
                    <w:top w:val="single" w:color="auto" w:sz="2" w:space="0"/>
                    <w:left w:val="single" w:color="auto" w:sz="2" w:space="0"/>
                    <w:bottom w:val="single" w:color="auto" w:sz="2" w:space="0"/>
                    <w:right w:val="single" w:color="auto" w:sz="2" w:space="0"/>
                  </w:tcBorders>
                  <w:vAlign w:val="center"/>
                </w:tcPr>
                <w:p w14:paraId="302FEF68">
                  <w:pPr>
                    <w:jc w:val="center"/>
                    <w:rPr>
                      <w:color w:val="auto"/>
                      <w:kern w:val="0"/>
                      <w:lang w:bidi="ar"/>
                    </w:rPr>
                  </w:pPr>
                  <w:r>
                    <w:rPr>
                      <w:rFonts w:hint="eastAsia"/>
                      <w:color w:val="auto"/>
                      <w:kern w:val="0"/>
                      <w:lang w:bidi="ar"/>
                    </w:rPr>
                    <w:t>0.29</w:t>
                  </w:r>
                </w:p>
              </w:tc>
              <w:tc>
                <w:tcPr>
                  <w:tcW w:w="986" w:type="dxa"/>
                  <w:tcBorders>
                    <w:top w:val="single" w:color="auto" w:sz="2" w:space="0"/>
                    <w:left w:val="single" w:color="auto" w:sz="2" w:space="0"/>
                    <w:bottom w:val="single" w:color="auto" w:sz="2" w:space="0"/>
                    <w:right w:val="single" w:color="auto" w:sz="2" w:space="0"/>
                  </w:tcBorders>
                  <w:vAlign w:val="center"/>
                </w:tcPr>
                <w:p w14:paraId="27FE582C">
                  <w:pPr>
                    <w:jc w:val="center"/>
                    <w:rPr>
                      <w:rFonts w:hint="default" w:eastAsia="宋体"/>
                      <w:color w:val="auto"/>
                      <w:kern w:val="0"/>
                      <w:lang w:val="en-US" w:eastAsia="zh-CN" w:bidi="ar"/>
                    </w:rPr>
                  </w:pPr>
                  <w:r>
                    <w:rPr>
                      <w:rFonts w:hint="eastAsia"/>
                      <w:color w:val="auto"/>
                      <w:kern w:val="0"/>
                      <w:lang w:bidi="ar"/>
                    </w:rPr>
                    <w:t>+0.2</w:t>
                  </w:r>
                  <w:r>
                    <w:rPr>
                      <w:rFonts w:hint="eastAsia"/>
                      <w:color w:val="auto"/>
                      <w:kern w:val="0"/>
                      <w:lang w:val="en-US" w:eastAsia="zh-CN" w:bidi="ar"/>
                    </w:rPr>
                    <w:t>621</w:t>
                  </w:r>
                </w:p>
              </w:tc>
              <w:tc>
                <w:tcPr>
                  <w:tcW w:w="986" w:type="dxa"/>
                  <w:tcBorders>
                    <w:top w:val="single" w:color="auto" w:sz="2" w:space="0"/>
                    <w:left w:val="single" w:color="auto" w:sz="2" w:space="0"/>
                    <w:bottom w:val="single" w:color="auto" w:sz="2" w:space="0"/>
                    <w:right w:val="single" w:color="auto" w:sz="2" w:space="0"/>
                  </w:tcBorders>
                  <w:vAlign w:val="center"/>
                </w:tcPr>
                <w:p w14:paraId="436CD9B9">
                  <w:pPr>
                    <w:jc w:val="center"/>
                    <w:rPr>
                      <w:rFonts w:hint="default" w:eastAsia="宋体"/>
                      <w:color w:val="auto"/>
                      <w:kern w:val="0"/>
                      <w:lang w:val="en-US" w:eastAsia="zh-CN" w:bidi="ar"/>
                    </w:rPr>
                  </w:pPr>
                  <w:r>
                    <w:rPr>
                      <w:rFonts w:hint="eastAsia"/>
                      <w:color w:val="auto"/>
                      <w:kern w:val="0"/>
                      <w:lang w:bidi="ar"/>
                    </w:rPr>
                    <w:t>0.2</w:t>
                  </w:r>
                  <w:r>
                    <w:rPr>
                      <w:rFonts w:hint="eastAsia"/>
                      <w:color w:val="auto"/>
                      <w:kern w:val="0"/>
                      <w:lang w:val="en-US" w:eastAsia="zh-CN" w:bidi="ar"/>
                    </w:rPr>
                    <w:t>9</w:t>
                  </w:r>
                </w:p>
              </w:tc>
            </w:tr>
            <w:tr w14:paraId="0E7DFF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519" w:type="dxa"/>
                  <w:vMerge w:val="restart"/>
                  <w:tcBorders>
                    <w:top w:val="single" w:color="auto" w:sz="2" w:space="0"/>
                    <w:left w:val="single" w:color="auto" w:sz="2" w:space="0"/>
                    <w:right w:val="single" w:color="auto" w:sz="2" w:space="0"/>
                  </w:tcBorders>
                  <w:vAlign w:val="center"/>
                </w:tcPr>
                <w:p w14:paraId="1AA42044">
                  <w:pPr>
                    <w:jc w:val="center"/>
                    <w:rPr>
                      <w:color w:val="auto"/>
                    </w:rPr>
                  </w:pPr>
                  <w:r>
                    <w:rPr>
                      <w:color w:val="auto"/>
                    </w:rPr>
                    <w:t>废水</w:t>
                  </w:r>
                </w:p>
              </w:tc>
              <w:tc>
                <w:tcPr>
                  <w:tcW w:w="1370" w:type="dxa"/>
                  <w:gridSpan w:val="2"/>
                  <w:tcBorders>
                    <w:top w:val="single" w:color="auto" w:sz="2" w:space="0"/>
                    <w:left w:val="single" w:color="auto" w:sz="2" w:space="0"/>
                    <w:bottom w:val="single" w:color="auto" w:sz="2" w:space="0"/>
                    <w:right w:val="single" w:color="auto" w:sz="2" w:space="0"/>
                  </w:tcBorders>
                  <w:vAlign w:val="center"/>
                </w:tcPr>
                <w:p w14:paraId="3F86D12F">
                  <w:pPr>
                    <w:jc w:val="center"/>
                    <w:rPr>
                      <w:color w:val="auto"/>
                    </w:rPr>
                  </w:pPr>
                  <w:r>
                    <w:rPr>
                      <w:color w:val="auto"/>
                    </w:rPr>
                    <w:t>废水量</w:t>
                  </w:r>
                </w:p>
              </w:tc>
              <w:tc>
                <w:tcPr>
                  <w:tcW w:w="737" w:type="dxa"/>
                  <w:tcBorders>
                    <w:top w:val="single" w:color="auto" w:sz="2" w:space="0"/>
                    <w:left w:val="single" w:color="auto" w:sz="2" w:space="0"/>
                    <w:bottom w:val="single" w:color="auto" w:sz="2" w:space="0"/>
                    <w:right w:val="single" w:color="auto" w:sz="2" w:space="0"/>
                  </w:tcBorders>
                  <w:vAlign w:val="center"/>
                </w:tcPr>
                <w:p w14:paraId="49276D3A">
                  <w:pPr>
                    <w:adjustRightInd w:val="0"/>
                    <w:jc w:val="center"/>
                    <w:rPr>
                      <w:color w:val="auto"/>
                    </w:rPr>
                  </w:pPr>
                  <w:r>
                    <w:rPr>
                      <w:rFonts w:hint="eastAsia"/>
                      <w:bCs/>
                      <w:color w:val="auto"/>
                    </w:rPr>
                    <w:t>10125</w:t>
                  </w:r>
                </w:p>
              </w:tc>
              <w:tc>
                <w:tcPr>
                  <w:tcW w:w="724" w:type="dxa"/>
                  <w:tcBorders>
                    <w:top w:val="single" w:color="auto" w:sz="2" w:space="0"/>
                    <w:left w:val="single" w:color="auto" w:sz="2" w:space="0"/>
                    <w:bottom w:val="single" w:color="auto" w:sz="2" w:space="0"/>
                    <w:right w:val="single" w:color="auto" w:sz="2" w:space="0"/>
                  </w:tcBorders>
                  <w:vAlign w:val="center"/>
                </w:tcPr>
                <w:p w14:paraId="1E476DF5">
                  <w:pPr>
                    <w:jc w:val="center"/>
                    <w:rPr>
                      <w:rFonts w:hint="default" w:eastAsia="宋体"/>
                      <w:color w:val="auto"/>
                      <w:lang w:val="en-US" w:eastAsia="zh-CN"/>
                    </w:rPr>
                  </w:pPr>
                  <w:r>
                    <w:rPr>
                      <w:rFonts w:hint="eastAsia"/>
                      <w:color w:val="auto"/>
                    </w:rPr>
                    <w:t>7</w:t>
                  </w:r>
                  <w:r>
                    <w:rPr>
                      <w:rFonts w:hint="eastAsia"/>
                      <w:color w:val="auto"/>
                      <w:lang w:val="en-US" w:eastAsia="zh-CN"/>
                    </w:rPr>
                    <w:t>488</w:t>
                  </w:r>
                </w:p>
              </w:tc>
              <w:tc>
                <w:tcPr>
                  <w:tcW w:w="714" w:type="dxa"/>
                  <w:tcBorders>
                    <w:top w:val="single" w:color="auto" w:sz="2" w:space="0"/>
                    <w:left w:val="single" w:color="auto" w:sz="2" w:space="0"/>
                    <w:bottom w:val="single" w:color="auto" w:sz="2" w:space="0"/>
                    <w:right w:val="single" w:color="auto" w:sz="2" w:space="0"/>
                  </w:tcBorders>
                  <w:vAlign w:val="center"/>
                </w:tcPr>
                <w:p w14:paraId="3375DCD8">
                  <w:pPr>
                    <w:jc w:val="center"/>
                    <w:rPr>
                      <w:color w:val="auto"/>
                    </w:rPr>
                  </w:pPr>
                  <w:r>
                    <w:rPr>
                      <w:rFonts w:hint="eastAsia"/>
                      <w:color w:val="auto"/>
                    </w:rPr>
                    <w:t>0</w:t>
                  </w:r>
                </w:p>
              </w:tc>
              <w:tc>
                <w:tcPr>
                  <w:tcW w:w="723" w:type="dxa"/>
                  <w:tcBorders>
                    <w:top w:val="single" w:color="auto" w:sz="2" w:space="0"/>
                    <w:left w:val="single" w:color="auto" w:sz="2" w:space="0"/>
                    <w:bottom w:val="single" w:color="auto" w:sz="2" w:space="0"/>
                    <w:right w:val="single" w:color="auto" w:sz="2" w:space="0"/>
                  </w:tcBorders>
                  <w:vAlign w:val="center"/>
                </w:tcPr>
                <w:p w14:paraId="6AA63A67">
                  <w:pPr>
                    <w:jc w:val="center"/>
                    <w:rPr>
                      <w:color w:val="auto"/>
                    </w:rPr>
                  </w:pPr>
                  <w:r>
                    <w:rPr>
                      <w:rFonts w:hint="eastAsia"/>
                      <w:color w:val="auto"/>
                    </w:rPr>
                    <w:t>7</w:t>
                  </w:r>
                  <w:r>
                    <w:rPr>
                      <w:rFonts w:hint="eastAsia"/>
                      <w:color w:val="auto"/>
                      <w:lang w:val="en-US" w:eastAsia="zh-CN"/>
                    </w:rPr>
                    <w:t>488</w:t>
                  </w:r>
                </w:p>
              </w:tc>
              <w:tc>
                <w:tcPr>
                  <w:tcW w:w="1012" w:type="dxa"/>
                  <w:tcBorders>
                    <w:top w:val="single" w:color="auto" w:sz="2" w:space="0"/>
                    <w:left w:val="single" w:color="auto" w:sz="2" w:space="0"/>
                    <w:bottom w:val="single" w:color="auto" w:sz="2" w:space="0"/>
                    <w:right w:val="single" w:color="auto" w:sz="2" w:space="0"/>
                  </w:tcBorders>
                  <w:vAlign w:val="center"/>
                </w:tcPr>
                <w:p w14:paraId="0969B697">
                  <w:pPr>
                    <w:adjustRightInd w:val="0"/>
                    <w:jc w:val="center"/>
                    <w:rPr>
                      <w:color w:val="auto"/>
                    </w:rPr>
                  </w:pPr>
                  <w:r>
                    <w:rPr>
                      <w:rFonts w:hint="eastAsia"/>
                      <w:bCs/>
                      <w:color w:val="auto"/>
                    </w:rPr>
                    <w:t>10125</w:t>
                  </w:r>
                </w:p>
              </w:tc>
              <w:tc>
                <w:tcPr>
                  <w:tcW w:w="1300" w:type="dxa"/>
                  <w:tcBorders>
                    <w:top w:val="single" w:color="auto" w:sz="2" w:space="0"/>
                    <w:left w:val="single" w:color="auto" w:sz="2" w:space="0"/>
                    <w:bottom w:val="single" w:color="auto" w:sz="2" w:space="0"/>
                    <w:right w:val="single" w:color="auto" w:sz="2" w:space="0"/>
                  </w:tcBorders>
                  <w:vAlign w:val="center"/>
                </w:tcPr>
                <w:p w14:paraId="2C68C1C5">
                  <w:pPr>
                    <w:jc w:val="center"/>
                    <w:rPr>
                      <w:color w:val="auto"/>
                    </w:rPr>
                  </w:pPr>
                  <w:r>
                    <w:rPr>
                      <w:rFonts w:hint="eastAsia"/>
                      <w:color w:val="auto"/>
                    </w:rPr>
                    <w:t>7</w:t>
                  </w:r>
                  <w:r>
                    <w:rPr>
                      <w:rFonts w:hint="eastAsia"/>
                      <w:color w:val="auto"/>
                      <w:lang w:val="en-US" w:eastAsia="zh-CN"/>
                    </w:rPr>
                    <w:t>488</w:t>
                  </w:r>
                </w:p>
              </w:tc>
              <w:tc>
                <w:tcPr>
                  <w:tcW w:w="986" w:type="dxa"/>
                  <w:tcBorders>
                    <w:top w:val="single" w:color="auto" w:sz="2" w:space="0"/>
                    <w:left w:val="single" w:color="auto" w:sz="2" w:space="0"/>
                    <w:bottom w:val="single" w:color="auto" w:sz="2" w:space="0"/>
                    <w:right w:val="single" w:color="auto" w:sz="2" w:space="0"/>
                  </w:tcBorders>
                  <w:vAlign w:val="center"/>
                </w:tcPr>
                <w:p w14:paraId="704F82AF">
                  <w:pPr>
                    <w:jc w:val="center"/>
                    <w:rPr>
                      <w:rFonts w:hint="eastAsia"/>
                      <w:color w:val="auto"/>
                    </w:rPr>
                  </w:pPr>
                  <w:r>
                    <w:rPr>
                      <w:rFonts w:hint="eastAsia"/>
                      <w:color w:val="auto"/>
                      <w:lang w:val="en-US" w:eastAsia="zh-CN"/>
                    </w:rPr>
                    <w:t>-2637</w:t>
                  </w:r>
                </w:p>
              </w:tc>
              <w:tc>
                <w:tcPr>
                  <w:tcW w:w="986" w:type="dxa"/>
                  <w:tcBorders>
                    <w:top w:val="single" w:color="auto" w:sz="2" w:space="0"/>
                    <w:left w:val="single" w:color="auto" w:sz="2" w:space="0"/>
                    <w:bottom w:val="single" w:color="auto" w:sz="2" w:space="0"/>
                    <w:right w:val="single" w:color="auto" w:sz="2" w:space="0"/>
                  </w:tcBorders>
                  <w:vAlign w:val="center"/>
                </w:tcPr>
                <w:p w14:paraId="7C17CA6E">
                  <w:pPr>
                    <w:jc w:val="center"/>
                    <w:rPr>
                      <w:color w:val="auto"/>
                    </w:rPr>
                  </w:pPr>
                  <w:r>
                    <w:rPr>
                      <w:rFonts w:hint="eastAsia"/>
                      <w:color w:val="auto"/>
                    </w:rPr>
                    <w:t>7488</w:t>
                  </w:r>
                </w:p>
              </w:tc>
            </w:tr>
            <w:tr w14:paraId="36AFE5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2" w:hRule="atLeast"/>
                <w:jc w:val="center"/>
              </w:trPr>
              <w:tc>
                <w:tcPr>
                  <w:tcW w:w="519" w:type="dxa"/>
                  <w:vMerge w:val="continue"/>
                  <w:tcBorders>
                    <w:left w:val="single" w:color="auto" w:sz="2" w:space="0"/>
                    <w:right w:val="single" w:color="auto" w:sz="2" w:space="0"/>
                  </w:tcBorders>
                  <w:vAlign w:val="center"/>
                </w:tcPr>
                <w:p w14:paraId="63259D27">
                  <w:pPr>
                    <w:widowControl/>
                    <w:jc w:val="center"/>
                    <w:rPr>
                      <w:color w:val="auto"/>
                    </w:rPr>
                  </w:pPr>
                </w:p>
              </w:tc>
              <w:tc>
                <w:tcPr>
                  <w:tcW w:w="1370" w:type="dxa"/>
                  <w:gridSpan w:val="2"/>
                  <w:tcBorders>
                    <w:top w:val="single" w:color="auto" w:sz="2" w:space="0"/>
                    <w:left w:val="single" w:color="auto" w:sz="2" w:space="0"/>
                    <w:bottom w:val="single" w:color="auto" w:sz="2" w:space="0"/>
                    <w:right w:val="single" w:color="auto" w:sz="2" w:space="0"/>
                  </w:tcBorders>
                  <w:vAlign w:val="center"/>
                </w:tcPr>
                <w:p w14:paraId="3312A18E">
                  <w:pPr>
                    <w:jc w:val="center"/>
                    <w:rPr>
                      <w:color w:val="auto"/>
                    </w:rPr>
                  </w:pPr>
                  <w:r>
                    <w:rPr>
                      <w:color w:val="auto"/>
                    </w:rPr>
                    <w:t>COD</w:t>
                  </w:r>
                </w:p>
              </w:tc>
              <w:tc>
                <w:tcPr>
                  <w:tcW w:w="737" w:type="dxa"/>
                  <w:tcBorders>
                    <w:top w:val="single" w:color="auto" w:sz="2" w:space="0"/>
                    <w:left w:val="single" w:color="auto" w:sz="2" w:space="0"/>
                    <w:bottom w:val="single" w:color="auto" w:sz="2" w:space="0"/>
                    <w:right w:val="single" w:color="auto" w:sz="2" w:space="0"/>
                  </w:tcBorders>
                  <w:vAlign w:val="center"/>
                </w:tcPr>
                <w:p w14:paraId="10815096">
                  <w:pPr>
                    <w:adjustRightInd w:val="0"/>
                    <w:jc w:val="center"/>
                    <w:rPr>
                      <w:color w:val="auto"/>
                    </w:rPr>
                  </w:pPr>
                  <w:r>
                    <w:rPr>
                      <w:rFonts w:hint="eastAsia"/>
                      <w:bCs/>
                      <w:color w:val="auto"/>
                    </w:rPr>
                    <w:t>4.05</w:t>
                  </w:r>
                </w:p>
              </w:tc>
              <w:tc>
                <w:tcPr>
                  <w:tcW w:w="724" w:type="dxa"/>
                  <w:tcBorders>
                    <w:top w:val="single" w:color="auto" w:sz="2" w:space="0"/>
                    <w:left w:val="single" w:color="auto" w:sz="2" w:space="0"/>
                    <w:bottom w:val="single" w:color="auto" w:sz="2" w:space="0"/>
                    <w:right w:val="single" w:color="auto" w:sz="2" w:space="0"/>
                  </w:tcBorders>
                  <w:vAlign w:val="center"/>
                </w:tcPr>
                <w:p w14:paraId="47F6181B">
                  <w:pPr>
                    <w:jc w:val="center"/>
                    <w:rPr>
                      <w:color w:val="auto"/>
                    </w:rPr>
                  </w:pPr>
                  <w:r>
                    <w:rPr>
                      <w:rFonts w:hint="eastAsia" w:ascii="Times New Roman" w:hAnsi="Times New Roman" w:eastAsia="宋体" w:cs="Times New Roman"/>
                      <w:color w:val="auto"/>
                      <w:lang w:val="en-US" w:eastAsia="zh-CN"/>
                    </w:rPr>
                    <w:t>3.12</w:t>
                  </w:r>
                </w:p>
              </w:tc>
              <w:tc>
                <w:tcPr>
                  <w:tcW w:w="714" w:type="dxa"/>
                  <w:tcBorders>
                    <w:top w:val="single" w:color="auto" w:sz="2" w:space="0"/>
                    <w:left w:val="single" w:color="auto" w:sz="2" w:space="0"/>
                    <w:bottom w:val="single" w:color="auto" w:sz="2" w:space="0"/>
                    <w:right w:val="single" w:color="auto" w:sz="2" w:space="0"/>
                  </w:tcBorders>
                  <w:vAlign w:val="center"/>
                </w:tcPr>
                <w:p w14:paraId="133FBFA7">
                  <w:pPr>
                    <w:jc w:val="center"/>
                    <w:rPr>
                      <w:color w:val="auto"/>
                    </w:rPr>
                  </w:pPr>
                  <w:r>
                    <w:rPr>
                      <w:rFonts w:hint="eastAsia"/>
                      <w:color w:val="auto"/>
                    </w:rPr>
                    <w:t>0</w:t>
                  </w:r>
                </w:p>
              </w:tc>
              <w:tc>
                <w:tcPr>
                  <w:tcW w:w="723" w:type="dxa"/>
                  <w:tcBorders>
                    <w:top w:val="single" w:color="auto" w:sz="2" w:space="0"/>
                    <w:left w:val="single" w:color="auto" w:sz="2" w:space="0"/>
                    <w:bottom w:val="single" w:color="auto" w:sz="2" w:space="0"/>
                    <w:right w:val="single" w:color="auto" w:sz="2" w:space="0"/>
                  </w:tcBorders>
                  <w:vAlign w:val="center"/>
                </w:tcPr>
                <w:p w14:paraId="24CC12ED">
                  <w:pPr>
                    <w:jc w:val="center"/>
                    <w:rPr>
                      <w:color w:val="auto"/>
                    </w:rPr>
                  </w:pPr>
                  <w:r>
                    <w:rPr>
                      <w:rFonts w:hint="eastAsia" w:ascii="Times New Roman" w:hAnsi="Times New Roman" w:eastAsia="宋体" w:cs="Times New Roman"/>
                      <w:color w:val="auto"/>
                      <w:lang w:val="en-US" w:eastAsia="zh-CN"/>
                    </w:rPr>
                    <w:t>3.12</w:t>
                  </w:r>
                </w:p>
              </w:tc>
              <w:tc>
                <w:tcPr>
                  <w:tcW w:w="1012" w:type="dxa"/>
                  <w:tcBorders>
                    <w:top w:val="single" w:color="auto" w:sz="2" w:space="0"/>
                    <w:left w:val="single" w:color="auto" w:sz="2" w:space="0"/>
                    <w:bottom w:val="single" w:color="auto" w:sz="2" w:space="0"/>
                    <w:right w:val="single" w:color="auto" w:sz="2" w:space="0"/>
                  </w:tcBorders>
                  <w:vAlign w:val="center"/>
                </w:tcPr>
                <w:p w14:paraId="734CE238">
                  <w:pPr>
                    <w:adjustRightInd w:val="0"/>
                    <w:jc w:val="center"/>
                    <w:rPr>
                      <w:color w:val="auto"/>
                    </w:rPr>
                  </w:pPr>
                  <w:r>
                    <w:rPr>
                      <w:rFonts w:hint="eastAsia"/>
                      <w:bCs/>
                      <w:color w:val="auto"/>
                    </w:rPr>
                    <w:t>4.05</w:t>
                  </w:r>
                </w:p>
              </w:tc>
              <w:tc>
                <w:tcPr>
                  <w:tcW w:w="1300" w:type="dxa"/>
                  <w:tcBorders>
                    <w:top w:val="single" w:color="auto" w:sz="2" w:space="0"/>
                    <w:left w:val="single" w:color="auto" w:sz="2" w:space="0"/>
                    <w:bottom w:val="single" w:color="auto" w:sz="2" w:space="0"/>
                    <w:right w:val="single" w:color="auto" w:sz="2" w:space="0"/>
                  </w:tcBorders>
                  <w:vAlign w:val="center"/>
                </w:tcPr>
                <w:p w14:paraId="7D90ABFE">
                  <w:pPr>
                    <w:jc w:val="center"/>
                    <w:rPr>
                      <w:color w:val="auto"/>
                    </w:rPr>
                  </w:pPr>
                  <w:r>
                    <w:rPr>
                      <w:rFonts w:hint="eastAsia" w:ascii="Times New Roman" w:hAnsi="Times New Roman" w:eastAsia="宋体" w:cs="Times New Roman"/>
                      <w:color w:val="auto"/>
                      <w:lang w:val="en-US" w:eastAsia="zh-CN"/>
                    </w:rPr>
                    <w:t>3.12</w:t>
                  </w:r>
                </w:p>
              </w:tc>
              <w:tc>
                <w:tcPr>
                  <w:tcW w:w="986" w:type="dxa"/>
                  <w:tcBorders>
                    <w:top w:val="single" w:color="auto" w:sz="2" w:space="0"/>
                    <w:left w:val="single" w:color="auto" w:sz="2" w:space="0"/>
                    <w:bottom w:val="single" w:color="auto" w:sz="2" w:space="0"/>
                    <w:right w:val="single" w:color="auto" w:sz="2" w:space="0"/>
                  </w:tcBorders>
                  <w:vAlign w:val="center"/>
                </w:tcPr>
                <w:p w14:paraId="3B9D9BF4">
                  <w:pPr>
                    <w:jc w:val="center"/>
                    <w:rPr>
                      <w:rFonts w:hint="eastAsia"/>
                      <w:color w:val="auto"/>
                    </w:rPr>
                  </w:pPr>
                  <w:r>
                    <w:rPr>
                      <w:rFonts w:hint="eastAsia"/>
                      <w:color w:val="auto"/>
                      <w:lang w:val="en-US" w:eastAsia="zh-CN"/>
                    </w:rPr>
                    <w:t>-0.93</w:t>
                  </w:r>
                </w:p>
              </w:tc>
              <w:tc>
                <w:tcPr>
                  <w:tcW w:w="986" w:type="dxa"/>
                  <w:tcBorders>
                    <w:top w:val="single" w:color="auto" w:sz="2" w:space="0"/>
                    <w:left w:val="single" w:color="auto" w:sz="2" w:space="0"/>
                    <w:bottom w:val="single" w:color="auto" w:sz="2" w:space="0"/>
                    <w:right w:val="single" w:color="auto" w:sz="2" w:space="0"/>
                  </w:tcBorders>
                  <w:vAlign w:val="center"/>
                </w:tcPr>
                <w:p w14:paraId="4C6E3770">
                  <w:pPr>
                    <w:jc w:val="center"/>
                    <w:rPr>
                      <w:rFonts w:hint="default" w:eastAsia="宋体"/>
                      <w:color w:val="auto"/>
                      <w:lang w:val="en-US" w:eastAsia="zh-CN"/>
                    </w:rPr>
                  </w:pPr>
                  <w:r>
                    <w:rPr>
                      <w:rFonts w:hint="eastAsia"/>
                      <w:color w:val="auto"/>
                    </w:rPr>
                    <w:t>0.3</w:t>
                  </w:r>
                  <w:r>
                    <w:rPr>
                      <w:rFonts w:hint="eastAsia"/>
                      <w:color w:val="auto"/>
                      <w:lang w:val="en-US" w:eastAsia="zh-CN"/>
                    </w:rPr>
                    <w:t>74</w:t>
                  </w:r>
                </w:p>
              </w:tc>
            </w:tr>
            <w:tr w14:paraId="3EB811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519" w:type="dxa"/>
                  <w:vMerge w:val="continue"/>
                  <w:tcBorders>
                    <w:left w:val="single" w:color="auto" w:sz="2" w:space="0"/>
                    <w:right w:val="single" w:color="auto" w:sz="2" w:space="0"/>
                  </w:tcBorders>
                  <w:vAlign w:val="center"/>
                </w:tcPr>
                <w:p w14:paraId="616F560F">
                  <w:pPr>
                    <w:widowControl/>
                    <w:jc w:val="center"/>
                    <w:rPr>
                      <w:color w:val="auto"/>
                    </w:rPr>
                  </w:pPr>
                </w:p>
              </w:tc>
              <w:tc>
                <w:tcPr>
                  <w:tcW w:w="1370" w:type="dxa"/>
                  <w:gridSpan w:val="2"/>
                  <w:tcBorders>
                    <w:top w:val="single" w:color="auto" w:sz="2" w:space="0"/>
                    <w:left w:val="single" w:color="auto" w:sz="2" w:space="0"/>
                    <w:bottom w:val="single" w:color="auto" w:sz="2" w:space="0"/>
                    <w:right w:val="single" w:color="auto" w:sz="2" w:space="0"/>
                  </w:tcBorders>
                  <w:vAlign w:val="center"/>
                </w:tcPr>
                <w:p w14:paraId="235072CE">
                  <w:pPr>
                    <w:jc w:val="center"/>
                    <w:rPr>
                      <w:color w:val="auto"/>
                    </w:rPr>
                  </w:pPr>
                  <w:r>
                    <w:rPr>
                      <w:color w:val="auto"/>
                    </w:rPr>
                    <w:t>SS</w:t>
                  </w:r>
                </w:p>
              </w:tc>
              <w:tc>
                <w:tcPr>
                  <w:tcW w:w="737" w:type="dxa"/>
                  <w:tcBorders>
                    <w:top w:val="single" w:color="auto" w:sz="2" w:space="0"/>
                    <w:left w:val="single" w:color="auto" w:sz="2" w:space="0"/>
                    <w:bottom w:val="single" w:color="auto" w:sz="2" w:space="0"/>
                    <w:right w:val="single" w:color="auto" w:sz="2" w:space="0"/>
                  </w:tcBorders>
                  <w:vAlign w:val="center"/>
                </w:tcPr>
                <w:p w14:paraId="6E6EE1A2">
                  <w:pPr>
                    <w:adjustRightInd w:val="0"/>
                    <w:jc w:val="center"/>
                    <w:rPr>
                      <w:color w:val="auto"/>
                    </w:rPr>
                  </w:pPr>
                  <w:r>
                    <w:rPr>
                      <w:rFonts w:hint="eastAsia"/>
                      <w:bCs/>
                      <w:color w:val="auto"/>
                    </w:rPr>
                    <w:t>1.265</w:t>
                  </w:r>
                </w:p>
              </w:tc>
              <w:tc>
                <w:tcPr>
                  <w:tcW w:w="724" w:type="dxa"/>
                  <w:tcBorders>
                    <w:top w:val="single" w:color="auto" w:sz="2" w:space="0"/>
                    <w:left w:val="single" w:color="auto" w:sz="2" w:space="0"/>
                    <w:bottom w:val="single" w:color="auto" w:sz="2" w:space="0"/>
                    <w:right w:val="single" w:color="auto" w:sz="2" w:space="0"/>
                  </w:tcBorders>
                  <w:vAlign w:val="center"/>
                </w:tcPr>
                <w:p w14:paraId="3811656A">
                  <w:pPr>
                    <w:jc w:val="center"/>
                    <w:rPr>
                      <w:color w:val="auto"/>
                    </w:rPr>
                  </w:pPr>
                  <w:r>
                    <w:rPr>
                      <w:rFonts w:hint="eastAsia" w:ascii="Times New Roman" w:hAnsi="Times New Roman" w:eastAsia="宋体" w:cs="Times New Roman"/>
                      <w:color w:val="auto"/>
                      <w:lang w:val="en-US" w:eastAsia="zh-CN"/>
                    </w:rPr>
                    <w:t>2.122</w:t>
                  </w:r>
                </w:p>
              </w:tc>
              <w:tc>
                <w:tcPr>
                  <w:tcW w:w="714" w:type="dxa"/>
                  <w:tcBorders>
                    <w:top w:val="single" w:color="auto" w:sz="2" w:space="0"/>
                    <w:left w:val="single" w:color="auto" w:sz="2" w:space="0"/>
                    <w:bottom w:val="single" w:color="auto" w:sz="2" w:space="0"/>
                    <w:right w:val="single" w:color="auto" w:sz="2" w:space="0"/>
                  </w:tcBorders>
                  <w:vAlign w:val="center"/>
                </w:tcPr>
                <w:p w14:paraId="1AF3C174">
                  <w:pPr>
                    <w:jc w:val="center"/>
                    <w:rPr>
                      <w:color w:val="auto"/>
                    </w:rPr>
                  </w:pPr>
                  <w:r>
                    <w:rPr>
                      <w:rFonts w:hint="eastAsia"/>
                      <w:color w:val="auto"/>
                    </w:rPr>
                    <w:t>0</w:t>
                  </w:r>
                </w:p>
              </w:tc>
              <w:tc>
                <w:tcPr>
                  <w:tcW w:w="723" w:type="dxa"/>
                  <w:tcBorders>
                    <w:top w:val="single" w:color="auto" w:sz="2" w:space="0"/>
                    <w:left w:val="single" w:color="auto" w:sz="2" w:space="0"/>
                    <w:bottom w:val="single" w:color="auto" w:sz="2" w:space="0"/>
                    <w:right w:val="single" w:color="auto" w:sz="2" w:space="0"/>
                  </w:tcBorders>
                  <w:vAlign w:val="center"/>
                </w:tcPr>
                <w:p w14:paraId="4074B703">
                  <w:pPr>
                    <w:jc w:val="center"/>
                    <w:rPr>
                      <w:color w:val="auto"/>
                    </w:rPr>
                  </w:pPr>
                  <w:r>
                    <w:rPr>
                      <w:rFonts w:hint="eastAsia" w:ascii="Times New Roman" w:hAnsi="Times New Roman" w:eastAsia="宋体" w:cs="Times New Roman"/>
                      <w:color w:val="auto"/>
                      <w:lang w:val="en-US" w:eastAsia="zh-CN"/>
                    </w:rPr>
                    <w:t>2.122</w:t>
                  </w:r>
                </w:p>
              </w:tc>
              <w:tc>
                <w:tcPr>
                  <w:tcW w:w="1012" w:type="dxa"/>
                  <w:tcBorders>
                    <w:top w:val="single" w:color="auto" w:sz="2" w:space="0"/>
                    <w:left w:val="single" w:color="auto" w:sz="2" w:space="0"/>
                    <w:bottom w:val="single" w:color="auto" w:sz="2" w:space="0"/>
                    <w:right w:val="single" w:color="auto" w:sz="2" w:space="0"/>
                  </w:tcBorders>
                  <w:vAlign w:val="center"/>
                </w:tcPr>
                <w:p w14:paraId="0C2BE5E6">
                  <w:pPr>
                    <w:adjustRightInd w:val="0"/>
                    <w:jc w:val="center"/>
                    <w:rPr>
                      <w:color w:val="auto"/>
                    </w:rPr>
                  </w:pPr>
                  <w:r>
                    <w:rPr>
                      <w:rFonts w:hint="eastAsia"/>
                      <w:bCs/>
                      <w:color w:val="auto"/>
                    </w:rPr>
                    <w:t>1.265</w:t>
                  </w:r>
                </w:p>
              </w:tc>
              <w:tc>
                <w:tcPr>
                  <w:tcW w:w="1300" w:type="dxa"/>
                  <w:tcBorders>
                    <w:top w:val="single" w:color="auto" w:sz="2" w:space="0"/>
                    <w:left w:val="single" w:color="auto" w:sz="2" w:space="0"/>
                    <w:bottom w:val="single" w:color="auto" w:sz="2" w:space="0"/>
                    <w:right w:val="single" w:color="auto" w:sz="2" w:space="0"/>
                  </w:tcBorders>
                  <w:vAlign w:val="center"/>
                </w:tcPr>
                <w:p w14:paraId="08C732C9">
                  <w:pPr>
                    <w:jc w:val="center"/>
                    <w:rPr>
                      <w:color w:val="auto"/>
                    </w:rPr>
                  </w:pPr>
                  <w:r>
                    <w:rPr>
                      <w:rFonts w:hint="eastAsia" w:ascii="Times New Roman" w:hAnsi="Times New Roman" w:eastAsia="宋体" w:cs="Times New Roman"/>
                      <w:color w:val="auto"/>
                      <w:lang w:val="en-US" w:eastAsia="zh-CN"/>
                    </w:rPr>
                    <w:t>2.122</w:t>
                  </w:r>
                </w:p>
              </w:tc>
              <w:tc>
                <w:tcPr>
                  <w:tcW w:w="986" w:type="dxa"/>
                  <w:tcBorders>
                    <w:top w:val="single" w:color="auto" w:sz="2" w:space="0"/>
                    <w:left w:val="single" w:color="auto" w:sz="2" w:space="0"/>
                    <w:bottom w:val="single" w:color="auto" w:sz="2" w:space="0"/>
                    <w:right w:val="single" w:color="auto" w:sz="2" w:space="0"/>
                  </w:tcBorders>
                  <w:vAlign w:val="center"/>
                </w:tcPr>
                <w:p w14:paraId="7941A201">
                  <w:pPr>
                    <w:jc w:val="center"/>
                    <w:rPr>
                      <w:rFonts w:hint="eastAsia"/>
                      <w:color w:val="auto"/>
                    </w:rPr>
                  </w:pPr>
                  <w:r>
                    <w:rPr>
                      <w:rFonts w:hint="eastAsia"/>
                      <w:color w:val="auto"/>
                      <w:lang w:val="en-US" w:eastAsia="zh-CN"/>
                    </w:rPr>
                    <w:t>+0.857</w:t>
                  </w:r>
                </w:p>
              </w:tc>
              <w:tc>
                <w:tcPr>
                  <w:tcW w:w="986" w:type="dxa"/>
                  <w:tcBorders>
                    <w:top w:val="single" w:color="auto" w:sz="2" w:space="0"/>
                    <w:left w:val="single" w:color="auto" w:sz="2" w:space="0"/>
                    <w:bottom w:val="single" w:color="auto" w:sz="2" w:space="0"/>
                    <w:right w:val="single" w:color="auto" w:sz="2" w:space="0"/>
                  </w:tcBorders>
                  <w:vAlign w:val="center"/>
                </w:tcPr>
                <w:p w14:paraId="590B6B65">
                  <w:pPr>
                    <w:jc w:val="center"/>
                    <w:rPr>
                      <w:rFonts w:hint="eastAsia" w:eastAsia="宋体"/>
                      <w:color w:val="auto"/>
                      <w:lang w:eastAsia="zh-CN"/>
                    </w:rPr>
                  </w:pPr>
                  <w:r>
                    <w:rPr>
                      <w:rFonts w:hint="eastAsia"/>
                      <w:color w:val="auto"/>
                    </w:rPr>
                    <w:t>0.07</w:t>
                  </w:r>
                  <w:r>
                    <w:rPr>
                      <w:rFonts w:hint="eastAsia"/>
                      <w:color w:val="auto"/>
                      <w:lang w:val="en-US" w:eastAsia="zh-CN"/>
                    </w:rPr>
                    <w:t>5</w:t>
                  </w:r>
                </w:p>
              </w:tc>
            </w:tr>
            <w:tr w14:paraId="59E8A6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519" w:type="dxa"/>
                  <w:vMerge w:val="continue"/>
                  <w:tcBorders>
                    <w:left w:val="single" w:color="auto" w:sz="2" w:space="0"/>
                    <w:right w:val="single" w:color="auto" w:sz="2" w:space="0"/>
                  </w:tcBorders>
                  <w:vAlign w:val="center"/>
                </w:tcPr>
                <w:p w14:paraId="6514C747">
                  <w:pPr>
                    <w:widowControl/>
                    <w:jc w:val="center"/>
                    <w:rPr>
                      <w:color w:val="auto"/>
                    </w:rPr>
                  </w:pPr>
                </w:p>
              </w:tc>
              <w:tc>
                <w:tcPr>
                  <w:tcW w:w="1370" w:type="dxa"/>
                  <w:gridSpan w:val="2"/>
                  <w:tcBorders>
                    <w:top w:val="single" w:color="auto" w:sz="2" w:space="0"/>
                    <w:left w:val="single" w:color="auto" w:sz="2" w:space="0"/>
                    <w:bottom w:val="single" w:color="auto" w:sz="2" w:space="0"/>
                    <w:right w:val="single" w:color="auto" w:sz="2" w:space="0"/>
                  </w:tcBorders>
                  <w:vAlign w:val="center"/>
                </w:tcPr>
                <w:p w14:paraId="0E25D775">
                  <w:pPr>
                    <w:jc w:val="center"/>
                    <w:rPr>
                      <w:color w:val="auto"/>
                    </w:rPr>
                  </w:pPr>
                  <w:r>
                    <w:rPr>
                      <w:color w:val="auto"/>
                    </w:rPr>
                    <w:t>氨氮</w:t>
                  </w:r>
                </w:p>
              </w:tc>
              <w:tc>
                <w:tcPr>
                  <w:tcW w:w="737" w:type="dxa"/>
                  <w:tcBorders>
                    <w:top w:val="single" w:color="auto" w:sz="2" w:space="0"/>
                    <w:left w:val="single" w:color="auto" w:sz="2" w:space="0"/>
                    <w:bottom w:val="single" w:color="auto" w:sz="2" w:space="0"/>
                    <w:right w:val="single" w:color="auto" w:sz="2" w:space="0"/>
                  </w:tcBorders>
                  <w:vAlign w:val="center"/>
                </w:tcPr>
                <w:p w14:paraId="25BF5735">
                  <w:pPr>
                    <w:adjustRightInd w:val="0"/>
                    <w:jc w:val="center"/>
                    <w:rPr>
                      <w:color w:val="auto"/>
                    </w:rPr>
                  </w:pPr>
                  <w:r>
                    <w:rPr>
                      <w:rFonts w:hint="eastAsia"/>
                      <w:bCs/>
                      <w:color w:val="auto"/>
                    </w:rPr>
                    <w:t>0.304</w:t>
                  </w:r>
                </w:p>
              </w:tc>
              <w:tc>
                <w:tcPr>
                  <w:tcW w:w="724" w:type="dxa"/>
                  <w:tcBorders>
                    <w:top w:val="single" w:color="auto" w:sz="2" w:space="0"/>
                    <w:left w:val="single" w:color="auto" w:sz="2" w:space="0"/>
                    <w:bottom w:val="single" w:color="auto" w:sz="2" w:space="0"/>
                    <w:right w:val="single" w:color="auto" w:sz="2" w:space="0"/>
                  </w:tcBorders>
                  <w:vAlign w:val="center"/>
                </w:tcPr>
                <w:p w14:paraId="407C298E">
                  <w:pPr>
                    <w:jc w:val="center"/>
                    <w:rPr>
                      <w:color w:val="auto"/>
                    </w:rPr>
                  </w:pPr>
                  <w:r>
                    <w:rPr>
                      <w:rFonts w:hint="eastAsia" w:ascii="Times New Roman" w:hAnsi="Times New Roman" w:eastAsia="宋体" w:cs="Times New Roman"/>
                      <w:color w:val="auto"/>
                      <w:lang w:val="en-US" w:eastAsia="zh-CN"/>
                    </w:rPr>
                    <w:t>0.317</w:t>
                  </w:r>
                </w:p>
              </w:tc>
              <w:tc>
                <w:tcPr>
                  <w:tcW w:w="714" w:type="dxa"/>
                  <w:tcBorders>
                    <w:top w:val="single" w:color="auto" w:sz="2" w:space="0"/>
                    <w:left w:val="single" w:color="auto" w:sz="2" w:space="0"/>
                    <w:bottom w:val="single" w:color="auto" w:sz="2" w:space="0"/>
                    <w:right w:val="single" w:color="auto" w:sz="2" w:space="0"/>
                  </w:tcBorders>
                  <w:vAlign w:val="center"/>
                </w:tcPr>
                <w:p w14:paraId="3A0D0CF0">
                  <w:pPr>
                    <w:jc w:val="center"/>
                    <w:rPr>
                      <w:color w:val="auto"/>
                    </w:rPr>
                  </w:pPr>
                  <w:r>
                    <w:rPr>
                      <w:rFonts w:hint="eastAsia"/>
                      <w:color w:val="auto"/>
                    </w:rPr>
                    <w:t>0</w:t>
                  </w:r>
                </w:p>
              </w:tc>
              <w:tc>
                <w:tcPr>
                  <w:tcW w:w="723" w:type="dxa"/>
                  <w:tcBorders>
                    <w:top w:val="single" w:color="auto" w:sz="2" w:space="0"/>
                    <w:left w:val="single" w:color="auto" w:sz="2" w:space="0"/>
                    <w:bottom w:val="single" w:color="auto" w:sz="2" w:space="0"/>
                    <w:right w:val="single" w:color="auto" w:sz="2" w:space="0"/>
                  </w:tcBorders>
                  <w:vAlign w:val="center"/>
                </w:tcPr>
                <w:p w14:paraId="7C22C0DA">
                  <w:pPr>
                    <w:jc w:val="center"/>
                    <w:rPr>
                      <w:color w:val="auto"/>
                    </w:rPr>
                  </w:pPr>
                  <w:r>
                    <w:rPr>
                      <w:rFonts w:hint="eastAsia" w:ascii="Times New Roman" w:hAnsi="Times New Roman" w:eastAsia="宋体" w:cs="Times New Roman"/>
                      <w:color w:val="auto"/>
                      <w:lang w:val="en-US" w:eastAsia="zh-CN"/>
                    </w:rPr>
                    <w:t>0.317</w:t>
                  </w:r>
                </w:p>
              </w:tc>
              <w:tc>
                <w:tcPr>
                  <w:tcW w:w="1012" w:type="dxa"/>
                  <w:tcBorders>
                    <w:top w:val="single" w:color="auto" w:sz="2" w:space="0"/>
                    <w:left w:val="single" w:color="auto" w:sz="2" w:space="0"/>
                    <w:bottom w:val="single" w:color="auto" w:sz="2" w:space="0"/>
                    <w:right w:val="single" w:color="auto" w:sz="2" w:space="0"/>
                  </w:tcBorders>
                  <w:vAlign w:val="center"/>
                </w:tcPr>
                <w:p w14:paraId="7C6851A8">
                  <w:pPr>
                    <w:adjustRightInd w:val="0"/>
                    <w:jc w:val="center"/>
                    <w:rPr>
                      <w:color w:val="auto"/>
                    </w:rPr>
                  </w:pPr>
                  <w:r>
                    <w:rPr>
                      <w:rFonts w:hint="eastAsia"/>
                      <w:bCs/>
                      <w:color w:val="auto"/>
                    </w:rPr>
                    <w:t>0.304</w:t>
                  </w:r>
                </w:p>
              </w:tc>
              <w:tc>
                <w:tcPr>
                  <w:tcW w:w="1300" w:type="dxa"/>
                  <w:tcBorders>
                    <w:top w:val="single" w:color="auto" w:sz="2" w:space="0"/>
                    <w:left w:val="single" w:color="auto" w:sz="2" w:space="0"/>
                    <w:bottom w:val="single" w:color="auto" w:sz="2" w:space="0"/>
                    <w:right w:val="single" w:color="auto" w:sz="2" w:space="0"/>
                  </w:tcBorders>
                  <w:vAlign w:val="center"/>
                </w:tcPr>
                <w:p w14:paraId="354550D9">
                  <w:pPr>
                    <w:jc w:val="center"/>
                    <w:rPr>
                      <w:color w:val="auto"/>
                    </w:rPr>
                  </w:pPr>
                  <w:r>
                    <w:rPr>
                      <w:rFonts w:hint="eastAsia" w:ascii="Times New Roman" w:hAnsi="Times New Roman" w:eastAsia="宋体" w:cs="Times New Roman"/>
                      <w:color w:val="auto"/>
                      <w:lang w:val="en-US" w:eastAsia="zh-CN"/>
                    </w:rPr>
                    <w:t>0.317</w:t>
                  </w:r>
                </w:p>
              </w:tc>
              <w:tc>
                <w:tcPr>
                  <w:tcW w:w="986" w:type="dxa"/>
                  <w:tcBorders>
                    <w:top w:val="single" w:color="auto" w:sz="2" w:space="0"/>
                    <w:left w:val="single" w:color="auto" w:sz="2" w:space="0"/>
                    <w:bottom w:val="single" w:color="auto" w:sz="2" w:space="0"/>
                    <w:right w:val="single" w:color="auto" w:sz="2" w:space="0"/>
                  </w:tcBorders>
                  <w:vAlign w:val="center"/>
                </w:tcPr>
                <w:p w14:paraId="14614F90">
                  <w:pPr>
                    <w:jc w:val="center"/>
                    <w:rPr>
                      <w:rFonts w:hint="eastAsia"/>
                      <w:color w:val="auto"/>
                    </w:rPr>
                  </w:pPr>
                  <w:r>
                    <w:rPr>
                      <w:rFonts w:hint="eastAsia"/>
                      <w:color w:val="auto"/>
                      <w:lang w:val="en-US" w:eastAsia="zh-CN"/>
                    </w:rPr>
                    <w:t>+0.013</w:t>
                  </w:r>
                </w:p>
              </w:tc>
              <w:tc>
                <w:tcPr>
                  <w:tcW w:w="986" w:type="dxa"/>
                  <w:tcBorders>
                    <w:top w:val="single" w:color="auto" w:sz="2" w:space="0"/>
                    <w:left w:val="single" w:color="auto" w:sz="2" w:space="0"/>
                    <w:bottom w:val="single" w:color="auto" w:sz="2" w:space="0"/>
                    <w:right w:val="single" w:color="auto" w:sz="2" w:space="0"/>
                  </w:tcBorders>
                  <w:vAlign w:val="center"/>
                </w:tcPr>
                <w:p w14:paraId="2C264147">
                  <w:pPr>
                    <w:jc w:val="center"/>
                    <w:rPr>
                      <w:rFonts w:hint="eastAsia" w:eastAsia="宋体"/>
                      <w:color w:val="auto"/>
                      <w:lang w:eastAsia="zh-CN"/>
                    </w:rPr>
                  </w:pPr>
                  <w:r>
                    <w:rPr>
                      <w:rFonts w:hint="eastAsia"/>
                      <w:color w:val="auto"/>
                    </w:rPr>
                    <w:t>0.03</w:t>
                  </w:r>
                  <w:r>
                    <w:rPr>
                      <w:rFonts w:hint="eastAsia"/>
                      <w:color w:val="auto"/>
                      <w:lang w:val="en-US" w:eastAsia="zh-CN"/>
                    </w:rPr>
                    <w:t>7</w:t>
                  </w:r>
                </w:p>
              </w:tc>
            </w:tr>
            <w:tr w14:paraId="386281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519" w:type="dxa"/>
                  <w:vMerge w:val="continue"/>
                  <w:tcBorders>
                    <w:left w:val="single" w:color="auto" w:sz="2" w:space="0"/>
                    <w:right w:val="single" w:color="auto" w:sz="2" w:space="0"/>
                  </w:tcBorders>
                  <w:vAlign w:val="center"/>
                </w:tcPr>
                <w:p w14:paraId="26B7F71D">
                  <w:pPr>
                    <w:widowControl/>
                    <w:jc w:val="center"/>
                    <w:rPr>
                      <w:color w:val="auto"/>
                    </w:rPr>
                  </w:pPr>
                </w:p>
              </w:tc>
              <w:tc>
                <w:tcPr>
                  <w:tcW w:w="1370" w:type="dxa"/>
                  <w:gridSpan w:val="2"/>
                  <w:tcBorders>
                    <w:top w:val="single" w:color="auto" w:sz="2" w:space="0"/>
                    <w:left w:val="single" w:color="auto" w:sz="2" w:space="0"/>
                    <w:bottom w:val="single" w:color="auto" w:sz="2" w:space="0"/>
                    <w:right w:val="single" w:color="auto" w:sz="2" w:space="0"/>
                  </w:tcBorders>
                  <w:vAlign w:val="center"/>
                </w:tcPr>
                <w:p w14:paraId="3B32AE56">
                  <w:pPr>
                    <w:jc w:val="center"/>
                    <w:rPr>
                      <w:color w:val="auto"/>
                    </w:rPr>
                  </w:pPr>
                  <w:r>
                    <w:rPr>
                      <w:color w:val="auto"/>
                    </w:rPr>
                    <w:t>总</w:t>
                  </w:r>
                  <w:r>
                    <w:rPr>
                      <w:rFonts w:hint="eastAsia"/>
                      <w:color w:val="auto"/>
                    </w:rPr>
                    <w:t>氮</w:t>
                  </w:r>
                </w:p>
              </w:tc>
              <w:tc>
                <w:tcPr>
                  <w:tcW w:w="737" w:type="dxa"/>
                  <w:tcBorders>
                    <w:top w:val="single" w:color="auto" w:sz="2" w:space="0"/>
                    <w:left w:val="single" w:color="auto" w:sz="2" w:space="0"/>
                    <w:bottom w:val="single" w:color="auto" w:sz="2" w:space="0"/>
                    <w:right w:val="single" w:color="auto" w:sz="2" w:space="0"/>
                  </w:tcBorders>
                  <w:vAlign w:val="bottom"/>
                </w:tcPr>
                <w:p w14:paraId="55461511">
                  <w:pPr>
                    <w:jc w:val="center"/>
                    <w:rPr>
                      <w:color w:val="auto"/>
                    </w:rPr>
                  </w:pPr>
                  <w:r>
                    <w:rPr>
                      <w:rFonts w:hint="eastAsia"/>
                      <w:color w:val="auto"/>
                    </w:rPr>
                    <w:t>0</w:t>
                  </w:r>
                </w:p>
              </w:tc>
              <w:tc>
                <w:tcPr>
                  <w:tcW w:w="724" w:type="dxa"/>
                  <w:tcBorders>
                    <w:top w:val="single" w:color="auto" w:sz="2" w:space="0"/>
                    <w:left w:val="single" w:color="auto" w:sz="2" w:space="0"/>
                    <w:bottom w:val="single" w:color="auto" w:sz="2" w:space="0"/>
                    <w:right w:val="single" w:color="auto" w:sz="2" w:space="0"/>
                  </w:tcBorders>
                  <w:vAlign w:val="center"/>
                </w:tcPr>
                <w:p w14:paraId="7EAE9B5E">
                  <w:pPr>
                    <w:jc w:val="center"/>
                    <w:rPr>
                      <w:color w:val="auto"/>
                    </w:rPr>
                  </w:pPr>
                  <w:r>
                    <w:rPr>
                      <w:rFonts w:hint="eastAsia" w:ascii="Times New Roman" w:hAnsi="Times New Roman" w:eastAsia="宋体" w:cs="Times New Roman"/>
                      <w:color w:val="auto"/>
                      <w:lang w:val="en-US" w:eastAsia="zh-CN"/>
                    </w:rPr>
                    <w:t>0.515</w:t>
                  </w:r>
                </w:p>
              </w:tc>
              <w:tc>
                <w:tcPr>
                  <w:tcW w:w="714" w:type="dxa"/>
                  <w:tcBorders>
                    <w:top w:val="single" w:color="auto" w:sz="2" w:space="0"/>
                    <w:left w:val="single" w:color="auto" w:sz="2" w:space="0"/>
                    <w:bottom w:val="single" w:color="auto" w:sz="2" w:space="0"/>
                    <w:right w:val="single" w:color="auto" w:sz="2" w:space="0"/>
                  </w:tcBorders>
                  <w:vAlign w:val="center"/>
                </w:tcPr>
                <w:p w14:paraId="0FAF3B48">
                  <w:pPr>
                    <w:jc w:val="center"/>
                    <w:rPr>
                      <w:color w:val="auto"/>
                    </w:rPr>
                  </w:pPr>
                  <w:r>
                    <w:rPr>
                      <w:rFonts w:hint="eastAsia"/>
                      <w:color w:val="auto"/>
                    </w:rPr>
                    <w:t>0</w:t>
                  </w:r>
                </w:p>
              </w:tc>
              <w:tc>
                <w:tcPr>
                  <w:tcW w:w="723" w:type="dxa"/>
                  <w:tcBorders>
                    <w:top w:val="single" w:color="auto" w:sz="2" w:space="0"/>
                    <w:left w:val="single" w:color="auto" w:sz="2" w:space="0"/>
                    <w:bottom w:val="single" w:color="auto" w:sz="2" w:space="0"/>
                    <w:right w:val="single" w:color="auto" w:sz="2" w:space="0"/>
                  </w:tcBorders>
                  <w:vAlign w:val="center"/>
                </w:tcPr>
                <w:p w14:paraId="457D16BE">
                  <w:pPr>
                    <w:jc w:val="center"/>
                    <w:rPr>
                      <w:color w:val="auto"/>
                    </w:rPr>
                  </w:pPr>
                  <w:r>
                    <w:rPr>
                      <w:rFonts w:hint="eastAsia" w:ascii="Times New Roman" w:hAnsi="Times New Roman" w:eastAsia="宋体" w:cs="Times New Roman"/>
                      <w:color w:val="auto"/>
                      <w:lang w:val="en-US" w:eastAsia="zh-CN"/>
                    </w:rPr>
                    <w:t>0.515</w:t>
                  </w:r>
                </w:p>
              </w:tc>
              <w:tc>
                <w:tcPr>
                  <w:tcW w:w="1012" w:type="dxa"/>
                  <w:tcBorders>
                    <w:top w:val="single" w:color="auto" w:sz="2" w:space="0"/>
                    <w:left w:val="single" w:color="auto" w:sz="2" w:space="0"/>
                    <w:bottom w:val="single" w:color="auto" w:sz="2" w:space="0"/>
                    <w:right w:val="single" w:color="auto" w:sz="2" w:space="0"/>
                  </w:tcBorders>
                  <w:vAlign w:val="bottom"/>
                </w:tcPr>
                <w:p w14:paraId="6DFBE1E9">
                  <w:pPr>
                    <w:jc w:val="center"/>
                    <w:rPr>
                      <w:color w:val="auto"/>
                    </w:rPr>
                  </w:pPr>
                  <w:r>
                    <w:rPr>
                      <w:rFonts w:hint="eastAsia"/>
                      <w:color w:val="auto"/>
                    </w:rPr>
                    <w:t>0</w:t>
                  </w:r>
                </w:p>
              </w:tc>
              <w:tc>
                <w:tcPr>
                  <w:tcW w:w="1300" w:type="dxa"/>
                  <w:tcBorders>
                    <w:top w:val="single" w:color="auto" w:sz="2" w:space="0"/>
                    <w:left w:val="single" w:color="auto" w:sz="2" w:space="0"/>
                    <w:bottom w:val="single" w:color="auto" w:sz="2" w:space="0"/>
                    <w:right w:val="single" w:color="auto" w:sz="2" w:space="0"/>
                  </w:tcBorders>
                  <w:vAlign w:val="center"/>
                </w:tcPr>
                <w:p w14:paraId="5ED0CC2D">
                  <w:pPr>
                    <w:jc w:val="center"/>
                    <w:rPr>
                      <w:color w:val="auto"/>
                    </w:rPr>
                  </w:pPr>
                  <w:r>
                    <w:rPr>
                      <w:rFonts w:hint="eastAsia" w:ascii="Times New Roman" w:hAnsi="Times New Roman" w:eastAsia="宋体" w:cs="Times New Roman"/>
                      <w:color w:val="auto"/>
                      <w:lang w:val="en-US" w:eastAsia="zh-CN"/>
                    </w:rPr>
                    <w:t>0.515</w:t>
                  </w:r>
                </w:p>
              </w:tc>
              <w:tc>
                <w:tcPr>
                  <w:tcW w:w="986" w:type="dxa"/>
                  <w:tcBorders>
                    <w:top w:val="single" w:color="auto" w:sz="2" w:space="0"/>
                    <w:left w:val="single" w:color="auto" w:sz="2" w:space="0"/>
                    <w:bottom w:val="single" w:color="auto" w:sz="2" w:space="0"/>
                    <w:right w:val="single" w:color="auto" w:sz="2" w:space="0"/>
                  </w:tcBorders>
                  <w:vAlign w:val="center"/>
                </w:tcPr>
                <w:p w14:paraId="2970D00C">
                  <w:pPr>
                    <w:jc w:val="center"/>
                    <w:rPr>
                      <w:rFonts w:hint="eastAsia"/>
                      <w:color w:val="auto"/>
                    </w:rPr>
                  </w:pPr>
                  <w:r>
                    <w:rPr>
                      <w:rFonts w:hint="eastAsia"/>
                      <w:color w:val="auto"/>
                      <w:lang w:val="en-US" w:eastAsia="zh-CN"/>
                    </w:rPr>
                    <w:t>+0.515</w:t>
                  </w:r>
                </w:p>
              </w:tc>
              <w:tc>
                <w:tcPr>
                  <w:tcW w:w="986" w:type="dxa"/>
                  <w:tcBorders>
                    <w:top w:val="single" w:color="auto" w:sz="2" w:space="0"/>
                    <w:left w:val="single" w:color="auto" w:sz="2" w:space="0"/>
                    <w:bottom w:val="single" w:color="auto" w:sz="2" w:space="0"/>
                    <w:right w:val="single" w:color="auto" w:sz="2" w:space="0"/>
                  </w:tcBorders>
                  <w:vAlign w:val="center"/>
                </w:tcPr>
                <w:p w14:paraId="063E0C7E">
                  <w:pPr>
                    <w:jc w:val="center"/>
                    <w:rPr>
                      <w:rFonts w:hint="eastAsia" w:eastAsia="宋体"/>
                      <w:color w:val="auto"/>
                      <w:lang w:val="en-US" w:eastAsia="zh-CN"/>
                    </w:rPr>
                  </w:pPr>
                  <w:r>
                    <w:rPr>
                      <w:rFonts w:hint="eastAsia"/>
                      <w:color w:val="auto"/>
                    </w:rPr>
                    <w:t>0.11</w:t>
                  </w:r>
                  <w:r>
                    <w:rPr>
                      <w:rFonts w:hint="eastAsia"/>
                      <w:color w:val="auto"/>
                      <w:lang w:val="en-US" w:eastAsia="zh-CN"/>
                    </w:rPr>
                    <w:t>2</w:t>
                  </w:r>
                </w:p>
              </w:tc>
            </w:tr>
            <w:tr w14:paraId="1AED5D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519" w:type="dxa"/>
                  <w:vMerge w:val="continue"/>
                  <w:tcBorders>
                    <w:left w:val="single" w:color="auto" w:sz="2" w:space="0"/>
                    <w:right w:val="single" w:color="auto" w:sz="2" w:space="0"/>
                  </w:tcBorders>
                  <w:vAlign w:val="center"/>
                </w:tcPr>
                <w:p w14:paraId="61072D72">
                  <w:pPr>
                    <w:widowControl/>
                    <w:jc w:val="center"/>
                    <w:rPr>
                      <w:color w:val="auto"/>
                    </w:rPr>
                  </w:pPr>
                </w:p>
              </w:tc>
              <w:tc>
                <w:tcPr>
                  <w:tcW w:w="1370" w:type="dxa"/>
                  <w:gridSpan w:val="2"/>
                  <w:tcBorders>
                    <w:top w:val="single" w:color="auto" w:sz="2" w:space="0"/>
                    <w:left w:val="single" w:color="auto" w:sz="2" w:space="0"/>
                    <w:bottom w:val="single" w:color="auto" w:sz="2" w:space="0"/>
                    <w:right w:val="single" w:color="auto" w:sz="2" w:space="0"/>
                  </w:tcBorders>
                  <w:vAlign w:val="center"/>
                </w:tcPr>
                <w:p w14:paraId="58BA7512">
                  <w:pPr>
                    <w:jc w:val="center"/>
                    <w:rPr>
                      <w:color w:val="auto"/>
                    </w:rPr>
                  </w:pPr>
                  <w:r>
                    <w:rPr>
                      <w:color w:val="auto"/>
                    </w:rPr>
                    <w:t>总</w:t>
                  </w:r>
                  <w:r>
                    <w:rPr>
                      <w:rFonts w:hint="eastAsia"/>
                      <w:color w:val="auto"/>
                    </w:rPr>
                    <w:t>磷</w:t>
                  </w:r>
                </w:p>
              </w:tc>
              <w:tc>
                <w:tcPr>
                  <w:tcW w:w="737" w:type="dxa"/>
                  <w:tcBorders>
                    <w:top w:val="single" w:color="auto" w:sz="2" w:space="0"/>
                    <w:left w:val="single" w:color="auto" w:sz="2" w:space="0"/>
                    <w:bottom w:val="single" w:color="auto" w:sz="4" w:space="0"/>
                    <w:right w:val="single" w:color="auto" w:sz="2" w:space="0"/>
                  </w:tcBorders>
                  <w:vAlign w:val="center"/>
                </w:tcPr>
                <w:p w14:paraId="2B536CB1">
                  <w:pPr>
                    <w:adjustRightInd w:val="0"/>
                    <w:jc w:val="center"/>
                    <w:rPr>
                      <w:color w:val="auto"/>
                    </w:rPr>
                  </w:pPr>
                  <w:r>
                    <w:rPr>
                      <w:rFonts w:hint="eastAsia"/>
                      <w:bCs/>
                      <w:color w:val="auto"/>
                    </w:rPr>
                    <w:t>0.051</w:t>
                  </w:r>
                </w:p>
              </w:tc>
              <w:tc>
                <w:tcPr>
                  <w:tcW w:w="724" w:type="dxa"/>
                  <w:tcBorders>
                    <w:top w:val="single" w:color="auto" w:sz="2" w:space="0"/>
                    <w:left w:val="single" w:color="auto" w:sz="2" w:space="0"/>
                    <w:bottom w:val="single" w:color="auto" w:sz="2" w:space="0"/>
                    <w:right w:val="single" w:color="auto" w:sz="2" w:space="0"/>
                  </w:tcBorders>
                  <w:vAlign w:val="center"/>
                </w:tcPr>
                <w:p w14:paraId="08D44412">
                  <w:pPr>
                    <w:jc w:val="center"/>
                    <w:rPr>
                      <w:color w:val="auto"/>
                    </w:rPr>
                  </w:pPr>
                  <w:r>
                    <w:rPr>
                      <w:rFonts w:hint="eastAsia" w:ascii="Times New Roman" w:hAnsi="Times New Roman" w:eastAsia="宋体" w:cs="Times New Roman"/>
                      <w:color w:val="auto"/>
                      <w:lang w:val="en-US" w:eastAsia="zh-CN"/>
                    </w:rPr>
                    <w:t>0.06</w:t>
                  </w:r>
                </w:p>
              </w:tc>
              <w:tc>
                <w:tcPr>
                  <w:tcW w:w="714" w:type="dxa"/>
                  <w:tcBorders>
                    <w:top w:val="single" w:color="auto" w:sz="2" w:space="0"/>
                    <w:left w:val="single" w:color="auto" w:sz="2" w:space="0"/>
                    <w:bottom w:val="single" w:color="auto" w:sz="2" w:space="0"/>
                    <w:right w:val="single" w:color="auto" w:sz="2" w:space="0"/>
                  </w:tcBorders>
                  <w:vAlign w:val="center"/>
                </w:tcPr>
                <w:p w14:paraId="446B5B49">
                  <w:pPr>
                    <w:jc w:val="center"/>
                    <w:rPr>
                      <w:color w:val="auto"/>
                    </w:rPr>
                  </w:pPr>
                  <w:r>
                    <w:rPr>
                      <w:rFonts w:hint="eastAsia"/>
                      <w:color w:val="auto"/>
                    </w:rPr>
                    <w:t>0</w:t>
                  </w:r>
                </w:p>
              </w:tc>
              <w:tc>
                <w:tcPr>
                  <w:tcW w:w="723" w:type="dxa"/>
                  <w:tcBorders>
                    <w:top w:val="single" w:color="auto" w:sz="2" w:space="0"/>
                    <w:left w:val="single" w:color="auto" w:sz="2" w:space="0"/>
                    <w:bottom w:val="single" w:color="auto" w:sz="2" w:space="0"/>
                    <w:right w:val="single" w:color="auto" w:sz="2" w:space="0"/>
                  </w:tcBorders>
                  <w:vAlign w:val="center"/>
                </w:tcPr>
                <w:p w14:paraId="549AB0B6">
                  <w:pPr>
                    <w:jc w:val="center"/>
                    <w:rPr>
                      <w:color w:val="auto"/>
                    </w:rPr>
                  </w:pPr>
                  <w:r>
                    <w:rPr>
                      <w:rFonts w:hint="eastAsia" w:ascii="Times New Roman" w:hAnsi="Times New Roman" w:eastAsia="宋体" w:cs="Times New Roman"/>
                      <w:color w:val="auto"/>
                      <w:lang w:val="en-US" w:eastAsia="zh-CN"/>
                    </w:rPr>
                    <w:t>0.06</w:t>
                  </w:r>
                </w:p>
              </w:tc>
              <w:tc>
                <w:tcPr>
                  <w:tcW w:w="1012" w:type="dxa"/>
                  <w:tcBorders>
                    <w:top w:val="single" w:color="auto" w:sz="2" w:space="0"/>
                    <w:left w:val="single" w:color="auto" w:sz="2" w:space="0"/>
                    <w:bottom w:val="single" w:color="auto" w:sz="2" w:space="0"/>
                    <w:right w:val="single" w:color="auto" w:sz="2" w:space="0"/>
                  </w:tcBorders>
                  <w:vAlign w:val="center"/>
                </w:tcPr>
                <w:p w14:paraId="1492EFF4">
                  <w:pPr>
                    <w:adjustRightInd w:val="0"/>
                    <w:jc w:val="center"/>
                    <w:rPr>
                      <w:color w:val="auto"/>
                    </w:rPr>
                  </w:pPr>
                  <w:r>
                    <w:rPr>
                      <w:rFonts w:hint="eastAsia"/>
                      <w:bCs/>
                      <w:color w:val="auto"/>
                    </w:rPr>
                    <w:t>0.051</w:t>
                  </w:r>
                </w:p>
              </w:tc>
              <w:tc>
                <w:tcPr>
                  <w:tcW w:w="1300" w:type="dxa"/>
                  <w:tcBorders>
                    <w:top w:val="single" w:color="auto" w:sz="2" w:space="0"/>
                    <w:left w:val="single" w:color="auto" w:sz="2" w:space="0"/>
                    <w:bottom w:val="single" w:color="auto" w:sz="2" w:space="0"/>
                    <w:right w:val="single" w:color="auto" w:sz="2" w:space="0"/>
                  </w:tcBorders>
                  <w:vAlign w:val="center"/>
                </w:tcPr>
                <w:p w14:paraId="1A92D6D7">
                  <w:pPr>
                    <w:jc w:val="center"/>
                    <w:rPr>
                      <w:color w:val="auto"/>
                    </w:rPr>
                  </w:pPr>
                  <w:r>
                    <w:rPr>
                      <w:rFonts w:hint="eastAsia" w:ascii="Times New Roman" w:hAnsi="Times New Roman" w:eastAsia="宋体" w:cs="Times New Roman"/>
                      <w:color w:val="auto"/>
                      <w:lang w:val="en-US" w:eastAsia="zh-CN"/>
                    </w:rPr>
                    <w:t>0.06</w:t>
                  </w:r>
                </w:p>
              </w:tc>
              <w:tc>
                <w:tcPr>
                  <w:tcW w:w="986" w:type="dxa"/>
                  <w:tcBorders>
                    <w:top w:val="single" w:color="auto" w:sz="2" w:space="0"/>
                    <w:left w:val="single" w:color="auto" w:sz="2" w:space="0"/>
                    <w:bottom w:val="single" w:color="auto" w:sz="2" w:space="0"/>
                    <w:right w:val="single" w:color="auto" w:sz="2" w:space="0"/>
                  </w:tcBorders>
                  <w:vAlign w:val="center"/>
                </w:tcPr>
                <w:p w14:paraId="006F2316">
                  <w:pPr>
                    <w:jc w:val="center"/>
                    <w:rPr>
                      <w:rFonts w:hint="eastAsia"/>
                      <w:color w:val="auto"/>
                    </w:rPr>
                  </w:pPr>
                  <w:r>
                    <w:rPr>
                      <w:rFonts w:hint="eastAsia"/>
                      <w:color w:val="auto"/>
                      <w:lang w:val="en-US" w:eastAsia="zh-CN"/>
                    </w:rPr>
                    <w:t>+0.009</w:t>
                  </w:r>
                </w:p>
              </w:tc>
              <w:tc>
                <w:tcPr>
                  <w:tcW w:w="986" w:type="dxa"/>
                  <w:tcBorders>
                    <w:top w:val="single" w:color="auto" w:sz="2" w:space="0"/>
                    <w:left w:val="single" w:color="auto" w:sz="2" w:space="0"/>
                    <w:bottom w:val="single" w:color="auto" w:sz="2" w:space="0"/>
                    <w:right w:val="single" w:color="auto" w:sz="2" w:space="0"/>
                  </w:tcBorders>
                  <w:vAlign w:val="center"/>
                </w:tcPr>
                <w:p w14:paraId="63D476E3">
                  <w:pPr>
                    <w:jc w:val="center"/>
                    <w:rPr>
                      <w:color w:val="auto"/>
                    </w:rPr>
                  </w:pPr>
                  <w:r>
                    <w:rPr>
                      <w:rFonts w:hint="eastAsia"/>
                      <w:color w:val="auto"/>
                    </w:rPr>
                    <w:t>0.004</w:t>
                  </w:r>
                </w:p>
              </w:tc>
            </w:tr>
            <w:tr w14:paraId="51F578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519" w:type="dxa"/>
                  <w:vMerge w:val="continue"/>
                  <w:tcBorders>
                    <w:left w:val="single" w:color="auto" w:sz="2" w:space="0"/>
                    <w:right w:val="single" w:color="auto" w:sz="2" w:space="0"/>
                  </w:tcBorders>
                  <w:vAlign w:val="center"/>
                </w:tcPr>
                <w:p w14:paraId="34D5E588">
                  <w:pPr>
                    <w:widowControl/>
                    <w:jc w:val="center"/>
                    <w:rPr>
                      <w:color w:val="auto"/>
                    </w:rPr>
                  </w:pPr>
                </w:p>
              </w:tc>
              <w:tc>
                <w:tcPr>
                  <w:tcW w:w="1370" w:type="dxa"/>
                  <w:gridSpan w:val="2"/>
                  <w:tcBorders>
                    <w:top w:val="single" w:color="auto" w:sz="2" w:space="0"/>
                    <w:left w:val="single" w:color="auto" w:sz="2" w:space="0"/>
                    <w:bottom w:val="single" w:color="auto" w:sz="2" w:space="0"/>
                    <w:right w:val="single" w:color="auto" w:sz="4" w:space="0"/>
                  </w:tcBorders>
                  <w:vAlign w:val="center"/>
                </w:tcPr>
                <w:p w14:paraId="1F9BB7E2">
                  <w:pPr>
                    <w:jc w:val="center"/>
                    <w:rPr>
                      <w:color w:val="auto"/>
                    </w:rPr>
                  </w:pPr>
                  <w:r>
                    <w:rPr>
                      <w:rFonts w:hint="eastAsia"/>
                      <w:color w:val="auto"/>
                    </w:rPr>
                    <w:t>动植物油</w:t>
                  </w:r>
                </w:p>
              </w:tc>
              <w:tc>
                <w:tcPr>
                  <w:tcW w:w="737" w:type="dxa"/>
                  <w:tcBorders>
                    <w:top w:val="single" w:color="auto" w:sz="4" w:space="0"/>
                    <w:left w:val="single" w:color="auto" w:sz="4" w:space="0"/>
                    <w:bottom w:val="single" w:color="auto" w:sz="4" w:space="0"/>
                    <w:right w:val="single" w:color="auto" w:sz="4" w:space="0"/>
                  </w:tcBorders>
                  <w:vAlign w:val="center"/>
                </w:tcPr>
                <w:p w14:paraId="21AEADB5">
                  <w:pPr>
                    <w:adjustRightInd w:val="0"/>
                    <w:jc w:val="center"/>
                    <w:rPr>
                      <w:color w:val="auto"/>
                    </w:rPr>
                  </w:pPr>
                  <w:r>
                    <w:rPr>
                      <w:rFonts w:hint="eastAsia"/>
                      <w:bCs/>
                      <w:color w:val="auto"/>
                    </w:rPr>
                    <w:t>0.648</w:t>
                  </w:r>
                </w:p>
              </w:tc>
              <w:tc>
                <w:tcPr>
                  <w:tcW w:w="724" w:type="dxa"/>
                  <w:tcBorders>
                    <w:top w:val="single" w:color="auto" w:sz="2" w:space="0"/>
                    <w:left w:val="single" w:color="auto" w:sz="4" w:space="0"/>
                    <w:bottom w:val="single" w:color="auto" w:sz="2" w:space="0"/>
                    <w:right w:val="single" w:color="auto" w:sz="2" w:space="0"/>
                  </w:tcBorders>
                  <w:vAlign w:val="center"/>
                </w:tcPr>
                <w:p w14:paraId="746F0990">
                  <w:pPr>
                    <w:jc w:val="center"/>
                    <w:rPr>
                      <w:color w:val="auto"/>
                    </w:rPr>
                  </w:pPr>
                  <w:r>
                    <w:rPr>
                      <w:rFonts w:hint="eastAsia" w:ascii="Times New Roman" w:hAnsi="Times New Roman" w:eastAsia="宋体" w:cs="Times New Roman"/>
                      <w:color w:val="auto"/>
                      <w:lang w:val="en-US" w:eastAsia="zh-CN"/>
                    </w:rPr>
                    <w:t>0.25</w:t>
                  </w:r>
                </w:p>
              </w:tc>
              <w:tc>
                <w:tcPr>
                  <w:tcW w:w="714" w:type="dxa"/>
                  <w:tcBorders>
                    <w:top w:val="single" w:color="auto" w:sz="2" w:space="0"/>
                    <w:left w:val="single" w:color="auto" w:sz="2" w:space="0"/>
                    <w:bottom w:val="single" w:color="auto" w:sz="2" w:space="0"/>
                    <w:right w:val="single" w:color="auto" w:sz="2" w:space="0"/>
                  </w:tcBorders>
                  <w:vAlign w:val="center"/>
                </w:tcPr>
                <w:p w14:paraId="6CB530BC">
                  <w:pPr>
                    <w:jc w:val="center"/>
                    <w:rPr>
                      <w:color w:val="auto"/>
                    </w:rPr>
                  </w:pPr>
                  <w:r>
                    <w:rPr>
                      <w:rFonts w:hint="eastAsia"/>
                      <w:color w:val="auto"/>
                    </w:rPr>
                    <w:t>0.15</w:t>
                  </w:r>
                </w:p>
              </w:tc>
              <w:tc>
                <w:tcPr>
                  <w:tcW w:w="723" w:type="dxa"/>
                  <w:tcBorders>
                    <w:top w:val="single" w:color="auto" w:sz="2" w:space="0"/>
                    <w:left w:val="single" w:color="auto" w:sz="2" w:space="0"/>
                    <w:bottom w:val="single" w:color="auto" w:sz="2" w:space="0"/>
                    <w:right w:val="single" w:color="auto" w:sz="2" w:space="0"/>
                  </w:tcBorders>
                  <w:vAlign w:val="center"/>
                </w:tcPr>
                <w:p w14:paraId="795577FC">
                  <w:pPr>
                    <w:jc w:val="center"/>
                    <w:rPr>
                      <w:color w:val="auto"/>
                    </w:rPr>
                  </w:pPr>
                  <w:r>
                    <w:rPr>
                      <w:rFonts w:hint="eastAsia" w:ascii="Times New Roman" w:hAnsi="Times New Roman" w:eastAsia="宋体" w:cs="Times New Roman"/>
                      <w:color w:val="auto"/>
                    </w:rPr>
                    <w:t>0.1</w:t>
                  </w:r>
                </w:p>
              </w:tc>
              <w:tc>
                <w:tcPr>
                  <w:tcW w:w="1012" w:type="dxa"/>
                  <w:tcBorders>
                    <w:top w:val="single" w:color="auto" w:sz="2" w:space="0"/>
                    <w:left w:val="single" w:color="auto" w:sz="2" w:space="0"/>
                    <w:bottom w:val="single" w:color="auto" w:sz="2" w:space="0"/>
                    <w:right w:val="single" w:color="auto" w:sz="2" w:space="0"/>
                  </w:tcBorders>
                  <w:vAlign w:val="center"/>
                </w:tcPr>
                <w:p w14:paraId="279A3BF8">
                  <w:pPr>
                    <w:adjustRightInd w:val="0"/>
                    <w:jc w:val="center"/>
                    <w:rPr>
                      <w:color w:val="auto"/>
                    </w:rPr>
                  </w:pPr>
                  <w:r>
                    <w:rPr>
                      <w:rFonts w:hint="eastAsia"/>
                      <w:bCs/>
                      <w:color w:val="auto"/>
                    </w:rPr>
                    <w:t>0.648</w:t>
                  </w:r>
                </w:p>
              </w:tc>
              <w:tc>
                <w:tcPr>
                  <w:tcW w:w="1300" w:type="dxa"/>
                  <w:tcBorders>
                    <w:top w:val="single" w:color="auto" w:sz="2" w:space="0"/>
                    <w:left w:val="single" w:color="auto" w:sz="2" w:space="0"/>
                    <w:bottom w:val="single" w:color="auto" w:sz="2" w:space="0"/>
                    <w:right w:val="single" w:color="auto" w:sz="2" w:space="0"/>
                  </w:tcBorders>
                  <w:vAlign w:val="center"/>
                </w:tcPr>
                <w:p w14:paraId="6578110D">
                  <w:pPr>
                    <w:jc w:val="center"/>
                    <w:rPr>
                      <w:color w:val="auto"/>
                    </w:rPr>
                  </w:pPr>
                  <w:r>
                    <w:rPr>
                      <w:rFonts w:hint="eastAsia" w:ascii="Times New Roman" w:hAnsi="Times New Roman" w:eastAsia="宋体" w:cs="Times New Roman"/>
                      <w:color w:val="auto"/>
                    </w:rPr>
                    <w:t>0.1</w:t>
                  </w:r>
                </w:p>
              </w:tc>
              <w:tc>
                <w:tcPr>
                  <w:tcW w:w="986" w:type="dxa"/>
                  <w:tcBorders>
                    <w:top w:val="single" w:color="auto" w:sz="2" w:space="0"/>
                    <w:left w:val="single" w:color="auto" w:sz="2" w:space="0"/>
                    <w:bottom w:val="single" w:color="auto" w:sz="2" w:space="0"/>
                    <w:right w:val="single" w:color="auto" w:sz="2" w:space="0"/>
                  </w:tcBorders>
                  <w:vAlign w:val="center"/>
                </w:tcPr>
                <w:p w14:paraId="4D8E85D0">
                  <w:pPr>
                    <w:jc w:val="center"/>
                    <w:rPr>
                      <w:rFonts w:hint="eastAsia"/>
                      <w:color w:val="auto"/>
                    </w:rPr>
                  </w:pPr>
                  <w:r>
                    <w:rPr>
                      <w:rFonts w:hint="eastAsia"/>
                      <w:color w:val="auto"/>
                      <w:lang w:val="en-US" w:eastAsia="zh-CN"/>
                    </w:rPr>
                    <w:t>-0.548</w:t>
                  </w:r>
                </w:p>
              </w:tc>
              <w:tc>
                <w:tcPr>
                  <w:tcW w:w="986" w:type="dxa"/>
                  <w:tcBorders>
                    <w:top w:val="single" w:color="auto" w:sz="2" w:space="0"/>
                    <w:left w:val="single" w:color="auto" w:sz="2" w:space="0"/>
                    <w:bottom w:val="single" w:color="auto" w:sz="2" w:space="0"/>
                    <w:right w:val="single" w:color="auto" w:sz="2" w:space="0"/>
                  </w:tcBorders>
                  <w:vAlign w:val="center"/>
                </w:tcPr>
                <w:p w14:paraId="2AE43082">
                  <w:pPr>
                    <w:jc w:val="center"/>
                    <w:rPr>
                      <w:rFonts w:hint="eastAsia" w:eastAsia="宋体"/>
                      <w:color w:val="auto"/>
                      <w:lang w:eastAsia="zh-CN"/>
                    </w:rPr>
                  </w:pPr>
                  <w:r>
                    <w:rPr>
                      <w:rFonts w:hint="eastAsia"/>
                      <w:color w:val="auto"/>
                    </w:rPr>
                    <w:t>0.00</w:t>
                  </w:r>
                  <w:r>
                    <w:rPr>
                      <w:rFonts w:hint="eastAsia"/>
                      <w:color w:val="auto"/>
                      <w:lang w:val="en-US" w:eastAsia="zh-CN"/>
                    </w:rPr>
                    <w:t>7</w:t>
                  </w:r>
                </w:p>
              </w:tc>
            </w:tr>
            <w:tr w14:paraId="151998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519" w:type="dxa"/>
                  <w:vMerge w:val="restart"/>
                  <w:tcBorders>
                    <w:top w:val="single" w:color="auto" w:sz="2" w:space="0"/>
                    <w:left w:val="single" w:color="auto" w:sz="2" w:space="0"/>
                    <w:bottom w:val="single" w:color="auto" w:sz="2" w:space="0"/>
                    <w:right w:val="single" w:color="auto" w:sz="2" w:space="0"/>
                  </w:tcBorders>
                  <w:vAlign w:val="center"/>
                </w:tcPr>
                <w:p w14:paraId="58698EC8">
                  <w:pPr>
                    <w:jc w:val="center"/>
                    <w:rPr>
                      <w:color w:val="auto"/>
                    </w:rPr>
                  </w:pPr>
                  <w:r>
                    <w:rPr>
                      <w:color w:val="auto"/>
                    </w:rPr>
                    <w:t>固废</w:t>
                  </w:r>
                </w:p>
              </w:tc>
              <w:tc>
                <w:tcPr>
                  <w:tcW w:w="1370" w:type="dxa"/>
                  <w:gridSpan w:val="2"/>
                  <w:tcBorders>
                    <w:top w:val="single" w:color="auto" w:sz="2" w:space="0"/>
                    <w:left w:val="single" w:color="auto" w:sz="2" w:space="0"/>
                    <w:bottom w:val="single" w:color="auto" w:sz="2" w:space="0"/>
                    <w:right w:val="single" w:color="auto" w:sz="2" w:space="0"/>
                  </w:tcBorders>
                  <w:vAlign w:val="center"/>
                </w:tcPr>
                <w:p w14:paraId="173B44F6">
                  <w:pPr>
                    <w:jc w:val="center"/>
                    <w:rPr>
                      <w:color w:val="auto"/>
                    </w:rPr>
                  </w:pPr>
                  <w:r>
                    <w:rPr>
                      <w:color w:val="auto"/>
                    </w:rPr>
                    <w:t>危险废物</w:t>
                  </w:r>
                </w:p>
              </w:tc>
              <w:tc>
                <w:tcPr>
                  <w:tcW w:w="737" w:type="dxa"/>
                  <w:tcBorders>
                    <w:top w:val="single" w:color="auto" w:sz="4" w:space="0"/>
                    <w:left w:val="single" w:color="auto" w:sz="2" w:space="0"/>
                    <w:bottom w:val="single" w:color="auto" w:sz="2" w:space="0"/>
                    <w:right w:val="single" w:color="auto" w:sz="2" w:space="0"/>
                  </w:tcBorders>
                  <w:vAlign w:val="center"/>
                </w:tcPr>
                <w:p w14:paraId="10BA067F">
                  <w:pPr>
                    <w:jc w:val="center"/>
                    <w:rPr>
                      <w:color w:val="auto"/>
                    </w:rPr>
                  </w:pPr>
                  <w:r>
                    <w:rPr>
                      <w:rFonts w:hint="eastAsia"/>
                      <w:color w:val="auto"/>
                    </w:rPr>
                    <w:t>0</w:t>
                  </w:r>
                </w:p>
              </w:tc>
              <w:tc>
                <w:tcPr>
                  <w:tcW w:w="724" w:type="dxa"/>
                  <w:tcBorders>
                    <w:top w:val="single" w:color="auto" w:sz="2" w:space="0"/>
                    <w:left w:val="single" w:color="auto" w:sz="2" w:space="0"/>
                    <w:bottom w:val="single" w:color="auto" w:sz="2" w:space="0"/>
                    <w:right w:val="single" w:color="auto" w:sz="2" w:space="0"/>
                  </w:tcBorders>
                  <w:vAlign w:val="center"/>
                </w:tcPr>
                <w:p w14:paraId="789321BC">
                  <w:pPr>
                    <w:jc w:val="center"/>
                    <w:rPr>
                      <w:rFonts w:hint="eastAsia" w:eastAsia="宋体"/>
                      <w:color w:val="auto"/>
                      <w:lang w:eastAsia="zh-CN"/>
                    </w:rPr>
                  </w:pPr>
                  <w:r>
                    <w:rPr>
                      <w:rFonts w:hint="eastAsia"/>
                      <w:color w:val="auto"/>
                      <w:lang w:eastAsia="zh-CN"/>
                    </w:rPr>
                    <w:t>15.509</w:t>
                  </w:r>
                </w:p>
              </w:tc>
              <w:tc>
                <w:tcPr>
                  <w:tcW w:w="714" w:type="dxa"/>
                  <w:tcBorders>
                    <w:top w:val="single" w:color="auto" w:sz="2" w:space="0"/>
                    <w:left w:val="single" w:color="auto" w:sz="2" w:space="0"/>
                    <w:bottom w:val="single" w:color="auto" w:sz="2" w:space="0"/>
                    <w:right w:val="single" w:color="auto" w:sz="2" w:space="0"/>
                  </w:tcBorders>
                  <w:vAlign w:val="center"/>
                </w:tcPr>
                <w:p w14:paraId="431FE9A9">
                  <w:pPr>
                    <w:jc w:val="center"/>
                    <w:rPr>
                      <w:rFonts w:hint="eastAsia" w:eastAsia="宋体"/>
                      <w:color w:val="auto"/>
                      <w:lang w:eastAsia="zh-CN"/>
                    </w:rPr>
                  </w:pPr>
                  <w:r>
                    <w:rPr>
                      <w:rFonts w:hint="eastAsia"/>
                      <w:color w:val="auto"/>
                      <w:lang w:eastAsia="zh-CN"/>
                    </w:rPr>
                    <w:t>15.509</w:t>
                  </w:r>
                </w:p>
              </w:tc>
              <w:tc>
                <w:tcPr>
                  <w:tcW w:w="723" w:type="dxa"/>
                  <w:tcBorders>
                    <w:top w:val="single" w:color="auto" w:sz="2" w:space="0"/>
                    <w:left w:val="single" w:color="auto" w:sz="2" w:space="0"/>
                    <w:bottom w:val="single" w:color="auto" w:sz="2" w:space="0"/>
                    <w:right w:val="single" w:color="auto" w:sz="2" w:space="0"/>
                  </w:tcBorders>
                  <w:vAlign w:val="center"/>
                </w:tcPr>
                <w:p w14:paraId="1599F7CE">
                  <w:pPr>
                    <w:jc w:val="center"/>
                    <w:rPr>
                      <w:color w:val="auto"/>
                    </w:rPr>
                  </w:pPr>
                  <w:r>
                    <w:rPr>
                      <w:rFonts w:hint="eastAsia"/>
                      <w:color w:val="auto"/>
                    </w:rPr>
                    <w:t>0</w:t>
                  </w:r>
                </w:p>
              </w:tc>
              <w:tc>
                <w:tcPr>
                  <w:tcW w:w="1012" w:type="dxa"/>
                  <w:tcBorders>
                    <w:top w:val="single" w:color="auto" w:sz="2" w:space="0"/>
                    <w:left w:val="single" w:color="auto" w:sz="2" w:space="0"/>
                    <w:bottom w:val="single" w:color="auto" w:sz="2" w:space="0"/>
                    <w:right w:val="single" w:color="auto" w:sz="2" w:space="0"/>
                  </w:tcBorders>
                  <w:vAlign w:val="center"/>
                </w:tcPr>
                <w:p w14:paraId="7C4AA394">
                  <w:pPr>
                    <w:jc w:val="center"/>
                    <w:rPr>
                      <w:color w:val="auto"/>
                    </w:rPr>
                  </w:pPr>
                  <w:r>
                    <w:rPr>
                      <w:rFonts w:hint="eastAsia"/>
                      <w:color w:val="auto"/>
                    </w:rPr>
                    <w:t>0</w:t>
                  </w:r>
                </w:p>
              </w:tc>
              <w:tc>
                <w:tcPr>
                  <w:tcW w:w="1300" w:type="dxa"/>
                  <w:tcBorders>
                    <w:top w:val="single" w:color="auto" w:sz="2" w:space="0"/>
                    <w:left w:val="single" w:color="auto" w:sz="2" w:space="0"/>
                    <w:bottom w:val="single" w:color="auto" w:sz="2" w:space="0"/>
                    <w:right w:val="single" w:color="auto" w:sz="2" w:space="0"/>
                  </w:tcBorders>
                  <w:vAlign w:val="center"/>
                </w:tcPr>
                <w:p w14:paraId="06CBC11C">
                  <w:pPr>
                    <w:jc w:val="center"/>
                    <w:rPr>
                      <w:color w:val="auto"/>
                    </w:rPr>
                  </w:pPr>
                  <w:r>
                    <w:rPr>
                      <w:rFonts w:hint="eastAsia"/>
                      <w:color w:val="auto"/>
                    </w:rPr>
                    <w:t>0</w:t>
                  </w:r>
                </w:p>
              </w:tc>
              <w:tc>
                <w:tcPr>
                  <w:tcW w:w="986" w:type="dxa"/>
                  <w:tcBorders>
                    <w:top w:val="single" w:color="auto" w:sz="2" w:space="0"/>
                    <w:left w:val="single" w:color="auto" w:sz="2" w:space="0"/>
                    <w:bottom w:val="single" w:color="auto" w:sz="2" w:space="0"/>
                    <w:right w:val="single" w:color="auto" w:sz="2" w:space="0"/>
                  </w:tcBorders>
                  <w:vAlign w:val="center"/>
                </w:tcPr>
                <w:p w14:paraId="487FF3F5">
                  <w:pPr>
                    <w:jc w:val="center"/>
                    <w:rPr>
                      <w:color w:val="auto"/>
                    </w:rPr>
                  </w:pPr>
                  <w:r>
                    <w:rPr>
                      <w:rFonts w:hint="eastAsia"/>
                      <w:color w:val="auto"/>
                    </w:rPr>
                    <w:t>0</w:t>
                  </w:r>
                </w:p>
              </w:tc>
              <w:tc>
                <w:tcPr>
                  <w:tcW w:w="986" w:type="dxa"/>
                  <w:tcBorders>
                    <w:top w:val="single" w:color="auto" w:sz="2" w:space="0"/>
                    <w:left w:val="single" w:color="auto" w:sz="2" w:space="0"/>
                    <w:bottom w:val="single" w:color="auto" w:sz="2" w:space="0"/>
                    <w:right w:val="single" w:color="auto" w:sz="2" w:space="0"/>
                  </w:tcBorders>
                  <w:vAlign w:val="center"/>
                </w:tcPr>
                <w:p w14:paraId="5D24085F">
                  <w:pPr>
                    <w:jc w:val="center"/>
                    <w:rPr>
                      <w:color w:val="auto"/>
                    </w:rPr>
                  </w:pPr>
                  <w:r>
                    <w:rPr>
                      <w:rFonts w:hint="eastAsia"/>
                      <w:color w:val="auto"/>
                    </w:rPr>
                    <w:t>0</w:t>
                  </w:r>
                </w:p>
              </w:tc>
            </w:tr>
            <w:tr w14:paraId="27BB92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519" w:type="dxa"/>
                  <w:vMerge w:val="continue"/>
                  <w:tcBorders>
                    <w:top w:val="single" w:color="auto" w:sz="2" w:space="0"/>
                    <w:left w:val="single" w:color="auto" w:sz="2" w:space="0"/>
                    <w:bottom w:val="single" w:color="auto" w:sz="2" w:space="0"/>
                    <w:right w:val="single" w:color="auto" w:sz="2" w:space="0"/>
                  </w:tcBorders>
                  <w:vAlign w:val="center"/>
                </w:tcPr>
                <w:p w14:paraId="5EF71DB1">
                  <w:pPr>
                    <w:widowControl/>
                    <w:jc w:val="center"/>
                    <w:rPr>
                      <w:color w:val="auto"/>
                    </w:rPr>
                  </w:pPr>
                </w:p>
              </w:tc>
              <w:tc>
                <w:tcPr>
                  <w:tcW w:w="1370" w:type="dxa"/>
                  <w:gridSpan w:val="2"/>
                  <w:tcBorders>
                    <w:top w:val="single" w:color="auto" w:sz="2" w:space="0"/>
                    <w:left w:val="single" w:color="auto" w:sz="2" w:space="0"/>
                    <w:bottom w:val="single" w:color="auto" w:sz="2" w:space="0"/>
                    <w:right w:val="single" w:color="auto" w:sz="2" w:space="0"/>
                  </w:tcBorders>
                  <w:vAlign w:val="center"/>
                </w:tcPr>
                <w:p w14:paraId="4496BC3A">
                  <w:pPr>
                    <w:jc w:val="center"/>
                    <w:rPr>
                      <w:color w:val="auto"/>
                    </w:rPr>
                  </w:pPr>
                  <w:r>
                    <w:rPr>
                      <w:color w:val="auto"/>
                    </w:rPr>
                    <w:t>一般固废</w:t>
                  </w:r>
                </w:p>
              </w:tc>
              <w:tc>
                <w:tcPr>
                  <w:tcW w:w="737" w:type="dxa"/>
                  <w:tcBorders>
                    <w:top w:val="single" w:color="auto" w:sz="2" w:space="0"/>
                    <w:left w:val="single" w:color="auto" w:sz="2" w:space="0"/>
                    <w:bottom w:val="single" w:color="auto" w:sz="2" w:space="0"/>
                    <w:right w:val="single" w:color="auto" w:sz="2" w:space="0"/>
                  </w:tcBorders>
                  <w:vAlign w:val="center"/>
                </w:tcPr>
                <w:p w14:paraId="3E596DC3">
                  <w:pPr>
                    <w:jc w:val="center"/>
                    <w:rPr>
                      <w:color w:val="auto"/>
                    </w:rPr>
                  </w:pPr>
                  <w:r>
                    <w:rPr>
                      <w:rFonts w:hint="eastAsia"/>
                      <w:color w:val="auto"/>
                    </w:rPr>
                    <w:t>0</w:t>
                  </w:r>
                </w:p>
              </w:tc>
              <w:tc>
                <w:tcPr>
                  <w:tcW w:w="724" w:type="dxa"/>
                  <w:tcBorders>
                    <w:top w:val="single" w:color="auto" w:sz="2" w:space="0"/>
                    <w:left w:val="single" w:color="auto" w:sz="2" w:space="0"/>
                    <w:bottom w:val="single" w:color="auto" w:sz="2" w:space="0"/>
                    <w:right w:val="single" w:color="auto" w:sz="2" w:space="0"/>
                  </w:tcBorders>
                  <w:vAlign w:val="center"/>
                </w:tcPr>
                <w:p w14:paraId="76E2BCEC">
                  <w:pPr>
                    <w:jc w:val="center"/>
                    <w:rPr>
                      <w:rFonts w:hint="eastAsia" w:eastAsia="宋体"/>
                      <w:color w:val="auto"/>
                      <w:lang w:eastAsia="zh-CN"/>
                    </w:rPr>
                  </w:pPr>
                  <w:r>
                    <w:rPr>
                      <w:rFonts w:hint="eastAsia"/>
                      <w:color w:val="auto"/>
                      <w:lang w:eastAsia="zh-CN"/>
                    </w:rPr>
                    <w:t>95.413</w:t>
                  </w:r>
                </w:p>
              </w:tc>
              <w:tc>
                <w:tcPr>
                  <w:tcW w:w="714" w:type="dxa"/>
                  <w:tcBorders>
                    <w:top w:val="single" w:color="auto" w:sz="2" w:space="0"/>
                    <w:left w:val="single" w:color="auto" w:sz="2" w:space="0"/>
                    <w:bottom w:val="single" w:color="auto" w:sz="2" w:space="0"/>
                    <w:right w:val="single" w:color="auto" w:sz="2" w:space="0"/>
                  </w:tcBorders>
                  <w:vAlign w:val="center"/>
                </w:tcPr>
                <w:p w14:paraId="6DF53DCF">
                  <w:pPr>
                    <w:jc w:val="center"/>
                    <w:rPr>
                      <w:rFonts w:hint="eastAsia" w:eastAsia="宋体"/>
                      <w:color w:val="auto"/>
                      <w:lang w:eastAsia="zh-CN"/>
                    </w:rPr>
                  </w:pPr>
                  <w:r>
                    <w:rPr>
                      <w:rFonts w:hint="eastAsia"/>
                      <w:color w:val="auto"/>
                      <w:lang w:eastAsia="zh-CN"/>
                    </w:rPr>
                    <w:t>95.413</w:t>
                  </w:r>
                </w:p>
              </w:tc>
              <w:tc>
                <w:tcPr>
                  <w:tcW w:w="723" w:type="dxa"/>
                  <w:tcBorders>
                    <w:top w:val="single" w:color="auto" w:sz="2" w:space="0"/>
                    <w:left w:val="single" w:color="auto" w:sz="2" w:space="0"/>
                    <w:bottom w:val="single" w:color="auto" w:sz="2" w:space="0"/>
                    <w:right w:val="single" w:color="auto" w:sz="2" w:space="0"/>
                  </w:tcBorders>
                  <w:vAlign w:val="center"/>
                </w:tcPr>
                <w:p w14:paraId="5120D43B">
                  <w:pPr>
                    <w:jc w:val="center"/>
                    <w:rPr>
                      <w:color w:val="auto"/>
                    </w:rPr>
                  </w:pPr>
                  <w:r>
                    <w:rPr>
                      <w:rFonts w:hint="eastAsia"/>
                      <w:color w:val="auto"/>
                    </w:rPr>
                    <w:t>0</w:t>
                  </w:r>
                </w:p>
              </w:tc>
              <w:tc>
                <w:tcPr>
                  <w:tcW w:w="1012" w:type="dxa"/>
                  <w:tcBorders>
                    <w:top w:val="single" w:color="auto" w:sz="2" w:space="0"/>
                    <w:left w:val="single" w:color="auto" w:sz="2" w:space="0"/>
                    <w:bottom w:val="single" w:color="auto" w:sz="2" w:space="0"/>
                    <w:right w:val="single" w:color="auto" w:sz="2" w:space="0"/>
                  </w:tcBorders>
                  <w:vAlign w:val="center"/>
                </w:tcPr>
                <w:p w14:paraId="6FDC4588">
                  <w:pPr>
                    <w:jc w:val="center"/>
                    <w:rPr>
                      <w:color w:val="auto"/>
                    </w:rPr>
                  </w:pPr>
                  <w:r>
                    <w:rPr>
                      <w:rFonts w:hint="eastAsia"/>
                      <w:color w:val="auto"/>
                    </w:rPr>
                    <w:t>0</w:t>
                  </w:r>
                </w:p>
              </w:tc>
              <w:tc>
                <w:tcPr>
                  <w:tcW w:w="1300" w:type="dxa"/>
                  <w:tcBorders>
                    <w:top w:val="single" w:color="auto" w:sz="2" w:space="0"/>
                    <w:left w:val="single" w:color="auto" w:sz="2" w:space="0"/>
                    <w:bottom w:val="single" w:color="auto" w:sz="2" w:space="0"/>
                    <w:right w:val="single" w:color="auto" w:sz="2" w:space="0"/>
                  </w:tcBorders>
                  <w:vAlign w:val="center"/>
                </w:tcPr>
                <w:p w14:paraId="550D69E5">
                  <w:pPr>
                    <w:jc w:val="center"/>
                    <w:rPr>
                      <w:color w:val="auto"/>
                    </w:rPr>
                  </w:pPr>
                  <w:r>
                    <w:rPr>
                      <w:rFonts w:hint="eastAsia"/>
                      <w:color w:val="auto"/>
                    </w:rPr>
                    <w:t>0</w:t>
                  </w:r>
                </w:p>
              </w:tc>
              <w:tc>
                <w:tcPr>
                  <w:tcW w:w="986" w:type="dxa"/>
                  <w:tcBorders>
                    <w:top w:val="single" w:color="auto" w:sz="2" w:space="0"/>
                    <w:left w:val="single" w:color="auto" w:sz="2" w:space="0"/>
                    <w:bottom w:val="single" w:color="auto" w:sz="2" w:space="0"/>
                    <w:right w:val="single" w:color="auto" w:sz="2" w:space="0"/>
                  </w:tcBorders>
                  <w:vAlign w:val="center"/>
                </w:tcPr>
                <w:p w14:paraId="698A4657">
                  <w:pPr>
                    <w:jc w:val="center"/>
                    <w:rPr>
                      <w:color w:val="auto"/>
                    </w:rPr>
                  </w:pPr>
                  <w:r>
                    <w:rPr>
                      <w:rFonts w:hint="eastAsia"/>
                      <w:color w:val="auto"/>
                    </w:rPr>
                    <w:t>0</w:t>
                  </w:r>
                </w:p>
              </w:tc>
              <w:tc>
                <w:tcPr>
                  <w:tcW w:w="986" w:type="dxa"/>
                  <w:tcBorders>
                    <w:top w:val="single" w:color="auto" w:sz="2" w:space="0"/>
                    <w:left w:val="single" w:color="auto" w:sz="2" w:space="0"/>
                    <w:bottom w:val="single" w:color="auto" w:sz="2" w:space="0"/>
                    <w:right w:val="single" w:color="auto" w:sz="2" w:space="0"/>
                  </w:tcBorders>
                  <w:vAlign w:val="center"/>
                </w:tcPr>
                <w:p w14:paraId="46A9AA53">
                  <w:pPr>
                    <w:jc w:val="center"/>
                    <w:rPr>
                      <w:color w:val="auto"/>
                    </w:rPr>
                  </w:pPr>
                  <w:r>
                    <w:rPr>
                      <w:rFonts w:hint="eastAsia"/>
                      <w:color w:val="auto"/>
                    </w:rPr>
                    <w:t>0</w:t>
                  </w:r>
                </w:p>
              </w:tc>
            </w:tr>
            <w:tr w14:paraId="075E8A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519" w:type="dxa"/>
                  <w:vMerge w:val="continue"/>
                  <w:tcBorders>
                    <w:top w:val="single" w:color="auto" w:sz="2" w:space="0"/>
                    <w:left w:val="single" w:color="auto" w:sz="2" w:space="0"/>
                    <w:bottom w:val="single" w:color="auto" w:sz="2" w:space="0"/>
                    <w:right w:val="single" w:color="auto" w:sz="2" w:space="0"/>
                  </w:tcBorders>
                  <w:vAlign w:val="center"/>
                </w:tcPr>
                <w:p w14:paraId="31EF4BAF">
                  <w:pPr>
                    <w:widowControl/>
                    <w:jc w:val="center"/>
                    <w:rPr>
                      <w:color w:val="auto"/>
                    </w:rPr>
                  </w:pPr>
                </w:p>
              </w:tc>
              <w:tc>
                <w:tcPr>
                  <w:tcW w:w="1370" w:type="dxa"/>
                  <w:gridSpan w:val="2"/>
                  <w:tcBorders>
                    <w:top w:val="single" w:color="auto" w:sz="2" w:space="0"/>
                    <w:left w:val="single" w:color="auto" w:sz="2" w:space="0"/>
                    <w:bottom w:val="single" w:color="auto" w:sz="2" w:space="0"/>
                    <w:right w:val="single" w:color="auto" w:sz="2" w:space="0"/>
                  </w:tcBorders>
                  <w:vAlign w:val="center"/>
                </w:tcPr>
                <w:p w14:paraId="770FBCFB">
                  <w:pPr>
                    <w:jc w:val="center"/>
                    <w:rPr>
                      <w:color w:val="auto"/>
                    </w:rPr>
                  </w:pPr>
                  <w:r>
                    <w:rPr>
                      <w:color w:val="auto"/>
                    </w:rPr>
                    <w:t>生活垃圾</w:t>
                  </w:r>
                </w:p>
              </w:tc>
              <w:tc>
                <w:tcPr>
                  <w:tcW w:w="737" w:type="dxa"/>
                  <w:tcBorders>
                    <w:top w:val="single" w:color="auto" w:sz="2" w:space="0"/>
                    <w:left w:val="single" w:color="auto" w:sz="2" w:space="0"/>
                    <w:bottom w:val="single" w:color="auto" w:sz="2" w:space="0"/>
                    <w:right w:val="single" w:color="auto" w:sz="2" w:space="0"/>
                  </w:tcBorders>
                  <w:vAlign w:val="center"/>
                </w:tcPr>
                <w:p w14:paraId="6E2765FC">
                  <w:pPr>
                    <w:jc w:val="center"/>
                    <w:rPr>
                      <w:color w:val="auto"/>
                    </w:rPr>
                  </w:pPr>
                  <w:r>
                    <w:rPr>
                      <w:rFonts w:hint="eastAsia"/>
                      <w:color w:val="auto"/>
                    </w:rPr>
                    <w:t>0</w:t>
                  </w:r>
                </w:p>
              </w:tc>
              <w:tc>
                <w:tcPr>
                  <w:tcW w:w="724" w:type="dxa"/>
                  <w:tcBorders>
                    <w:top w:val="single" w:color="auto" w:sz="2" w:space="0"/>
                    <w:left w:val="single" w:color="auto" w:sz="2" w:space="0"/>
                    <w:bottom w:val="single" w:color="auto" w:sz="2" w:space="0"/>
                    <w:right w:val="single" w:color="auto" w:sz="2" w:space="0"/>
                  </w:tcBorders>
                  <w:vAlign w:val="center"/>
                </w:tcPr>
                <w:p w14:paraId="2128461C">
                  <w:pPr>
                    <w:jc w:val="center"/>
                    <w:rPr>
                      <w:color w:val="auto"/>
                    </w:rPr>
                  </w:pPr>
                  <w:r>
                    <w:rPr>
                      <w:rFonts w:hint="eastAsia"/>
                      <w:color w:val="auto"/>
                    </w:rPr>
                    <w:t>39</w:t>
                  </w:r>
                </w:p>
              </w:tc>
              <w:tc>
                <w:tcPr>
                  <w:tcW w:w="714" w:type="dxa"/>
                  <w:tcBorders>
                    <w:top w:val="single" w:color="auto" w:sz="2" w:space="0"/>
                    <w:left w:val="single" w:color="auto" w:sz="2" w:space="0"/>
                    <w:bottom w:val="single" w:color="auto" w:sz="2" w:space="0"/>
                    <w:right w:val="single" w:color="auto" w:sz="2" w:space="0"/>
                  </w:tcBorders>
                  <w:vAlign w:val="center"/>
                </w:tcPr>
                <w:p w14:paraId="0359C85A">
                  <w:pPr>
                    <w:jc w:val="center"/>
                    <w:rPr>
                      <w:color w:val="auto"/>
                    </w:rPr>
                  </w:pPr>
                  <w:r>
                    <w:rPr>
                      <w:rFonts w:hint="eastAsia"/>
                      <w:color w:val="auto"/>
                    </w:rPr>
                    <w:t>39</w:t>
                  </w:r>
                </w:p>
              </w:tc>
              <w:tc>
                <w:tcPr>
                  <w:tcW w:w="723" w:type="dxa"/>
                  <w:tcBorders>
                    <w:top w:val="single" w:color="auto" w:sz="2" w:space="0"/>
                    <w:left w:val="single" w:color="auto" w:sz="2" w:space="0"/>
                    <w:bottom w:val="single" w:color="auto" w:sz="2" w:space="0"/>
                    <w:right w:val="single" w:color="auto" w:sz="2" w:space="0"/>
                  </w:tcBorders>
                  <w:vAlign w:val="center"/>
                </w:tcPr>
                <w:p w14:paraId="481A6EE3">
                  <w:pPr>
                    <w:jc w:val="center"/>
                    <w:rPr>
                      <w:color w:val="auto"/>
                    </w:rPr>
                  </w:pPr>
                  <w:r>
                    <w:rPr>
                      <w:rFonts w:hint="eastAsia"/>
                      <w:color w:val="auto"/>
                    </w:rPr>
                    <w:t>0</w:t>
                  </w:r>
                </w:p>
              </w:tc>
              <w:tc>
                <w:tcPr>
                  <w:tcW w:w="1012" w:type="dxa"/>
                  <w:tcBorders>
                    <w:top w:val="single" w:color="auto" w:sz="2" w:space="0"/>
                    <w:left w:val="single" w:color="auto" w:sz="2" w:space="0"/>
                    <w:bottom w:val="single" w:color="auto" w:sz="2" w:space="0"/>
                    <w:right w:val="single" w:color="auto" w:sz="2" w:space="0"/>
                  </w:tcBorders>
                  <w:vAlign w:val="center"/>
                </w:tcPr>
                <w:p w14:paraId="2ACAC33D">
                  <w:pPr>
                    <w:jc w:val="center"/>
                    <w:rPr>
                      <w:color w:val="auto"/>
                    </w:rPr>
                  </w:pPr>
                  <w:r>
                    <w:rPr>
                      <w:rFonts w:hint="eastAsia"/>
                      <w:color w:val="auto"/>
                    </w:rPr>
                    <w:t>0</w:t>
                  </w:r>
                </w:p>
              </w:tc>
              <w:tc>
                <w:tcPr>
                  <w:tcW w:w="1300" w:type="dxa"/>
                  <w:tcBorders>
                    <w:top w:val="single" w:color="auto" w:sz="2" w:space="0"/>
                    <w:left w:val="single" w:color="auto" w:sz="2" w:space="0"/>
                    <w:bottom w:val="single" w:color="auto" w:sz="2" w:space="0"/>
                    <w:right w:val="single" w:color="auto" w:sz="2" w:space="0"/>
                  </w:tcBorders>
                  <w:vAlign w:val="center"/>
                </w:tcPr>
                <w:p w14:paraId="0C0A363E">
                  <w:pPr>
                    <w:jc w:val="center"/>
                    <w:rPr>
                      <w:color w:val="auto"/>
                    </w:rPr>
                  </w:pPr>
                  <w:r>
                    <w:rPr>
                      <w:rFonts w:hint="eastAsia"/>
                      <w:color w:val="auto"/>
                    </w:rPr>
                    <w:t>0</w:t>
                  </w:r>
                </w:p>
              </w:tc>
              <w:tc>
                <w:tcPr>
                  <w:tcW w:w="986" w:type="dxa"/>
                  <w:tcBorders>
                    <w:top w:val="single" w:color="auto" w:sz="2" w:space="0"/>
                    <w:left w:val="single" w:color="auto" w:sz="2" w:space="0"/>
                    <w:bottom w:val="single" w:color="auto" w:sz="2" w:space="0"/>
                    <w:right w:val="single" w:color="auto" w:sz="2" w:space="0"/>
                  </w:tcBorders>
                  <w:vAlign w:val="center"/>
                </w:tcPr>
                <w:p w14:paraId="1D7D1158">
                  <w:pPr>
                    <w:jc w:val="center"/>
                    <w:rPr>
                      <w:color w:val="auto"/>
                    </w:rPr>
                  </w:pPr>
                  <w:r>
                    <w:rPr>
                      <w:rFonts w:hint="eastAsia"/>
                      <w:color w:val="auto"/>
                    </w:rPr>
                    <w:t>0</w:t>
                  </w:r>
                </w:p>
              </w:tc>
              <w:tc>
                <w:tcPr>
                  <w:tcW w:w="986" w:type="dxa"/>
                  <w:tcBorders>
                    <w:top w:val="single" w:color="auto" w:sz="2" w:space="0"/>
                    <w:left w:val="single" w:color="auto" w:sz="2" w:space="0"/>
                    <w:bottom w:val="single" w:color="auto" w:sz="2" w:space="0"/>
                    <w:right w:val="single" w:color="auto" w:sz="2" w:space="0"/>
                  </w:tcBorders>
                  <w:vAlign w:val="center"/>
                </w:tcPr>
                <w:p w14:paraId="45EB5FB6">
                  <w:pPr>
                    <w:jc w:val="center"/>
                    <w:rPr>
                      <w:color w:val="auto"/>
                    </w:rPr>
                  </w:pPr>
                  <w:r>
                    <w:rPr>
                      <w:rFonts w:hint="eastAsia"/>
                      <w:color w:val="auto"/>
                    </w:rPr>
                    <w:t>0</w:t>
                  </w:r>
                </w:p>
              </w:tc>
            </w:tr>
          </w:tbl>
          <w:p w14:paraId="39FC82B1">
            <w:pPr>
              <w:spacing w:line="360" w:lineRule="auto"/>
              <w:ind w:firstLine="480" w:firstLineChars="200"/>
              <w:rPr>
                <w:color w:val="auto"/>
                <w:sz w:val="24"/>
                <w:szCs w:val="24"/>
              </w:rPr>
            </w:pPr>
            <w:r>
              <w:rPr>
                <w:color w:val="auto"/>
                <w:sz w:val="24"/>
                <w:szCs w:val="24"/>
              </w:rPr>
              <w:t>2、污染物总量获得途径及平衡方案</w:t>
            </w:r>
          </w:p>
          <w:p w14:paraId="15049CE7">
            <w:pPr>
              <w:spacing w:line="360" w:lineRule="auto"/>
              <w:ind w:firstLine="484" w:firstLineChars="202"/>
              <w:rPr>
                <w:color w:val="auto"/>
                <w:sz w:val="24"/>
                <w:szCs w:val="24"/>
              </w:rPr>
            </w:pPr>
            <w:r>
              <w:rPr>
                <w:color w:val="auto"/>
                <w:sz w:val="24"/>
                <w:szCs w:val="24"/>
              </w:rPr>
              <w:t>（1）大气</w:t>
            </w:r>
          </w:p>
          <w:p w14:paraId="716CB66D">
            <w:pPr>
              <w:spacing w:line="360" w:lineRule="auto"/>
              <w:ind w:firstLine="484" w:firstLineChars="202"/>
              <w:rPr>
                <w:color w:val="auto"/>
                <w:sz w:val="24"/>
                <w:szCs w:val="24"/>
              </w:rPr>
            </w:pPr>
            <w:r>
              <w:rPr>
                <w:color w:val="auto"/>
                <w:sz w:val="24"/>
              </w:rPr>
              <w:t>大气污染物平衡途径:根据《建设项目主要污染物排放总量指标审核及管理暂行办法》（环发【2014】197号）文件规定，细颗粒物（PM</w:t>
            </w:r>
            <w:r>
              <w:rPr>
                <w:color w:val="auto"/>
                <w:sz w:val="24"/>
                <w:vertAlign w:val="subscript"/>
              </w:rPr>
              <w:t>2.5</w:t>
            </w:r>
            <w:r>
              <w:rPr>
                <w:color w:val="auto"/>
                <w:sz w:val="24"/>
              </w:rPr>
              <w:t>）年平均浓度不达标的城市，二氧化硫、氮氧化物、烟粉尘、挥发性有机物四项污染物均需进行2倍削减替代。项目废气排放量为</w:t>
            </w:r>
            <w:r>
              <w:rPr>
                <w:color w:val="auto"/>
                <w:sz w:val="24"/>
                <w:szCs w:val="24"/>
              </w:rPr>
              <w:t>：</w:t>
            </w:r>
            <w:r>
              <w:rPr>
                <w:rFonts w:hint="eastAsia"/>
                <w:color w:val="auto"/>
                <w:sz w:val="24"/>
                <w:szCs w:val="24"/>
              </w:rPr>
              <w:t>非甲烷总烃（有组织+无组织）0.</w:t>
            </w:r>
            <w:r>
              <w:rPr>
                <w:rFonts w:hint="eastAsia"/>
                <w:color w:val="auto"/>
                <w:sz w:val="24"/>
                <w:szCs w:val="24"/>
                <w:lang w:val="en-US" w:eastAsia="zh-CN"/>
              </w:rPr>
              <w:t>2621</w:t>
            </w:r>
            <w:r>
              <w:rPr>
                <w:rFonts w:hint="eastAsia"/>
                <w:color w:val="auto"/>
                <w:sz w:val="24"/>
                <w:szCs w:val="24"/>
              </w:rPr>
              <w:t>t/a所需总量</w:t>
            </w:r>
            <w:r>
              <w:rPr>
                <w:color w:val="auto"/>
                <w:sz w:val="24"/>
                <w:szCs w:val="24"/>
              </w:rPr>
              <w:t>在</w:t>
            </w:r>
            <w:r>
              <w:rPr>
                <w:rFonts w:hint="eastAsia"/>
                <w:color w:val="auto"/>
                <w:sz w:val="24"/>
                <w:szCs w:val="24"/>
              </w:rPr>
              <w:t>金坛区</w:t>
            </w:r>
            <w:r>
              <w:rPr>
                <w:color w:val="auto"/>
                <w:sz w:val="24"/>
                <w:szCs w:val="24"/>
              </w:rPr>
              <w:t>范围内平衡。</w:t>
            </w:r>
            <w:r>
              <w:rPr>
                <w:rFonts w:hint="eastAsia"/>
                <w:color w:val="auto"/>
                <w:sz w:val="24"/>
                <w:szCs w:val="24"/>
              </w:rPr>
              <w:t>2倍替代量非甲烷总烃（有组织+无组织）0.</w:t>
            </w:r>
            <w:r>
              <w:rPr>
                <w:rFonts w:hint="eastAsia"/>
                <w:color w:val="auto"/>
                <w:sz w:val="24"/>
                <w:szCs w:val="24"/>
                <w:lang w:val="en-US" w:eastAsia="zh-CN"/>
              </w:rPr>
              <w:t>5242</w:t>
            </w:r>
            <w:r>
              <w:rPr>
                <w:rFonts w:hint="eastAsia"/>
                <w:color w:val="auto"/>
                <w:sz w:val="24"/>
                <w:szCs w:val="24"/>
              </w:rPr>
              <w:t>t/a。</w:t>
            </w:r>
          </w:p>
          <w:p w14:paraId="72F07273">
            <w:pPr>
              <w:spacing w:line="360" w:lineRule="auto"/>
              <w:ind w:firstLine="480" w:firstLineChars="200"/>
              <w:rPr>
                <w:color w:val="auto"/>
                <w:sz w:val="24"/>
                <w:szCs w:val="24"/>
              </w:rPr>
            </w:pPr>
            <w:r>
              <w:rPr>
                <w:color w:val="auto"/>
                <w:sz w:val="24"/>
                <w:szCs w:val="24"/>
              </w:rPr>
              <w:t>（2）废水</w:t>
            </w:r>
          </w:p>
          <w:p w14:paraId="7A82C08A">
            <w:pPr>
              <w:spacing w:line="360" w:lineRule="auto"/>
              <w:ind w:firstLine="480" w:firstLineChars="200"/>
              <w:rPr>
                <w:color w:val="auto"/>
                <w:sz w:val="24"/>
                <w:szCs w:val="24"/>
              </w:rPr>
            </w:pPr>
            <w:r>
              <w:rPr>
                <w:color w:val="auto"/>
                <w:sz w:val="24"/>
              </w:rPr>
              <w:t>本</w:t>
            </w:r>
            <w:r>
              <w:rPr>
                <w:rFonts w:hint="eastAsia"/>
                <w:color w:val="auto"/>
                <w:sz w:val="24"/>
              </w:rPr>
              <w:t>项目</w:t>
            </w:r>
            <w:r>
              <w:rPr>
                <w:color w:val="auto"/>
                <w:sz w:val="24"/>
              </w:rPr>
              <w:t>排放总量（接管考核量）≤</w:t>
            </w:r>
            <w:r>
              <w:rPr>
                <w:rFonts w:hint="eastAsia"/>
                <w:color w:val="auto"/>
                <w:sz w:val="24"/>
              </w:rPr>
              <w:t>7</w:t>
            </w:r>
            <w:r>
              <w:rPr>
                <w:rFonts w:hint="eastAsia"/>
                <w:color w:val="auto"/>
                <w:sz w:val="24"/>
                <w:lang w:val="en-US" w:eastAsia="zh-CN"/>
              </w:rPr>
              <w:t>488</w:t>
            </w:r>
            <w:r>
              <w:rPr>
                <w:rFonts w:hint="eastAsia"/>
                <w:color w:val="auto"/>
                <w:sz w:val="24"/>
              </w:rPr>
              <w:t>t</w:t>
            </w:r>
            <w:r>
              <w:rPr>
                <w:color w:val="auto"/>
                <w:sz w:val="24"/>
              </w:rPr>
              <w:t>/a、COD≤</w:t>
            </w:r>
            <w:r>
              <w:rPr>
                <w:rFonts w:hint="eastAsia"/>
                <w:color w:val="auto"/>
                <w:sz w:val="24"/>
              </w:rPr>
              <w:t>3.</w:t>
            </w:r>
            <w:r>
              <w:rPr>
                <w:rFonts w:hint="eastAsia"/>
                <w:color w:val="auto"/>
                <w:sz w:val="24"/>
                <w:lang w:val="en-US" w:eastAsia="zh-CN"/>
              </w:rPr>
              <w:t>12</w:t>
            </w:r>
            <w:r>
              <w:rPr>
                <w:color w:val="auto"/>
                <w:sz w:val="24"/>
              </w:rPr>
              <w:t>t/a、SS≤</w:t>
            </w:r>
            <w:r>
              <w:rPr>
                <w:rFonts w:hint="eastAsia"/>
                <w:color w:val="auto"/>
                <w:sz w:val="24"/>
              </w:rPr>
              <w:t>2.</w:t>
            </w:r>
            <w:r>
              <w:rPr>
                <w:rFonts w:hint="eastAsia"/>
                <w:color w:val="auto"/>
                <w:sz w:val="24"/>
                <w:lang w:val="en-US" w:eastAsia="zh-CN"/>
              </w:rPr>
              <w:t>122</w:t>
            </w:r>
            <w:r>
              <w:rPr>
                <w:color w:val="auto"/>
                <w:sz w:val="24"/>
              </w:rPr>
              <w:t>t/a、氨氮≤</w:t>
            </w:r>
            <w:r>
              <w:rPr>
                <w:rFonts w:hint="eastAsia"/>
                <w:color w:val="auto"/>
                <w:sz w:val="24"/>
              </w:rPr>
              <w:t>0.317</w:t>
            </w:r>
            <w:r>
              <w:rPr>
                <w:color w:val="auto"/>
                <w:sz w:val="24"/>
              </w:rPr>
              <w:t>t/a、总磷≤</w:t>
            </w:r>
            <w:r>
              <w:rPr>
                <w:rFonts w:hint="eastAsia"/>
                <w:color w:val="auto"/>
                <w:sz w:val="24"/>
              </w:rPr>
              <w:t>0.06</w:t>
            </w:r>
            <w:r>
              <w:rPr>
                <w:color w:val="auto"/>
                <w:sz w:val="24"/>
              </w:rPr>
              <w:t>t/a</w:t>
            </w:r>
            <w:r>
              <w:rPr>
                <w:rFonts w:hint="eastAsia"/>
                <w:color w:val="auto"/>
                <w:sz w:val="24"/>
              </w:rPr>
              <w:t>、</w:t>
            </w:r>
            <w:r>
              <w:rPr>
                <w:color w:val="auto"/>
                <w:sz w:val="24"/>
              </w:rPr>
              <w:t>总氮≤</w:t>
            </w:r>
            <w:r>
              <w:rPr>
                <w:rFonts w:hint="eastAsia"/>
                <w:color w:val="auto"/>
                <w:sz w:val="24"/>
              </w:rPr>
              <w:t>0.515</w:t>
            </w:r>
            <w:r>
              <w:rPr>
                <w:color w:val="auto"/>
                <w:sz w:val="24"/>
              </w:rPr>
              <w:t>t/a</w:t>
            </w:r>
            <w:r>
              <w:rPr>
                <w:rFonts w:hint="eastAsia"/>
                <w:color w:val="auto"/>
                <w:sz w:val="24"/>
              </w:rPr>
              <w:t>、动植物油</w:t>
            </w:r>
            <w:r>
              <w:rPr>
                <w:color w:val="auto"/>
                <w:sz w:val="24"/>
              </w:rPr>
              <w:t>≤</w:t>
            </w:r>
            <w:r>
              <w:rPr>
                <w:rFonts w:hint="eastAsia"/>
                <w:color w:val="auto"/>
                <w:sz w:val="24"/>
              </w:rPr>
              <w:t>0.1</w:t>
            </w:r>
            <w:r>
              <w:rPr>
                <w:color w:val="auto"/>
                <w:sz w:val="24"/>
              </w:rPr>
              <w:t>t/a，排入</w:t>
            </w:r>
            <w:r>
              <w:rPr>
                <w:rFonts w:hint="eastAsia"/>
                <w:color w:val="auto"/>
                <w:sz w:val="24"/>
                <w:lang w:eastAsia="zh-CN"/>
              </w:rPr>
              <w:t>常州市金坛区溪城污水处理有限公司直溪污水处理厂</w:t>
            </w:r>
            <w:r>
              <w:rPr>
                <w:color w:val="auto"/>
                <w:sz w:val="24"/>
              </w:rPr>
              <w:t>集中处理。最终排入外环境的水污染物总量为：COD≤</w:t>
            </w:r>
            <w:r>
              <w:rPr>
                <w:rFonts w:hint="eastAsia"/>
                <w:color w:val="auto"/>
                <w:sz w:val="24"/>
              </w:rPr>
              <w:t>0.3</w:t>
            </w:r>
            <w:r>
              <w:rPr>
                <w:rFonts w:hint="eastAsia"/>
                <w:color w:val="auto"/>
                <w:sz w:val="24"/>
                <w:lang w:val="en-US" w:eastAsia="zh-CN"/>
              </w:rPr>
              <w:t>74</w:t>
            </w:r>
            <w:r>
              <w:rPr>
                <w:color w:val="auto"/>
                <w:sz w:val="24"/>
              </w:rPr>
              <w:t>t/a、SS≤</w:t>
            </w:r>
            <w:r>
              <w:rPr>
                <w:rFonts w:hint="eastAsia"/>
                <w:color w:val="auto"/>
                <w:sz w:val="24"/>
              </w:rPr>
              <w:t>0.07</w:t>
            </w:r>
            <w:r>
              <w:rPr>
                <w:rFonts w:hint="eastAsia"/>
                <w:color w:val="auto"/>
                <w:sz w:val="24"/>
                <w:lang w:val="en-US" w:eastAsia="zh-CN"/>
              </w:rPr>
              <w:t>5</w:t>
            </w:r>
            <w:r>
              <w:rPr>
                <w:color w:val="auto"/>
                <w:sz w:val="24"/>
              </w:rPr>
              <w:t>t/a、氨氮≤</w:t>
            </w:r>
            <w:r>
              <w:rPr>
                <w:rFonts w:hint="eastAsia"/>
                <w:color w:val="auto"/>
                <w:sz w:val="24"/>
              </w:rPr>
              <w:t>0.03</w:t>
            </w:r>
            <w:r>
              <w:rPr>
                <w:rFonts w:hint="eastAsia"/>
                <w:color w:val="auto"/>
                <w:sz w:val="24"/>
                <w:lang w:val="en-US" w:eastAsia="zh-CN"/>
              </w:rPr>
              <w:t>7</w:t>
            </w:r>
            <w:r>
              <w:rPr>
                <w:color w:val="auto"/>
                <w:sz w:val="24"/>
              </w:rPr>
              <w:t>t/a、总磷≤</w:t>
            </w:r>
            <w:r>
              <w:rPr>
                <w:rFonts w:hint="eastAsia"/>
                <w:color w:val="auto"/>
                <w:sz w:val="24"/>
              </w:rPr>
              <w:t>0.004</w:t>
            </w:r>
            <w:r>
              <w:rPr>
                <w:color w:val="auto"/>
                <w:sz w:val="24"/>
              </w:rPr>
              <w:t>t/a、总氮≤0.</w:t>
            </w:r>
            <w:r>
              <w:rPr>
                <w:rFonts w:hint="eastAsia"/>
                <w:color w:val="auto"/>
                <w:sz w:val="24"/>
              </w:rPr>
              <w:t>11</w:t>
            </w:r>
            <w:r>
              <w:rPr>
                <w:rFonts w:hint="eastAsia"/>
                <w:color w:val="auto"/>
                <w:sz w:val="24"/>
                <w:lang w:val="en-US" w:eastAsia="zh-CN"/>
              </w:rPr>
              <w:t>2</w:t>
            </w:r>
            <w:r>
              <w:rPr>
                <w:color w:val="auto"/>
                <w:sz w:val="24"/>
              </w:rPr>
              <w:t>t/a、</w:t>
            </w:r>
            <w:r>
              <w:rPr>
                <w:rFonts w:hint="eastAsia"/>
                <w:color w:val="auto"/>
                <w:sz w:val="24"/>
              </w:rPr>
              <w:t>动植物油</w:t>
            </w:r>
            <w:r>
              <w:rPr>
                <w:color w:val="auto"/>
                <w:sz w:val="24"/>
              </w:rPr>
              <w:t>≤0.</w:t>
            </w:r>
            <w:r>
              <w:rPr>
                <w:rFonts w:hint="eastAsia"/>
                <w:color w:val="auto"/>
                <w:sz w:val="24"/>
              </w:rPr>
              <w:t>00</w:t>
            </w:r>
            <w:r>
              <w:rPr>
                <w:rFonts w:hint="eastAsia"/>
                <w:color w:val="auto"/>
                <w:sz w:val="24"/>
                <w:lang w:val="en-US" w:eastAsia="zh-CN"/>
              </w:rPr>
              <w:t>7</w:t>
            </w:r>
            <w:r>
              <w:rPr>
                <w:color w:val="auto"/>
                <w:sz w:val="24"/>
              </w:rPr>
              <w:t>t/a，水污染物总量在</w:t>
            </w:r>
            <w:r>
              <w:rPr>
                <w:rFonts w:hint="eastAsia"/>
                <w:color w:val="auto"/>
                <w:sz w:val="24"/>
                <w:lang w:eastAsia="zh-CN"/>
              </w:rPr>
              <w:t>常州市金坛区溪城污水处理有限公司直溪污水处理厂</w:t>
            </w:r>
            <w:r>
              <w:rPr>
                <w:color w:val="auto"/>
                <w:sz w:val="24"/>
              </w:rPr>
              <w:t>已批总量指标内平衡，不需单独申请</w:t>
            </w:r>
            <w:r>
              <w:rPr>
                <w:color w:val="auto"/>
                <w:kern w:val="0"/>
                <w:sz w:val="24"/>
              </w:rPr>
              <w:t>。</w:t>
            </w:r>
          </w:p>
          <w:p w14:paraId="01B1B6A7">
            <w:pPr>
              <w:numPr>
                <w:ilvl w:val="0"/>
                <w:numId w:val="4"/>
              </w:numPr>
              <w:ind w:left="0" w:leftChars="0" w:firstLine="480" w:firstLineChars="200"/>
              <w:rPr>
                <w:rFonts w:hint="eastAsia"/>
                <w:color w:val="auto"/>
                <w:sz w:val="24"/>
                <w:szCs w:val="24"/>
              </w:rPr>
            </w:pPr>
            <w:r>
              <w:rPr>
                <w:color w:val="auto"/>
                <w:sz w:val="24"/>
                <w:szCs w:val="24"/>
              </w:rPr>
              <w:t>固废</w:t>
            </w:r>
            <w:r>
              <w:rPr>
                <w:rFonts w:hint="eastAsia"/>
                <w:color w:val="auto"/>
                <w:sz w:val="24"/>
                <w:szCs w:val="24"/>
              </w:rPr>
              <w:t>：</w:t>
            </w:r>
            <w:r>
              <w:rPr>
                <w:color w:val="auto"/>
                <w:sz w:val="24"/>
                <w:szCs w:val="24"/>
              </w:rPr>
              <w:t>固废均进行合理处理处置，实现固废零排放，无需申请总量</w:t>
            </w:r>
            <w:r>
              <w:rPr>
                <w:rFonts w:hint="eastAsia"/>
                <w:color w:val="auto"/>
                <w:sz w:val="24"/>
                <w:szCs w:val="24"/>
              </w:rPr>
              <w:t>。</w:t>
            </w:r>
          </w:p>
          <w:p w14:paraId="7DA706DF">
            <w:pPr>
              <w:widowControl w:val="0"/>
              <w:numPr>
                <w:ilvl w:val="0"/>
                <w:numId w:val="0"/>
              </w:numPr>
              <w:snapToGrid w:val="0"/>
              <w:jc w:val="both"/>
              <w:rPr>
                <w:rFonts w:hint="eastAsia"/>
                <w:color w:val="auto"/>
                <w:sz w:val="24"/>
                <w:szCs w:val="24"/>
              </w:rPr>
            </w:pPr>
          </w:p>
          <w:p w14:paraId="5D472F51">
            <w:pPr>
              <w:widowControl w:val="0"/>
              <w:numPr>
                <w:ilvl w:val="0"/>
                <w:numId w:val="0"/>
              </w:numPr>
              <w:snapToGrid w:val="0"/>
              <w:jc w:val="both"/>
              <w:rPr>
                <w:rFonts w:hint="eastAsia"/>
                <w:color w:val="auto"/>
                <w:sz w:val="24"/>
                <w:szCs w:val="24"/>
              </w:rPr>
            </w:pPr>
          </w:p>
          <w:p w14:paraId="1A19EF17">
            <w:pPr>
              <w:widowControl w:val="0"/>
              <w:numPr>
                <w:ilvl w:val="0"/>
                <w:numId w:val="0"/>
              </w:numPr>
              <w:snapToGrid w:val="0"/>
              <w:jc w:val="both"/>
              <w:rPr>
                <w:rFonts w:hint="eastAsia"/>
                <w:color w:val="auto"/>
                <w:sz w:val="24"/>
                <w:szCs w:val="24"/>
              </w:rPr>
            </w:pPr>
          </w:p>
          <w:p w14:paraId="781C5C14">
            <w:pPr>
              <w:widowControl w:val="0"/>
              <w:numPr>
                <w:ilvl w:val="0"/>
                <w:numId w:val="0"/>
              </w:numPr>
              <w:snapToGrid w:val="0"/>
              <w:jc w:val="both"/>
              <w:rPr>
                <w:rFonts w:hint="eastAsia"/>
                <w:color w:val="auto"/>
                <w:sz w:val="24"/>
                <w:szCs w:val="24"/>
              </w:rPr>
            </w:pPr>
          </w:p>
          <w:p w14:paraId="37DF2D90">
            <w:pPr>
              <w:widowControl w:val="0"/>
              <w:numPr>
                <w:ilvl w:val="0"/>
                <w:numId w:val="0"/>
              </w:numPr>
              <w:snapToGrid w:val="0"/>
              <w:jc w:val="both"/>
              <w:rPr>
                <w:rFonts w:hint="eastAsia"/>
                <w:color w:val="auto"/>
                <w:sz w:val="24"/>
                <w:szCs w:val="24"/>
              </w:rPr>
            </w:pPr>
          </w:p>
          <w:p w14:paraId="49626518">
            <w:pPr>
              <w:widowControl w:val="0"/>
              <w:numPr>
                <w:ilvl w:val="0"/>
                <w:numId w:val="0"/>
              </w:numPr>
              <w:snapToGrid w:val="0"/>
              <w:jc w:val="both"/>
              <w:rPr>
                <w:rFonts w:hint="eastAsia"/>
                <w:color w:val="auto"/>
                <w:sz w:val="24"/>
                <w:szCs w:val="24"/>
              </w:rPr>
            </w:pPr>
          </w:p>
          <w:p w14:paraId="1265F555">
            <w:pPr>
              <w:widowControl w:val="0"/>
              <w:numPr>
                <w:ilvl w:val="0"/>
                <w:numId w:val="0"/>
              </w:numPr>
              <w:snapToGrid w:val="0"/>
              <w:jc w:val="both"/>
              <w:rPr>
                <w:rFonts w:hint="eastAsia"/>
                <w:color w:val="auto"/>
                <w:sz w:val="24"/>
                <w:szCs w:val="24"/>
              </w:rPr>
            </w:pPr>
          </w:p>
          <w:p w14:paraId="42C32B55">
            <w:pPr>
              <w:widowControl w:val="0"/>
              <w:numPr>
                <w:ilvl w:val="0"/>
                <w:numId w:val="0"/>
              </w:numPr>
              <w:snapToGrid w:val="0"/>
              <w:jc w:val="both"/>
              <w:rPr>
                <w:rFonts w:hint="eastAsia"/>
                <w:color w:val="auto"/>
                <w:sz w:val="24"/>
                <w:szCs w:val="24"/>
              </w:rPr>
            </w:pPr>
          </w:p>
          <w:p w14:paraId="48C6F50E">
            <w:pPr>
              <w:widowControl w:val="0"/>
              <w:numPr>
                <w:ilvl w:val="0"/>
                <w:numId w:val="0"/>
              </w:numPr>
              <w:snapToGrid w:val="0"/>
              <w:jc w:val="both"/>
              <w:rPr>
                <w:rFonts w:hint="eastAsia"/>
                <w:color w:val="auto"/>
                <w:sz w:val="24"/>
                <w:szCs w:val="24"/>
              </w:rPr>
            </w:pPr>
          </w:p>
          <w:p w14:paraId="3524D0EE">
            <w:pPr>
              <w:widowControl w:val="0"/>
              <w:numPr>
                <w:ilvl w:val="0"/>
                <w:numId w:val="0"/>
              </w:numPr>
              <w:snapToGrid w:val="0"/>
              <w:jc w:val="both"/>
              <w:rPr>
                <w:rFonts w:hint="eastAsia"/>
                <w:color w:val="auto"/>
                <w:sz w:val="24"/>
                <w:szCs w:val="24"/>
              </w:rPr>
            </w:pPr>
          </w:p>
          <w:p w14:paraId="30222DED">
            <w:pPr>
              <w:widowControl w:val="0"/>
              <w:numPr>
                <w:ilvl w:val="0"/>
                <w:numId w:val="0"/>
              </w:numPr>
              <w:snapToGrid w:val="0"/>
              <w:jc w:val="both"/>
              <w:rPr>
                <w:rFonts w:hint="eastAsia"/>
                <w:color w:val="auto"/>
                <w:sz w:val="24"/>
                <w:szCs w:val="24"/>
              </w:rPr>
            </w:pPr>
          </w:p>
          <w:p w14:paraId="535D2E11">
            <w:pPr>
              <w:widowControl w:val="0"/>
              <w:numPr>
                <w:ilvl w:val="0"/>
                <w:numId w:val="0"/>
              </w:numPr>
              <w:snapToGrid w:val="0"/>
              <w:jc w:val="both"/>
              <w:rPr>
                <w:rFonts w:hint="eastAsia"/>
                <w:color w:val="auto"/>
                <w:sz w:val="24"/>
                <w:szCs w:val="24"/>
              </w:rPr>
            </w:pPr>
          </w:p>
          <w:p w14:paraId="4EAF9F8A">
            <w:pPr>
              <w:widowControl w:val="0"/>
              <w:numPr>
                <w:ilvl w:val="0"/>
                <w:numId w:val="0"/>
              </w:numPr>
              <w:snapToGrid w:val="0"/>
              <w:jc w:val="both"/>
              <w:rPr>
                <w:rFonts w:hint="eastAsia"/>
                <w:color w:val="auto"/>
                <w:sz w:val="24"/>
                <w:szCs w:val="24"/>
              </w:rPr>
            </w:pPr>
          </w:p>
          <w:p w14:paraId="6F93AFBB">
            <w:pPr>
              <w:widowControl w:val="0"/>
              <w:numPr>
                <w:ilvl w:val="0"/>
                <w:numId w:val="0"/>
              </w:numPr>
              <w:snapToGrid w:val="0"/>
              <w:jc w:val="both"/>
              <w:rPr>
                <w:rFonts w:hint="eastAsia"/>
                <w:color w:val="auto"/>
                <w:sz w:val="24"/>
                <w:szCs w:val="24"/>
              </w:rPr>
            </w:pPr>
          </w:p>
          <w:p w14:paraId="4DA32195">
            <w:pPr>
              <w:widowControl w:val="0"/>
              <w:numPr>
                <w:ilvl w:val="0"/>
                <w:numId w:val="0"/>
              </w:numPr>
              <w:snapToGrid w:val="0"/>
              <w:jc w:val="both"/>
              <w:rPr>
                <w:rFonts w:hint="eastAsia"/>
                <w:color w:val="auto"/>
                <w:sz w:val="24"/>
                <w:szCs w:val="24"/>
              </w:rPr>
            </w:pPr>
          </w:p>
          <w:p w14:paraId="51B13EF9">
            <w:pPr>
              <w:widowControl w:val="0"/>
              <w:numPr>
                <w:ilvl w:val="0"/>
                <w:numId w:val="0"/>
              </w:numPr>
              <w:snapToGrid w:val="0"/>
              <w:jc w:val="both"/>
              <w:rPr>
                <w:rFonts w:hint="eastAsia"/>
                <w:color w:val="auto"/>
                <w:sz w:val="24"/>
                <w:szCs w:val="24"/>
              </w:rPr>
            </w:pPr>
          </w:p>
          <w:p w14:paraId="66B65935">
            <w:pPr>
              <w:widowControl w:val="0"/>
              <w:numPr>
                <w:ilvl w:val="0"/>
                <w:numId w:val="0"/>
              </w:numPr>
              <w:snapToGrid w:val="0"/>
              <w:jc w:val="both"/>
              <w:rPr>
                <w:rFonts w:hint="eastAsia"/>
                <w:color w:val="auto"/>
                <w:sz w:val="24"/>
                <w:szCs w:val="24"/>
              </w:rPr>
            </w:pPr>
          </w:p>
        </w:tc>
      </w:tr>
    </w:tbl>
    <w:p w14:paraId="1A47D779">
      <w:pPr>
        <w:rPr>
          <w:b/>
          <w:bCs/>
          <w:color w:val="auto"/>
          <w:szCs w:val="28"/>
        </w:rPr>
      </w:pPr>
    </w:p>
    <w:p w14:paraId="558DD074">
      <w:pPr>
        <w:pStyle w:val="3"/>
        <w:rPr>
          <w:b/>
          <w:bCs/>
          <w:color w:val="auto"/>
          <w:szCs w:val="28"/>
        </w:rPr>
      </w:pPr>
      <w:r>
        <w:rPr>
          <w:rFonts w:hint="eastAsia"/>
          <w:b/>
          <w:bCs/>
          <w:color w:val="auto"/>
          <w:szCs w:val="28"/>
        </w:rPr>
        <w:t>四、主要环境影响和保护措施</w:t>
      </w:r>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9331"/>
      </w:tblGrid>
      <w:tr w14:paraId="4000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590" w:type="dxa"/>
            <w:vAlign w:val="center"/>
          </w:tcPr>
          <w:p w14:paraId="7CCAE9FA">
            <w:pPr>
              <w:jc w:val="center"/>
              <w:rPr>
                <w:color w:val="auto"/>
                <w:sz w:val="24"/>
                <w:szCs w:val="24"/>
              </w:rPr>
            </w:pPr>
            <w:r>
              <w:rPr>
                <w:rFonts w:hint="eastAsia"/>
                <w:color w:val="auto"/>
                <w:sz w:val="24"/>
                <w:szCs w:val="24"/>
              </w:rPr>
              <w:t>施</w:t>
            </w:r>
          </w:p>
          <w:p w14:paraId="2206325C">
            <w:pPr>
              <w:jc w:val="center"/>
              <w:rPr>
                <w:color w:val="auto"/>
                <w:sz w:val="24"/>
                <w:szCs w:val="24"/>
              </w:rPr>
            </w:pPr>
          </w:p>
          <w:p w14:paraId="11847D36">
            <w:pPr>
              <w:jc w:val="center"/>
              <w:rPr>
                <w:color w:val="auto"/>
                <w:sz w:val="24"/>
                <w:szCs w:val="24"/>
              </w:rPr>
            </w:pPr>
            <w:r>
              <w:rPr>
                <w:rFonts w:hint="eastAsia"/>
                <w:color w:val="auto"/>
                <w:sz w:val="24"/>
                <w:szCs w:val="24"/>
              </w:rPr>
              <w:t>工</w:t>
            </w:r>
          </w:p>
          <w:p w14:paraId="3BADA529">
            <w:pPr>
              <w:jc w:val="center"/>
              <w:rPr>
                <w:color w:val="auto"/>
                <w:sz w:val="24"/>
                <w:szCs w:val="24"/>
              </w:rPr>
            </w:pPr>
          </w:p>
          <w:p w14:paraId="15035018">
            <w:pPr>
              <w:jc w:val="center"/>
              <w:rPr>
                <w:color w:val="auto"/>
                <w:sz w:val="24"/>
                <w:szCs w:val="24"/>
              </w:rPr>
            </w:pPr>
            <w:r>
              <w:rPr>
                <w:rFonts w:hint="eastAsia"/>
                <w:color w:val="auto"/>
                <w:sz w:val="24"/>
                <w:szCs w:val="24"/>
              </w:rPr>
              <w:t>期</w:t>
            </w:r>
          </w:p>
          <w:p w14:paraId="0F6FEA3D">
            <w:pPr>
              <w:jc w:val="center"/>
              <w:rPr>
                <w:color w:val="auto"/>
                <w:sz w:val="24"/>
                <w:szCs w:val="24"/>
              </w:rPr>
            </w:pPr>
          </w:p>
          <w:p w14:paraId="0A219410">
            <w:pPr>
              <w:jc w:val="center"/>
              <w:rPr>
                <w:color w:val="auto"/>
                <w:sz w:val="24"/>
                <w:szCs w:val="24"/>
              </w:rPr>
            </w:pPr>
            <w:r>
              <w:rPr>
                <w:rFonts w:hint="eastAsia"/>
                <w:color w:val="auto"/>
                <w:sz w:val="24"/>
                <w:szCs w:val="24"/>
              </w:rPr>
              <w:t>环</w:t>
            </w:r>
          </w:p>
          <w:p w14:paraId="15BF6432">
            <w:pPr>
              <w:jc w:val="center"/>
              <w:rPr>
                <w:color w:val="auto"/>
                <w:sz w:val="24"/>
                <w:szCs w:val="24"/>
              </w:rPr>
            </w:pPr>
          </w:p>
          <w:p w14:paraId="5E04C010">
            <w:pPr>
              <w:jc w:val="center"/>
              <w:rPr>
                <w:color w:val="auto"/>
              </w:rPr>
            </w:pPr>
            <w:r>
              <w:rPr>
                <w:rFonts w:hint="eastAsia"/>
                <w:color w:val="auto"/>
                <w:sz w:val="24"/>
                <w:szCs w:val="24"/>
              </w:rPr>
              <w:t>境</w:t>
            </w:r>
          </w:p>
          <w:p w14:paraId="7704EC07">
            <w:pPr>
              <w:jc w:val="center"/>
              <w:rPr>
                <w:color w:val="auto"/>
                <w:sz w:val="24"/>
                <w:szCs w:val="24"/>
              </w:rPr>
            </w:pPr>
          </w:p>
          <w:p w14:paraId="525B58CC">
            <w:pPr>
              <w:jc w:val="center"/>
              <w:rPr>
                <w:color w:val="auto"/>
                <w:sz w:val="24"/>
                <w:szCs w:val="24"/>
              </w:rPr>
            </w:pPr>
            <w:r>
              <w:rPr>
                <w:rFonts w:hint="eastAsia"/>
                <w:color w:val="auto"/>
                <w:sz w:val="24"/>
                <w:szCs w:val="24"/>
              </w:rPr>
              <w:t>保</w:t>
            </w:r>
          </w:p>
          <w:p w14:paraId="6D575D5B">
            <w:pPr>
              <w:jc w:val="center"/>
              <w:rPr>
                <w:color w:val="auto"/>
                <w:sz w:val="24"/>
                <w:szCs w:val="24"/>
              </w:rPr>
            </w:pPr>
          </w:p>
          <w:p w14:paraId="3D137BEB">
            <w:pPr>
              <w:jc w:val="center"/>
              <w:rPr>
                <w:color w:val="auto"/>
                <w:sz w:val="24"/>
                <w:szCs w:val="24"/>
              </w:rPr>
            </w:pPr>
            <w:r>
              <w:rPr>
                <w:rFonts w:hint="eastAsia"/>
                <w:color w:val="auto"/>
                <w:sz w:val="24"/>
                <w:szCs w:val="24"/>
              </w:rPr>
              <w:t>护</w:t>
            </w:r>
          </w:p>
          <w:p w14:paraId="76B1E036">
            <w:pPr>
              <w:jc w:val="center"/>
              <w:rPr>
                <w:color w:val="auto"/>
                <w:sz w:val="24"/>
                <w:szCs w:val="24"/>
              </w:rPr>
            </w:pPr>
          </w:p>
          <w:p w14:paraId="24D12875">
            <w:pPr>
              <w:jc w:val="center"/>
              <w:rPr>
                <w:color w:val="auto"/>
                <w:sz w:val="24"/>
                <w:szCs w:val="24"/>
              </w:rPr>
            </w:pPr>
            <w:r>
              <w:rPr>
                <w:rFonts w:hint="eastAsia"/>
                <w:color w:val="auto"/>
                <w:sz w:val="24"/>
                <w:szCs w:val="24"/>
              </w:rPr>
              <w:t>措</w:t>
            </w:r>
          </w:p>
          <w:p w14:paraId="21FDB97B">
            <w:pPr>
              <w:jc w:val="center"/>
              <w:rPr>
                <w:color w:val="auto"/>
                <w:sz w:val="24"/>
                <w:szCs w:val="24"/>
              </w:rPr>
            </w:pPr>
          </w:p>
          <w:p w14:paraId="2C793769">
            <w:pPr>
              <w:jc w:val="center"/>
              <w:rPr>
                <w:color w:val="auto"/>
                <w:sz w:val="24"/>
                <w:szCs w:val="24"/>
              </w:rPr>
            </w:pPr>
            <w:r>
              <w:rPr>
                <w:rFonts w:hint="eastAsia"/>
                <w:color w:val="auto"/>
                <w:sz w:val="24"/>
                <w:szCs w:val="24"/>
              </w:rPr>
              <w:t>施</w:t>
            </w:r>
          </w:p>
        </w:tc>
        <w:tc>
          <w:tcPr>
            <w:tcW w:w="9332" w:type="dxa"/>
            <w:vAlign w:val="center"/>
          </w:tcPr>
          <w:p w14:paraId="1BACB294">
            <w:pPr>
              <w:spacing w:line="360" w:lineRule="auto"/>
              <w:jc w:val="left"/>
              <w:rPr>
                <w:b/>
                <w:bCs/>
                <w:color w:val="auto"/>
                <w:sz w:val="24"/>
                <w:szCs w:val="24"/>
                <w:lang w:val="zh-CN"/>
              </w:rPr>
            </w:pPr>
            <w:r>
              <w:rPr>
                <w:b/>
                <w:bCs/>
                <w:color w:val="auto"/>
                <w:sz w:val="24"/>
                <w:szCs w:val="24"/>
                <w:lang w:val="zh-CN"/>
              </w:rPr>
              <w:t>1、施工期大气环境保护措施</w:t>
            </w:r>
          </w:p>
          <w:p w14:paraId="56CC9A55">
            <w:pPr>
              <w:spacing w:line="360" w:lineRule="auto"/>
              <w:ind w:firstLine="480" w:firstLineChars="200"/>
              <w:jc w:val="left"/>
              <w:rPr>
                <w:color w:val="auto"/>
                <w:sz w:val="24"/>
                <w:szCs w:val="24"/>
                <w:lang w:val="zh-CN"/>
              </w:rPr>
            </w:pPr>
            <w:r>
              <w:rPr>
                <w:color w:val="auto"/>
                <w:sz w:val="24"/>
                <w:szCs w:val="24"/>
                <w:lang w:val="zh-CN"/>
              </w:rPr>
              <w:t>（1）废气</w:t>
            </w:r>
          </w:p>
          <w:p w14:paraId="68395373">
            <w:pPr>
              <w:spacing w:line="360" w:lineRule="auto"/>
              <w:ind w:firstLine="480" w:firstLineChars="200"/>
              <w:jc w:val="left"/>
              <w:rPr>
                <w:color w:val="auto"/>
                <w:sz w:val="24"/>
                <w:szCs w:val="24"/>
                <w:lang w:val="zh-CN"/>
              </w:rPr>
            </w:pPr>
            <w:r>
              <w:rPr>
                <w:color w:val="auto"/>
                <w:sz w:val="24"/>
                <w:szCs w:val="24"/>
                <w:lang w:val="zh-CN"/>
              </w:rPr>
              <w:t>施工过程中废气主要来源于施工机械驱动设备（如柴油机等）和运输及施工车辆所排放的废气，排放的主要污染物为NOx、CO及烃类物等，此外，还有施工队伍因生活需要使用燃料而排放的废气等。</w:t>
            </w:r>
          </w:p>
          <w:p w14:paraId="6C4667DC">
            <w:pPr>
              <w:spacing w:line="360" w:lineRule="auto"/>
              <w:ind w:firstLine="480" w:firstLineChars="200"/>
              <w:jc w:val="left"/>
              <w:rPr>
                <w:color w:val="auto"/>
                <w:sz w:val="24"/>
                <w:szCs w:val="24"/>
                <w:lang w:val="zh-CN"/>
              </w:rPr>
            </w:pPr>
            <w:r>
              <w:rPr>
                <w:color w:val="auto"/>
                <w:sz w:val="24"/>
                <w:szCs w:val="24"/>
                <w:lang w:val="zh-CN"/>
              </w:rPr>
              <w:t>（2）粉尘和扬尘</w:t>
            </w:r>
          </w:p>
          <w:p w14:paraId="1857146A">
            <w:pPr>
              <w:spacing w:line="360" w:lineRule="auto"/>
              <w:ind w:firstLine="480" w:firstLineChars="200"/>
              <w:jc w:val="left"/>
              <w:rPr>
                <w:color w:val="auto"/>
                <w:sz w:val="24"/>
                <w:szCs w:val="24"/>
                <w:lang w:val="zh-CN"/>
              </w:rPr>
            </w:pPr>
            <w:r>
              <w:rPr>
                <w:color w:val="auto"/>
                <w:sz w:val="24"/>
                <w:szCs w:val="24"/>
                <w:lang w:val="zh-CN"/>
              </w:rPr>
              <w:t>本项目设备建设安装过程中，粉尘污染主要来源于：</w:t>
            </w:r>
          </w:p>
          <w:p w14:paraId="0007EC37">
            <w:pPr>
              <w:spacing w:line="360" w:lineRule="auto"/>
              <w:ind w:firstLine="480" w:firstLineChars="200"/>
              <w:jc w:val="left"/>
              <w:rPr>
                <w:color w:val="auto"/>
                <w:sz w:val="24"/>
                <w:szCs w:val="24"/>
                <w:lang w:val="zh-CN"/>
              </w:rPr>
            </w:pPr>
            <w:r>
              <w:rPr>
                <w:color w:val="auto"/>
                <w:sz w:val="24"/>
                <w:szCs w:val="24"/>
                <w:lang w:val="zh-CN"/>
              </w:rPr>
              <w:t>①土方的挖掘、堆放、清运、回填和场地平整等过程产生的粉尘；</w:t>
            </w:r>
          </w:p>
          <w:p w14:paraId="56063F01">
            <w:pPr>
              <w:spacing w:line="360" w:lineRule="auto"/>
              <w:ind w:firstLine="480" w:firstLineChars="200"/>
              <w:jc w:val="left"/>
              <w:rPr>
                <w:color w:val="auto"/>
                <w:sz w:val="24"/>
                <w:szCs w:val="24"/>
                <w:lang w:val="zh-CN"/>
              </w:rPr>
            </w:pPr>
            <w:r>
              <w:rPr>
                <w:color w:val="auto"/>
                <w:sz w:val="24"/>
                <w:szCs w:val="24"/>
                <w:lang w:val="zh-CN"/>
              </w:rPr>
              <w:t>②管道施工中的土方运输产生的粉尘；</w:t>
            </w:r>
          </w:p>
          <w:p w14:paraId="4DF1E913">
            <w:pPr>
              <w:spacing w:line="360" w:lineRule="auto"/>
              <w:ind w:firstLine="480" w:firstLineChars="200"/>
              <w:jc w:val="left"/>
              <w:rPr>
                <w:color w:val="auto"/>
                <w:sz w:val="24"/>
                <w:szCs w:val="24"/>
                <w:lang w:val="zh-CN"/>
              </w:rPr>
            </w:pPr>
            <w:r>
              <w:rPr>
                <w:color w:val="auto"/>
                <w:sz w:val="24"/>
                <w:szCs w:val="24"/>
                <w:lang w:val="zh-CN"/>
              </w:rPr>
              <w:t>③建筑材料如水泥、白灰、砂子以及土方等在其装卸、运输、堆放等过程中，因风力作用而产生的扬尘污染；</w:t>
            </w:r>
          </w:p>
          <w:p w14:paraId="526EF7E9">
            <w:pPr>
              <w:spacing w:line="360" w:lineRule="auto"/>
              <w:ind w:firstLine="480" w:firstLineChars="200"/>
              <w:jc w:val="left"/>
              <w:rPr>
                <w:color w:val="auto"/>
                <w:sz w:val="24"/>
                <w:szCs w:val="24"/>
                <w:lang w:val="zh-CN"/>
              </w:rPr>
            </w:pPr>
            <w:r>
              <w:rPr>
                <w:color w:val="auto"/>
                <w:sz w:val="24"/>
                <w:szCs w:val="24"/>
                <w:lang w:val="zh-CN"/>
              </w:rPr>
              <w:t>④搅拌车辆及运输车辆往来造成地面扬尘；</w:t>
            </w:r>
          </w:p>
          <w:p w14:paraId="58CF1D16">
            <w:pPr>
              <w:spacing w:line="360" w:lineRule="auto"/>
              <w:ind w:firstLine="480" w:firstLineChars="200"/>
              <w:jc w:val="left"/>
              <w:rPr>
                <w:color w:val="auto"/>
                <w:sz w:val="24"/>
                <w:szCs w:val="24"/>
                <w:lang w:val="zh-CN"/>
              </w:rPr>
            </w:pPr>
            <w:r>
              <w:rPr>
                <w:color w:val="auto"/>
                <w:sz w:val="24"/>
                <w:szCs w:val="24"/>
                <w:lang w:val="zh-CN"/>
              </w:rPr>
              <w:t>⑤施工垃圾及清运过程中产生扬尘。</w:t>
            </w:r>
          </w:p>
          <w:p w14:paraId="6F41EE36">
            <w:pPr>
              <w:spacing w:line="360" w:lineRule="auto"/>
              <w:ind w:firstLine="480" w:firstLineChars="200"/>
              <w:jc w:val="left"/>
              <w:rPr>
                <w:color w:val="auto"/>
                <w:sz w:val="24"/>
                <w:szCs w:val="24"/>
                <w:lang w:val="zh-CN"/>
              </w:rPr>
            </w:pPr>
            <w:r>
              <w:rPr>
                <w:color w:val="auto"/>
                <w:sz w:val="24"/>
                <w:szCs w:val="24"/>
                <w:lang w:val="zh-CN"/>
              </w:rPr>
              <w:t>上述施工过程中产生的废气、粉尘及扬尘将会造成周围大气环境污染，其中又以粉尘的危害较为严重。</w:t>
            </w:r>
          </w:p>
          <w:p w14:paraId="24B7050D">
            <w:pPr>
              <w:spacing w:line="360" w:lineRule="auto"/>
              <w:ind w:firstLine="480" w:firstLineChars="200"/>
              <w:jc w:val="left"/>
              <w:rPr>
                <w:color w:val="auto"/>
                <w:sz w:val="24"/>
                <w:szCs w:val="24"/>
                <w:lang w:val="zh-CN"/>
              </w:rPr>
            </w:pPr>
            <w:r>
              <w:rPr>
                <w:color w:val="auto"/>
                <w:sz w:val="24"/>
                <w:szCs w:val="24"/>
                <w:lang w:val="zh-CN"/>
              </w:rPr>
              <w:t>为了减轻废气、粉尘及扬尘对周围环境的影响，建议采取以下措施：</w:t>
            </w:r>
          </w:p>
          <w:p w14:paraId="555E4FB5">
            <w:pPr>
              <w:spacing w:line="360" w:lineRule="auto"/>
              <w:ind w:firstLine="480" w:firstLineChars="200"/>
              <w:jc w:val="left"/>
              <w:rPr>
                <w:color w:val="auto"/>
                <w:sz w:val="24"/>
                <w:szCs w:val="24"/>
                <w:lang w:val="zh-CN"/>
              </w:rPr>
            </w:pPr>
            <w:r>
              <w:rPr>
                <w:color w:val="auto"/>
                <w:sz w:val="24"/>
                <w:szCs w:val="24"/>
                <w:lang w:val="zh-CN"/>
              </w:rPr>
              <w:t>①对施工现场实行合理化管理，使砂石料统一堆放，水泥应设专门库房堆放，并尽量减少搬运环节，搬运时做到轻举轻放，防止包装袋破裂；</w:t>
            </w:r>
          </w:p>
          <w:p w14:paraId="676803D4">
            <w:pPr>
              <w:spacing w:line="360" w:lineRule="auto"/>
              <w:ind w:firstLine="480" w:firstLineChars="200"/>
              <w:jc w:val="left"/>
              <w:rPr>
                <w:color w:val="auto"/>
                <w:sz w:val="24"/>
                <w:szCs w:val="24"/>
                <w:lang w:val="zh-CN"/>
              </w:rPr>
            </w:pPr>
            <w:r>
              <w:rPr>
                <w:color w:val="auto"/>
                <w:sz w:val="24"/>
                <w:szCs w:val="24"/>
                <w:lang w:val="zh-CN"/>
              </w:rPr>
              <w:t>②开挖时，对作业面和土堆适当喷水，使其保持一定湿度，以减少扬尘量。而且开挖的泥土和建筑垃圾要及时运走，以防长期堆放表面干燥而起尘或被雨水冲刷；</w:t>
            </w:r>
          </w:p>
          <w:p w14:paraId="161141B0">
            <w:pPr>
              <w:spacing w:line="360" w:lineRule="auto"/>
              <w:ind w:firstLine="480" w:firstLineChars="200"/>
              <w:jc w:val="left"/>
              <w:rPr>
                <w:color w:val="auto"/>
                <w:sz w:val="24"/>
                <w:szCs w:val="24"/>
                <w:lang w:val="zh-CN"/>
              </w:rPr>
            </w:pPr>
            <w:r>
              <w:rPr>
                <w:color w:val="auto"/>
                <w:sz w:val="24"/>
                <w:szCs w:val="24"/>
                <w:lang w:val="zh-CN"/>
              </w:rPr>
              <w:t>③运输车辆应完好，不应装载过满，并尽量采取遮盖、密闭措施，减少沿途抛洒，并及时清扫散落在地面上的泥土和建筑材料，冲洗轮胎，定时洒水压尘，以减少运输过程中的扬尘；</w:t>
            </w:r>
          </w:p>
          <w:p w14:paraId="49822966">
            <w:pPr>
              <w:spacing w:line="360" w:lineRule="auto"/>
              <w:ind w:firstLine="480" w:firstLineChars="200"/>
              <w:jc w:val="left"/>
              <w:rPr>
                <w:color w:val="auto"/>
                <w:sz w:val="24"/>
                <w:szCs w:val="24"/>
                <w:lang w:val="zh-CN"/>
              </w:rPr>
            </w:pPr>
            <w:r>
              <w:rPr>
                <w:color w:val="auto"/>
                <w:sz w:val="24"/>
                <w:szCs w:val="24"/>
                <w:lang w:val="zh-CN"/>
              </w:rPr>
              <w:t>④应首选使用商品混凝土，因需要必须进行现场搅拌砂浆、混凝土时，应尽量做到不洒、不漏、不剩、不倒；混凝土搅拌应设置在棚内，搅拌时要有喷雾降尘措施；</w:t>
            </w:r>
          </w:p>
          <w:p w14:paraId="232FF939">
            <w:pPr>
              <w:spacing w:line="360" w:lineRule="auto"/>
              <w:ind w:firstLine="480" w:firstLineChars="200"/>
              <w:jc w:val="left"/>
              <w:rPr>
                <w:color w:val="auto"/>
                <w:sz w:val="24"/>
                <w:szCs w:val="24"/>
                <w:lang w:val="zh-CN"/>
              </w:rPr>
            </w:pPr>
            <w:r>
              <w:rPr>
                <w:color w:val="auto"/>
                <w:sz w:val="24"/>
                <w:szCs w:val="24"/>
                <w:lang w:val="zh-CN"/>
              </w:rPr>
              <w:t>⑤施工现场要设围栏或部分围栏，缩小施工扬尘扩散</w:t>
            </w:r>
            <w:r>
              <w:rPr>
                <w:rFonts w:hint="eastAsia"/>
                <w:color w:val="auto"/>
                <w:sz w:val="24"/>
                <w:szCs w:val="24"/>
                <w:lang w:val="zh-CN"/>
              </w:rPr>
              <w:t>范围</w:t>
            </w:r>
            <w:r>
              <w:rPr>
                <w:color w:val="auto"/>
                <w:sz w:val="24"/>
                <w:szCs w:val="24"/>
                <w:lang w:val="zh-CN"/>
              </w:rPr>
              <w:t>；</w:t>
            </w:r>
          </w:p>
          <w:p w14:paraId="12BF2F78">
            <w:pPr>
              <w:spacing w:line="360" w:lineRule="auto"/>
              <w:ind w:firstLine="480" w:firstLineChars="200"/>
              <w:jc w:val="left"/>
              <w:rPr>
                <w:color w:val="auto"/>
                <w:sz w:val="24"/>
                <w:szCs w:val="24"/>
                <w:lang w:val="zh-CN"/>
              </w:rPr>
            </w:pPr>
            <w:r>
              <w:rPr>
                <w:color w:val="auto"/>
                <w:sz w:val="24"/>
                <w:szCs w:val="24"/>
                <w:lang w:val="zh-CN"/>
              </w:rPr>
              <w:t>⑥当风速过大时，应停止施工作业，并对堆存的砂粉等建筑材料采取遮盖措施；</w:t>
            </w:r>
          </w:p>
          <w:p w14:paraId="487B8F82">
            <w:pPr>
              <w:spacing w:line="360" w:lineRule="auto"/>
              <w:ind w:firstLine="480" w:firstLineChars="200"/>
              <w:jc w:val="left"/>
              <w:rPr>
                <w:color w:val="auto"/>
                <w:sz w:val="24"/>
                <w:szCs w:val="24"/>
                <w:lang w:val="zh-CN"/>
              </w:rPr>
            </w:pPr>
            <w:r>
              <w:rPr>
                <w:color w:val="auto"/>
                <w:sz w:val="24"/>
                <w:szCs w:val="24"/>
                <w:lang w:val="zh-CN"/>
              </w:rPr>
              <w:t>⑦对排烟大的施工机械安装消烟装置，以减轻对大气环境的污染。</w:t>
            </w:r>
          </w:p>
          <w:p w14:paraId="50F209E5">
            <w:pPr>
              <w:spacing w:line="360" w:lineRule="auto"/>
              <w:ind w:firstLine="482" w:firstLineChars="200"/>
              <w:jc w:val="left"/>
              <w:rPr>
                <w:b/>
                <w:bCs/>
                <w:color w:val="auto"/>
                <w:sz w:val="24"/>
                <w:szCs w:val="24"/>
                <w:lang w:val="zh-CN"/>
              </w:rPr>
            </w:pPr>
            <w:r>
              <w:rPr>
                <w:b/>
                <w:bCs/>
                <w:color w:val="auto"/>
                <w:sz w:val="24"/>
                <w:szCs w:val="24"/>
                <w:lang w:val="zh-CN"/>
              </w:rPr>
              <w:t>2、施工期噪声环境保护措施</w:t>
            </w:r>
          </w:p>
          <w:p w14:paraId="0446E0FD">
            <w:pPr>
              <w:spacing w:line="360" w:lineRule="auto"/>
              <w:ind w:firstLine="480" w:firstLineChars="200"/>
              <w:jc w:val="left"/>
              <w:rPr>
                <w:color w:val="auto"/>
                <w:sz w:val="24"/>
                <w:szCs w:val="24"/>
                <w:lang w:val="zh-CN"/>
              </w:rPr>
            </w:pPr>
            <w:r>
              <w:rPr>
                <w:color w:val="auto"/>
                <w:sz w:val="24"/>
                <w:szCs w:val="24"/>
                <w:lang w:val="zh-CN"/>
              </w:rPr>
              <w:t>噪声是施工期主要的污染因子，施工过程中使用的运输车辆及各种施工机械，如挖掘机、推土机、混凝土搅拌机等都是噪声源。</w:t>
            </w:r>
          </w:p>
          <w:p w14:paraId="29722D54">
            <w:pPr>
              <w:spacing w:line="360" w:lineRule="auto"/>
              <w:ind w:firstLine="480" w:firstLineChars="200"/>
              <w:jc w:val="left"/>
              <w:rPr>
                <w:color w:val="auto"/>
                <w:sz w:val="24"/>
                <w:szCs w:val="24"/>
                <w:lang w:val="zh-CN"/>
              </w:rPr>
            </w:pPr>
            <w:r>
              <w:rPr>
                <w:color w:val="auto"/>
                <w:sz w:val="24"/>
                <w:szCs w:val="24"/>
                <w:lang w:val="zh-CN"/>
              </w:rPr>
              <w:t>为了减轻施工噪声对周围环境的影响，建议采取以下措施：</w:t>
            </w:r>
          </w:p>
          <w:p w14:paraId="34C24192">
            <w:pPr>
              <w:spacing w:line="360" w:lineRule="auto"/>
              <w:ind w:firstLine="480" w:firstLineChars="200"/>
              <w:jc w:val="left"/>
              <w:rPr>
                <w:color w:val="auto"/>
                <w:sz w:val="24"/>
                <w:szCs w:val="24"/>
                <w:lang w:val="zh-CN"/>
              </w:rPr>
            </w:pPr>
            <w:r>
              <w:rPr>
                <w:color w:val="auto"/>
                <w:sz w:val="24"/>
                <w:szCs w:val="24"/>
                <w:lang w:val="zh-CN"/>
              </w:rPr>
              <w:t>（1）加强施工管理，合理安排施工作业时间，严格按照施工噪声管理的有关规定执行，严禁夜间进行高噪声施工作业。</w:t>
            </w:r>
          </w:p>
          <w:p w14:paraId="2FCF7E18">
            <w:pPr>
              <w:spacing w:line="360" w:lineRule="auto"/>
              <w:ind w:firstLine="480" w:firstLineChars="200"/>
              <w:jc w:val="left"/>
              <w:rPr>
                <w:color w:val="auto"/>
                <w:sz w:val="24"/>
                <w:szCs w:val="24"/>
                <w:lang w:val="zh-CN"/>
              </w:rPr>
            </w:pPr>
            <w:r>
              <w:rPr>
                <w:color w:val="auto"/>
                <w:sz w:val="24"/>
                <w:szCs w:val="24"/>
                <w:lang w:val="zh-CN"/>
              </w:rPr>
              <w:t>（2）尽量采用低噪声的施工工具和施工方法，如以液压代替气压。</w:t>
            </w:r>
          </w:p>
          <w:p w14:paraId="063C3DF7">
            <w:pPr>
              <w:spacing w:line="360" w:lineRule="auto"/>
              <w:ind w:firstLine="480" w:firstLineChars="200"/>
              <w:jc w:val="left"/>
              <w:rPr>
                <w:color w:val="auto"/>
                <w:sz w:val="24"/>
                <w:szCs w:val="24"/>
                <w:lang w:val="zh-CN"/>
              </w:rPr>
            </w:pPr>
            <w:r>
              <w:rPr>
                <w:color w:val="auto"/>
                <w:sz w:val="24"/>
                <w:szCs w:val="24"/>
                <w:lang w:val="zh-CN"/>
              </w:rPr>
              <w:t>（3）施工机械应尽可能放置于对周围敏感点造成影响最小的地点。</w:t>
            </w:r>
          </w:p>
          <w:p w14:paraId="5C1117D3">
            <w:pPr>
              <w:spacing w:line="360" w:lineRule="auto"/>
              <w:ind w:firstLine="480" w:firstLineChars="200"/>
              <w:jc w:val="left"/>
              <w:rPr>
                <w:color w:val="auto"/>
                <w:sz w:val="24"/>
                <w:szCs w:val="24"/>
                <w:lang w:val="zh-CN"/>
              </w:rPr>
            </w:pPr>
            <w:r>
              <w:rPr>
                <w:color w:val="auto"/>
                <w:sz w:val="24"/>
                <w:szCs w:val="24"/>
                <w:lang w:val="zh-CN"/>
              </w:rPr>
              <w:t>（4）在高噪声设备周围设置掩蔽物。</w:t>
            </w:r>
          </w:p>
          <w:p w14:paraId="22244526">
            <w:pPr>
              <w:spacing w:line="360" w:lineRule="auto"/>
              <w:ind w:firstLine="480" w:firstLineChars="200"/>
              <w:jc w:val="left"/>
              <w:rPr>
                <w:color w:val="auto"/>
                <w:sz w:val="24"/>
                <w:szCs w:val="24"/>
                <w:lang w:val="zh-CN"/>
              </w:rPr>
            </w:pPr>
            <w:r>
              <w:rPr>
                <w:color w:val="auto"/>
                <w:sz w:val="24"/>
                <w:szCs w:val="24"/>
                <w:lang w:val="zh-CN"/>
              </w:rPr>
              <w:t>（5）混凝土需要连续浇灌作业前，应做好各项准备工作，将搅拌机运行时间压到最低限度。</w:t>
            </w:r>
          </w:p>
          <w:p w14:paraId="2ED349A8">
            <w:pPr>
              <w:spacing w:line="360" w:lineRule="auto"/>
              <w:ind w:firstLine="480" w:firstLineChars="200"/>
              <w:jc w:val="left"/>
              <w:rPr>
                <w:color w:val="auto"/>
                <w:sz w:val="24"/>
                <w:szCs w:val="24"/>
                <w:lang w:val="zh-CN"/>
              </w:rPr>
            </w:pPr>
            <w:r>
              <w:rPr>
                <w:color w:val="auto"/>
                <w:sz w:val="24"/>
                <w:szCs w:val="24"/>
                <w:lang w:val="zh-CN"/>
              </w:rPr>
              <w:t>（6）加强对施工运输车辆的管理，尽量压缩工区汽车数量和行车密度，控制汽车鸣笛。</w:t>
            </w:r>
          </w:p>
          <w:p w14:paraId="164D25EC">
            <w:pPr>
              <w:spacing w:line="360" w:lineRule="auto"/>
              <w:ind w:firstLine="482" w:firstLineChars="200"/>
              <w:jc w:val="left"/>
              <w:rPr>
                <w:b/>
                <w:bCs/>
                <w:color w:val="auto"/>
                <w:sz w:val="24"/>
                <w:szCs w:val="24"/>
                <w:lang w:val="zh-CN"/>
              </w:rPr>
            </w:pPr>
            <w:r>
              <w:rPr>
                <w:b/>
                <w:bCs/>
                <w:color w:val="auto"/>
                <w:sz w:val="24"/>
                <w:szCs w:val="24"/>
                <w:lang w:val="zh-CN"/>
              </w:rPr>
              <w:t>3、施工期固体废弃物环境保护措施</w:t>
            </w:r>
          </w:p>
          <w:p w14:paraId="65298E11">
            <w:pPr>
              <w:spacing w:line="360" w:lineRule="auto"/>
              <w:ind w:firstLine="480" w:firstLineChars="200"/>
              <w:jc w:val="left"/>
              <w:rPr>
                <w:color w:val="auto"/>
                <w:sz w:val="24"/>
                <w:szCs w:val="24"/>
                <w:lang w:val="zh-CN"/>
              </w:rPr>
            </w:pPr>
            <w:r>
              <w:rPr>
                <w:color w:val="auto"/>
                <w:sz w:val="24"/>
                <w:szCs w:val="24"/>
                <w:lang w:val="zh-CN"/>
              </w:rPr>
              <w:t>本项目建设过程中，产生的固体废弃物主要有施工过程中产生的建筑垃圾和由施工人员产生的生活垃圾两类，主要环境影响与污染防治分析如下：</w:t>
            </w:r>
          </w:p>
          <w:p w14:paraId="4CC18C42">
            <w:pPr>
              <w:spacing w:line="360" w:lineRule="auto"/>
              <w:ind w:firstLine="480" w:firstLineChars="200"/>
              <w:jc w:val="left"/>
              <w:rPr>
                <w:color w:val="auto"/>
                <w:sz w:val="24"/>
                <w:szCs w:val="24"/>
                <w:lang w:val="zh-CN"/>
              </w:rPr>
            </w:pPr>
            <w:r>
              <w:rPr>
                <w:color w:val="auto"/>
                <w:sz w:val="24"/>
                <w:szCs w:val="24"/>
                <w:lang w:val="zh-CN"/>
              </w:rPr>
              <w:t>（1）对大气环境影响</w:t>
            </w:r>
          </w:p>
          <w:p w14:paraId="630B69C0">
            <w:pPr>
              <w:spacing w:line="360" w:lineRule="auto"/>
              <w:ind w:firstLine="480" w:firstLineChars="200"/>
              <w:jc w:val="left"/>
              <w:rPr>
                <w:color w:val="auto"/>
                <w:sz w:val="24"/>
                <w:szCs w:val="24"/>
                <w:lang w:val="zh-CN"/>
              </w:rPr>
            </w:pPr>
            <w:r>
              <w:rPr>
                <w:color w:val="auto"/>
                <w:sz w:val="24"/>
                <w:szCs w:val="24"/>
                <w:lang w:val="zh-CN"/>
              </w:rPr>
              <w:t>建筑垃圾和生活垃圾堆放、贮存、转移过程中容易造成细微颗粒、粉尘等随风飞扬，从而对大气环境造成污染；建筑垃圾和生活垃圾若意外引燃，发生火灾，会对大气环境造成污染。</w:t>
            </w:r>
          </w:p>
          <w:p w14:paraId="79C151BA">
            <w:pPr>
              <w:spacing w:line="360" w:lineRule="auto"/>
              <w:ind w:firstLine="480" w:firstLineChars="200"/>
              <w:jc w:val="left"/>
              <w:rPr>
                <w:color w:val="auto"/>
                <w:sz w:val="24"/>
                <w:szCs w:val="24"/>
                <w:lang w:val="zh-CN"/>
              </w:rPr>
            </w:pPr>
            <w:r>
              <w:rPr>
                <w:color w:val="auto"/>
                <w:sz w:val="24"/>
                <w:szCs w:val="24"/>
                <w:lang w:val="zh-CN"/>
              </w:rPr>
              <w:t>（2）对水体影响</w:t>
            </w:r>
          </w:p>
          <w:p w14:paraId="5CFF83B6">
            <w:pPr>
              <w:spacing w:line="360" w:lineRule="auto"/>
              <w:ind w:firstLine="480" w:firstLineChars="200"/>
              <w:jc w:val="left"/>
              <w:rPr>
                <w:color w:val="auto"/>
                <w:sz w:val="24"/>
                <w:szCs w:val="24"/>
                <w:lang w:val="zh-CN"/>
              </w:rPr>
            </w:pPr>
            <w:r>
              <w:rPr>
                <w:color w:val="auto"/>
                <w:sz w:val="24"/>
                <w:szCs w:val="24"/>
                <w:lang w:val="zh-CN"/>
              </w:rPr>
              <w:t>建筑垃圾和生活垃圾若未按要求处置或转移过程中发生泄漏，从而进入水体，将使水质受到直接污染，严重危害水生生物的生存条件，并影响水资源的充分利用；若违规向周边水体倾倒固体废物，将缩减江河湖治有效面积，使其排洪和灌溉能力有所降低；若违规</w:t>
            </w:r>
            <w:r>
              <w:rPr>
                <w:rFonts w:hint="eastAsia"/>
                <w:color w:val="auto"/>
                <w:sz w:val="24"/>
                <w:szCs w:val="24"/>
                <w:lang w:val="en-US" w:eastAsia="zh-CN"/>
              </w:rPr>
              <w:t>在</w:t>
            </w:r>
            <w:r>
              <w:rPr>
                <w:color w:val="auto"/>
                <w:sz w:val="24"/>
                <w:szCs w:val="24"/>
                <w:lang w:val="zh-CN"/>
              </w:rPr>
              <w:t>陆地堆积或简单填埋的固体废物，经过雨水的浸渍和废物本身的分解，将会产生含有害化学物质的渗滤液，对附近地区的地表及地下水造成污染。</w:t>
            </w:r>
          </w:p>
          <w:p w14:paraId="39EB1C79">
            <w:pPr>
              <w:spacing w:line="360" w:lineRule="auto"/>
              <w:ind w:firstLine="480" w:firstLineChars="200"/>
              <w:jc w:val="left"/>
              <w:rPr>
                <w:color w:val="auto"/>
                <w:sz w:val="24"/>
                <w:szCs w:val="24"/>
                <w:lang w:val="zh-CN"/>
              </w:rPr>
            </w:pPr>
            <w:r>
              <w:rPr>
                <w:color w:val="auto"/>
                <w:sz w:val="24"/>
                <w:szCs w:val="24"/>
                <w:lang w:val="zh-CN"/>
              </w:rPr>
              <w:t>（3）对土壤影响</w:t>
            </w:r>
          </w:p>
          <w:p w14:paraId="038186DE">
            <w:pPr>
              <w:spacing w:line="360" w:lineRule="auto"/>
              <w:ind w:firstLine="480" w:firstLineChars="200"/>
              <w:jc w:val="left"/>
              <w:rPr>
                <w:color w:val="auto"/>
                <w:sz w:val="24"/>
                <w:szCs w:val="24"/>
                <w:lang w:val="zh-CN"/>
              </w:rPr>
            </w:pPr>
            <w:r>
              <w:rPr>
                <w:color w:val="auto"/>
                <w:sz w:val="24"/>
                <w:szCs w:val="24"/>
                <w:lang w:val="zh-CN"/>
              </w:rPr>
              <w:t>建筑垃圾和生活垃圾若随意堆放或长期露天堆放，经历长期的日晒雨淋后，垃圾中的有害物质（其中包含有城市建筑垃圾中的油漆、涂料和沥青等释放出的多环芳烃构化物质）通过垃圾渗滤液渗入土壤中，从而发生一系列物理、化学和生物反应，如过滤、吸附、沉淀，或为植物根系吸收或被微生物合成吸收，造成土壤的污染；从而降低了土壤质量；此外，露天堆放的建筑垃圾和生活垃圾在种种外力作用下，较小的碎石块也会进入附近的土壤，改变土壤的物质组成，破坏土壤的结构，降低土壤的生产力；另外，建筑垃圾中重金属的含量较高，在多种因素的作用下，其将发生化学反应，使得土壤中重金属含量增加，这将使作物中重金属含量提高。</w:t>
            </w:r>
          </w:p>
          <w:p w14:paraId="4BD3BC29">
            <w:pPr>
              <w:spacing w:line="360" w:lineRule="auto"/>
              <w:ind w:firstLine="480" w:firstLineChars="200"/>
              <w:jc w:val="left"/>
              <w:rPr>
                <w:color w:val="auto"/>
                <w:sz w:val="24"/>
                <w:szCs w:val="24"/>
                <w:lang w:val="zh-CN"/>
              </w:rPr>
            </w:pPr>
            <w:r>
              <w:rPr>
                <w:color w:val="auto"/>
                <w:sz w:val="24"/>
                <w:szCs w:val="24"/>
                <w:lang w:val="zh-CN"/>
              </w:rPr>
              <w:t>（4）污染防治措施</w:t>
            </w:r>
          </w:p>
          <w:p w14:paraId="56976910">
            <w:pPr>
              <w:spacing w:line="360" w:lineRule="auto"/>
              <w:ind w:firstLine="480" w:firstLineChars="200"/>
              <w:jc w:val="left"/>
              <w:rPr>
                <w:color w:val="auto"/>
                <w:sz w:val="24"/>
                <w:szCs w:val="24"/>
                <w:lang w:val="zh-CN"/>
              </w:rPr>
            </w:pPr>
            <w:r>
              <w:rPr>
                <w:color w:val="auto"/>
                <w:sz w:val="24"/>
                <w:szCs w:val="24"/>
                <w:lang w:val="zh-CN"/>
              </w:rPr>
              <w:t>施工垃圾主要来自施工所产生的建筑垃圾和施工队伍产生的生活垃圾。其防治措施主要有：</w:t>
            </w:r>
          </w:p>
          <w:p w14:paraId="0D19C894">
            <w:pPr>
              <w:spacing w:line="360" w:lineRule="auto"/>
              <w:ind w:firstLine="480" w:firstLineChars="200"/>
              <w:jc w:val="left"/>
              <w:rPr>
                <w:color w:val="auto"/>
                <w:sz w:val="24"/>
                <w:szCs w:val="24"/>
                <w:lang w:val="zh-CN"/>
              </w:rPr>
            </w:pPr>
            <w:r>
              <w:rPr>
                <w:color w:val="auto"/>
                <w:sz w:val="24"/>
                <w:szCs w:val="24"/>
                <w:lang w:val="zh-CN"/>
              </w:rPr>
              <w:t>①尽量减少建筑材料在运输、装卸、施工过程中的跑、冒、滴、漏，建筑垃圾应在指定的堆放点存放，并及时送城市垃圾填埋场。</w:t>
            </w:r>
          </w:p>
          <w:p w14:paraId="51006292">
            <w:pPr>
              <w:spacing w:line="360" w:lineRule="auto"/>
              <w:ind w:firstLine="480" w:firstLineChars="200"/>
              <w:jc w:val="left"/>
              <w:rPr>
                <w:color w:val="auto"/>
                <w:sz w:val="24"/>
                <w:szCs w:val="24"/>
                <w:lang w:val="zh-CN"/>
              </w:rPr>
            </w:pPr>
            <w:r>
              <w:rPr>
                <w:color w:val="auto"/>
                <w:sz w:val="24"/>
                <w:szCs w:val="24"/>
                <w:lang w:val="zh-CN"/>
              </w:rPr>
              <w:t>②在工地废料被运送到合适的市场去以前，需要制定一个堆放、分类回收和贮存材料的计划。一般而言，主要针对钢材、金属、砌块、混凝土、未加工木材、瓦楞板纸和沥青等可再生材料进行现场分类和收集。</w:t>
            </w:r>
          </w:p>
          <w:p w14:paraId="67852308">
            <w:pPr>
              <w:spacing w:line="360" w:lineRule="auto"/>
              <w:ind w:firstLine="480" w:firstLineChars="200"/>
              <w:jc w:val="left"/>
              <w:rPr>
                <w:color w:val="auto"/>
                <w:sz w:val="24"/>
                <w:szCs w:val="24"/>
                <w:lang w:val="zh-CN"/>
              </w:rPr>
            </w:pPr>
            <w:r>
              <w:rPr>
                <w:color w:val="auto"/>
                <w:sz w:val="24"/>
                <w:szCs w:val="24"/>
                <w:lang w:val="zh-CN"/>
              </w:rPr>
              <w:t>③对施工现场及时清理，建筑垃圾及时清运、加以利用，防止其因长期堆放而产生扬尘。</w:t>
            </w:r>
          </w:p>
          <w:p w14:paraId="4BBCCAA8">
            <w:pPr>
              <w:spacing w:line="360" w:lineRule="auto"/>
              <w:ind w:firstLine="480" w:firstLineChars="200"/>
              <w:jc w:val="left"/>
              <w:rPr>
                <w:color w:val="auto"/>
                <w:sz w:val="24"/>
                <w:szCs w:val="24"/>
                <w:lang w:val="zh-CN"/>
              </w:rPr>
            </w:pPr>
            <w:r>
              <w:rPr>
                <w:color w:val="auto"/>
                <w:sz w:val="24"/>
                <w:szCs w:val="24"/>
                <w:lang w:val="zh-CN"/>
              </w:rPr>
              <w:t>④施工人员居住区的生活垃圾要实行袋装化，每天由清洁员清理，集中送至指定堆放点，由环卫所定期将之送往较近的垃圾场进行合理处理，严禁乱堆乱扔，防止产生二次污染。</w:t>
            </w:r>
          </w:p>
          <w:p w14:paraId="4BAAD9F8">
            <w:pPr>
              <w:spacing w:line="360" w:lineRule="auto"/>
              <w:ind w:firstLine="482" w:firstLineChars="200"/>
              <w:jc w:val="left"/>
              <w:rPr>
                <w:b/>
                <w:bCs/>
                <w:color w:val="auto"/>
                <w:sz w:val="24"/>
                <w:szCs w:val="24"/>
                <w:lang w:val="zh-CN"/>
              </w:rPr>
            </w:pPr>
            <w:r>
              <w:rPr>
                <w:b/>
                <w:bCs/>
                <w:color w:val="auto"/>
                <w:sz w:val="24"/>
                <w:szCs w:val="24"/>
                <w:lang w:val="zh-CN"/>
              </w:rPr>
              <w:t>4、施工期废水环境保护措施</w:t>
            </w:r>
          </w:p>
          <w:p w14:paraId="4E1F4F7A">
            <w:pPr>
              <w:spacing w:line="360" w:lineRule="auto"/>
              <w:ind w:firstLine="480" w:firstLineChars="200"/>
              <w:jc w:val="left"/>
              <w:rPr>
                <w:color w:val="auto"/>
                <w:sz w:val="24"/>
                <w:szCs w:val="24"/>
                <w:lang w:val="zh-CN"/>
              </w:rPr>
            </w:pPr>
            <w:r>
              <w:rPr>
                <w:color w:val="auto"/>
                <w:sz w:val="24"/>
                <w:szCs w:val="24"/>
                <w:lang w:val="zh-CN"/>
              </w:rPr>
              <w:t>（1）施工废水：各种施工机械设备运转的冷却水及洗涤用水和施工现场清洗、建材清洗、混凝土养护、设备水压试验等产生的废水，这部分废水含有一定量的油污和泥砂。</w:t>
            </w:r>
          </w:p>
          <w:p w14:paraId="46B6A143">
            <w:pPr>
              <w:spacing w:line="360" w:lineRule="auto"/>
              <w:ind w:firstLine="480" w:firstLineChars="200"/>
              <w:jc w:val="left"/>
              <w:rPr>
                <w:color w:val="auto"/>
                <w:sz w:val="24"/>
                <w:szCs w:val="24"/>
                <w:lang w:val="zh-CN"/>
              </w:rPr>
            </w:pPr>
            <w:r>
              <w:rPr>
                <w:color w:val="auto"/>
                <w:sz w:val="24"/>
                <w:szCs w:val="24"/>
                <w:lang w:val="zh-CN"/>
              </w:rPr>
              <w:t>（2）生活污水：施工队伍的生活活动产生一定量的生活污水，包括食堂用水、洗涤废水和冲厕水。生活污水含有大量细菌和病原体。</w:t>
            </w:r>
          </w:p>
          <w:p w14:paraId="33D07BE7">
            <w:pPr>
              <w:spacing w:line="360" w:lineRule="auto"/>
              <w:ind w:firstLine="480" w:firstLineChars="200"/>
              <w:jc w:val="left"/>
              <w:rPr>
                <w:color w:val="auto"/>
                <w:sz w:val="24"/>
                <w:szCs w:val="24"/>
                <w:lang w:val="zh-CN"/>
              </w:rPr>
            </w:pPr>
            <w:r>
              <w:rPr>
                <w:color w:val="auto"/>
                <w:sz w:val="24"/>
                <w:szCs w:val="24"/>
                <w:lang w:val="zh-CN"/>
              </w:rPr>
              <w:t>上述废水水量不大，但如果不经处理或处理不当，同样会危害环境。其污染防范措施主要有：</w:t>
            </w:r>
          </w:p>
          <w:p w14:paraId="14810980">
            <w:pPr>
              <w:spacing w:line="360" w:lineRule="auto"/>
              <w:ind w:firstLine="480" w:firstLineChars="200"/>
              <w:jc w:val="left"/>
              <w:rPr>
                <w:color w:val="auto"/>
                <w:sz w:val="24"/>
                <w:szCs w:val="24"/>
                <w:lang w:val="zh-CN"/>
              </w:rPr>
            </w:pPr>
            <w:r>
              <w:rPr>
                <w:color w:val="auto"/>
                <w:sz w:val="24"/>
                <w:szCs w:val="24"/>
                <w:lang w:val="zh-CN"/>
              </w:rPr>
              <w:t>①加强施工期管理，针对施工期污水产生过程不连续、污水种类较单一等特点，可采取相应措施，有效控制污水中污染物的产生量；</w:t>
            </w:r>
          </w:p>
          <w:p w14:paraId="7C317CCB">
            <w:pPr>
              <w:spacing w:line="360" w:lineRule="auto"/>
              <w:ind w:firstLine="480" w:firstLineChars="200"/>
              <w:jc w:val="left"/>
              <w:rPr>
                <w:color w:val="auto"/>
                <w:sz w:val="24"/>
                <w:szCs w:val="24"/>
                <w:lang w:val="zh-CN"/>
              </w:rPr>
            </w:pPr>
            <w:r>
              <w:rPr>
                <w:color w:val="auto"/>
                <w:sz w:val="24"/>
                <w:szCs w:val="24"/>
                <w:lang w:val="zh-CN"/>
              </w:rPr>
              <w:t>②施工现场建造沉淀池、隔油池等污水临时处理设施，对含油量高的施工机械冲洗水或悬浮物含量高的其它施工废水需经处理后方可排放；</w:t>
            </w:r>
          </w:p>
          <w:p w14:paraId="3991206D">
            <w:pPr>
              <w:spacing w:line="360" w:lineRule="auto"/>
              <w:ind w:firstLine="480" w:firstLineChars="200"/>
              <w:jc w:val="left"/>
              <w:rPr>
                <w:color w:val="auto"/>
                <w:sz w:val="24"/>
                <w:szCs w:val="24"/>
                <w:lang w:val="zh-CN"/>
              </w:rPr>
            </w:pPr>
            <w:r>
              <w:rPr>
                <w:color w:val="auto"/>
                <w:sz w:val="24"/>
                <w:szCs w:val="24"/>
                <w:lang w:val="zh-CN"/>
              </w:rPr>
              <w:t>③水泥、黄砂、石灰类的建筑材料需集中堆放，并采取一定防雨措施，及时清扫施工过程中抛洒的上述建筑材料，以免这些物质随雨水冲刷污染附近水体。</w:t>
            </w:r>
          </w:p>
          <w:p w14:paraId="56C1B810">
            <w:pPr>
              <w:spacing w:line="360" w:lineRule="auto"/>
              <w:ind w:firstLine="480" w:firstLineChars="200"/>
              <w:rPr>
                <w:color w:val="auto"/>
                <w:sz w:val="24"/>
                <w:szCs w:val="24"/>
                <w:lang w:val="zh-CN"/>
              </w:rPr>
            </w:pPr>
            <w:r>
              <w:rPr>
                <w:color w:val="auto"/>
                <w:sz w:val="24"/>
                <w:szCs w:val="24"/>
                <w:lang w:val="zh-CN"/>
              </w:rPr>
              <w:fldChar w:fldCharType="begin"/>
            </w:r>
            <w:r>
              <w:rPr>
                <w:color w:val="auto"/>
                <w:sz w:val="24"/>
                <w:szCs w:val="24"/>
                <w:lang w:val="zh-CN"/>
              </w:rPr>
              <w:instrText xml:space="preserve"> = 4 \* GB3 \* MERGEFORMAT </w:instrText>
            </w:r>
            <w:r>
              <w:rPr>
                <w:color w:val="auto"/>
                <w:sz w:val="24"/>
                <w:szCs w:val="24"/>
                <w:lang w:val="zh-CN"/>
              </w:rPr>
              <w:fldChar w:fldCharType="separate"/>
            </w:r>
            <w:r>
              <w:rPr>
                <w:color w:val="auto"/>
              </w:rPr>
              <w:t>④</w:t>
            </w:r>
            <w:r>
              <w:rPr>
                <w:color w:val="auto"/>
                <w:sz w:val="24"/>
                <w:szCs w:val="24"/>
                <w:lang w:val="zh-CN"/>
              </w:rPr>
              <w:fldChar w:fldCharType="end"/>
            </w:r>
            <w:r>
              <w:rPr>
                <w:color w:val="auto"/>
                <w:sz w:val="24"/>
              </w:rPr>
              <w:t>施工期生活污水经化粪池处理后，经市政污水管网进入</w:t>
            </w:r>
            <w:r>
              <w:rPr>
                <w:rFonts w:hint="eastAsia"/>
                <w:color w:val="auto"/>
                <w:sz w:val="24"/>
                <w:lang w:eastAsia="zh-CN"/>
              </w:rPr>
              <w:t>常州市金坛区溪城污水处理有限公司直溪污水处理厂</w:t>
            </w:r>
            <w:r>
              <w:rPr>
                <w:color w:val="auto"/>
                <w:sz w:val="24"/>
              </w:rPr>
              <w:t>集中处理，尾水排入</w:t>
            </w:r>
            <w:r>
              <w:rPr>
                <w:rFonts w:hint="eastAsia"/>
                <w:color w:val="auto"/>
                <w:sz w:val="24"/>
              </w:rPr>
              <w:t>通济河</w:t>
            </w:r>
            <w:r>
              <w:rPr>
                <w:color w:val="auto"/>
                <w:sz w:val="24"/>
              </w:rPr>
              <w:t>。</w:t>
            </w:r>
          </w:p>
          <w:p w14:paraId="071ED7D4">
            <w:pPr>
              <w:spacing w:line="360" w:lineRule="auto"/>
              <w:ind w:firstLine="480" w:firstLineChars="200"/>
              <w:jc w:val="left"/>
              <w:rPr>
                <w:color w:val="auto"/>
                <w:sz w:val="24"/>
                <w:szCs w:val="24"/>
                <w:lang w:val="zh-CN"/>
              </w:rPr>
            </w:pPr>
            <w:r>
              <w:rPr>
                <w:color w:val="auto"/>
                <w:sz w:val="24"/>
                <w:szCs w:val="24"/>
                <w:lang w:val="zh-CN"/>
              </w:rPr>
              <w:t>5、施工期环境管理</w:t>
            </w:r>
          </w:p>
          <w:p w14:paraId="0CC1040F">
            <w:pPr>
              <w:spacing w:line="360" w:lineRule="auto"/>
              <w:ind w:firstLine="480" w:firstLineChars="200"/>
              <w:jc w:val="left"/>
              <w:rPr>
                <w:color w:val="auto"/>
                <w:sz w:val="24"/>
                <w:szCs w:val="24"/>
                <w:lang w:val="zh-CN"/>
              </w:rPr>
            </w:pPr>
            <w:r>
              <w:rPr>
                <w:color w:val="auto"/>
                <w:sz w:val="24"/>
                <w:szCs w:val="24"/>
                <w:lang w:val="zh-CN"/>
              </w:rPr>
              <w:t>为预防施工中的环境污染问题，除采取必要的污染治理措施外，还必须加强施工期的环境管理工作。对此，提出以下建议：</w:t>
            </w:r>
          </w:p>
          <w:p w14:paraId="36C813FB">
            <w:pPr>
              <w:spacing w:line="360" w:lineRule="auto"/>
              <w:ind w:firstLine="480" w:firstLineChars="200"/>
              <w:jc w:val="left"/>
              <w:rPr>
                <w:color w:val="auto"/>
                <w:sz w:val="24"/>
                <w:szCs w:val="24"/>
                <w:lang w:val="zh-CN"/>
              </w:rPr>
            </w:pPr>
            <w:r>
              <w:rPr>
                <w:color w:val="auto"/>
                <w:sz w:val="24"/>
                <w:szCs w:val="24"/>
                <w:lang w:val="zh-CN"/>
              </w:rPr>
              <w:t>（1）建设单位在签订施工承包合同时，应将有关环境保护的条款列入合同，其中应包括施工中在环境污染预防和治理方面对承包方的具体要求，如施工噪声污染、废水、扬尘和废气等污染防治，施工垃圾处理处置等内容。</w:t>
            </w:r>
          </w:p>
          <w:p w14:paraId="0962F5A4">
            <w:pPr>
              <w:spacing w:line="360" w:lineRule="auto"/>
              <w:ind w:firstLine="480" w:firstLineChars="200"/>
              <w:jc w:val="left"/>
              <w:rPr>
                <w:color w:val="auto"/>
                <w:sz w:val="24"/>
                <w:szCs w:val="24"/>
                <w:lang w:val="zh-CN"/>
              </w:rPr>
            </w:pPr>
            <w:r>
              <w:rPr>
                <w:color w:val="auto"/>
                <w:sz w:val="24"/>
                <w:szCs w:val="24"/>
                <w:lang w:val="zh-CN"/>
              </w:rPr>
              <w:t>（2）建设期间业主单位应指派一名环保专职或</w:t>
            </w:r>
            <w:r>
              <w:rPr>
                <w:rFonts w:hint="eastAsia"/>
                <w:color w:val="auto"/>
                <w:sz w:val="24"/>
                <w:szCs w:val="24"/>
                <w:lang w:val="zh-CN"/>
              </w:rPr>
              <w:t>兼职</w:t>
            </w:r>
            <w:r>
              <w:rPr>
                <w:color w:val="auto"/>
                <w:sz w:val="24"/>
                <w:szCs w:val="24"/>
                <w:lang w:val="zh-CN"/>
              </w:rPr>
              <w:t>人员，负责施工的环境管理工作，并参与制定和落实施工中的污染防治措施和应急计划，向施工人员讲明施工应采取的环保措施及注意事</w:t>
            </w:r>
            <w:r>
              <w:rPr>
                <w:rFonts w:hint="eastAsia"/>
                <w:color w:val="auto"/>
                <w:sz w:val="24"/>
                <w:szCs w:val="24"/>
                <w:lang w:val="zh-CN"/>
              </w:rPr>
              <w:t>项。</w:t>
            </w:r>
          </w:p>
          <w:p w14:paraId="0F865834">
            <w:pPr>
              <w:spacing w:line="360" w:lineRule="auto"/>
              <w:ind w:firstLine="480" w:firstLineChars="200"/>
              <w:jc w:val="left"/>
              <w:rPr>
                <w:color w:val="auto"/>
                <w:sz w:val="24"/>
                <w:szCs w:val="24"/>
              </w:rPr>
            </w:pPr>
            <w:r>
              <w:rPr>
                <w:color w:val="auto"/>
                <w:sz w:val="24"/>
                <w:szCs w:val="24"/>
                <w:lang w:val="zh-CN"/>
              </w:rPr>
              <w:t>（3）环保奖惩制度。对在施工中遵守环保措施的施工人员给予表扬和奖励，对违反环保条款，造成重大污染事故，按照有关法律、法规，追究其应当承担的法律责任。</w:t>
            </w:r>
          </w:p>
        </w:tc>
      </w:tr>
      <w:tr w14:paraId="3B6B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590" w:type="dxa"/>
          </w:tcPr>
          <w:p w14:paraId="692EB394">
            <w:pPr>
              <w:jc w:val="center"/>
              <w:rPr>
                <w:color w:val="auto"/>
                <w:sz w:val="24"/>
                <w:szCs w:val="24"/>
              </w:rPr>
            </w:pPr>
          </w:p>
          <w:p w14:paraId="19D59528">
            <w:pPr>
              <w:jc w:val="center"/>
              <w:rPr>
                <w:color w:val="auto"/>
                <w:sz w:val="24"/>
                <w:szCs w:val="24"/>
              </w:rPr>
            </w:pPr>
          </w:p>
          <w:p w14:paraId="23979DE5">
            <w:pPr>
              <w:jc w:val="center"/>
              <w:rPr>
                <w:color w:val="auto"/>
                <w:sz w:val="24"/>
                <w:szCs w:val="24"/>
              </w:rPr>
            </w:pPr>
          </w:p>
          <w:p w14:paraId="3D8A243D">
            <w:pPr>
              <w:jc w:val="center"/>
              <w:rPr>
                <w:color w:val="auto"/>
                <w:sz w:val="24"/>
                <w:szCs w:val="24"/>
              </w:rPr>
            </w:pPr>
          </w:p>
          <w:p w14:paraId="77498514">
            <w:pPr>
              <w:jc w:val="center"/>
              <w:rPr>
                <w:color w:val="auto"/>
                <w:sz w:val="24"/>
                <w:szCs w:val="24"/>
              </w:rPr>
            </w:pPr>
          </w:p>
          <w:p w14:paraId="7DB45BCA">
            <w:pPr>
              <w:jc w:val="center"/>
              <w:rPr>
                <w:color w:val="auto"/>
                <w:sz w:val="24"/>
                <w:szCs w:val="24"/>
              </w:rPr>
            </w:pPr>
          </w:p>
          <w:p w14:paraId="667088D2">
            <w:pPr>
              <w:jc w:val="center"/>
              <w:rPr>
                <w:color w:val="auto"/>
                <w:sz w:val="24"/>
                <w:szCs w:val="24"/>
              </w:rPr>
            </w:pPr>
          </w:p>
          <w:p w14:paraId="20C32F01">
            <w:pPr>
              <w:jc w:val="center"/>
              <w:rPr>
                <w:color w:val="auto"/>
                <w:sz w:val="24"/>
                <w:szCs w:val="24"/>
              </w:rPr>
            </w:pPr>
          </w:p>
          <w:p w14:paraId="70556384">
            <w:pPr>
              <w:jc w:val="center"/>
              <w:rPr>
                <w:color w:val="auto"/>
                <w:sz w:val="24"/>
                <w:szCs w:val="24"/>
              </w:rPr>
            </w:pPr>
          </w:p>
          <w:p w14:paraId="66F3A970">
            <w:pPr>
              <w:jc w:val="center"/>
              <w:rPr>
                <w:color w:val="auto"/>
                <w:sz w:val="24"/>
                <w:szCs w:val="24"/>
              </w:rPr>
            </w:pPr>
          </w:p>
          <w:p w14:paraId="4B812004">
            <w:pPr>
              <w:jc w:val="center"/>
              <w:rPr>
                <w:color w:val="auto"/>
                <w:sz w:val="24"/>
                <w:szCs w:val="24"/>
              </w:rPr>
            </w:pPr>
          </w:p>
          <w:p w14:paraId="725EDC32">
            <w:pPr>
              <w:jc w:val="center"/>
              <w:rPr>
                <w:color w:val="auto"/>
                <w:sz w:val="24"/>
                <w:szCs w:val="24"/>
              </w:rPr>
            </w:pPr>
            <w:r>
              <w:rPr>
                <w:rFonts w:hint="eastAsia"/>
                <w:color w:val="auto"/>
                <w:sz w:val="24"/>
                <w:szCs w:val="24"/>
              </w:rPr>
              <w:t>运</w:t>
            </w:r>
          </w:p>
          <w:p w14:paraId="3265D2BF">
            <w:pPr>
              <w:jc w:val="center"/>
              <w:rPr>
                <w:color w:val="auto"/>
                <w:sz w:val="24"/>
                <w:szCs w:val="24"/>
              </w:rPr>
            </w:pPr>
          </w:p>
          <w:p w14:paraId="4FE56CBA">
            <w:pPr>
              <w:jc w:val="center"/>
              <w:rPr>
                <w:color w:val="auto"/>
                <w:sz w:val="24"/>
                <w:szCs w:val="24"/>
              </w:rPr>
            </w:pPr>
            <w:r>
              <w:rPr>
                <w:rFonts w:hint="eastAsia"/>
                <w:color w:val="auto"/>
                <w:sz w:val="24"/>
                <w:szCs w:val="24"/>
              </w:rPr>
              <w:t>营</w:t>
            </w:r>
          </w:p>
          <w:p w14:paraId="1F2CE699">
            <w:pPr>
              <w:jc w:val="center"/>
              <w:rPr>
                <w:color w:val="auto"/>
                <w:sz w:val="24"/>
                <w:szCs w:val="24"/>
              </w:rPr>
            </w:pPr>
          </w:p>
          <w:p w14:paraId="68A2A612">
            <w:pPr>
              <w:jc w:val="center"/>
              <w:rPr>
                <w:color w:val="auto"/>
                <w:sz w:val="24"/>
                <w:szCs w:val="24"/>
              </w:rPr>
            </w:pPr>
            <w:r>
              <w:rPr>
                <w:rFonts w:hint="eastAsia"/>
                <w:color w:val="auto"/>
                <w:sz w:val="24"/>
                <w:szCs w:val="24"/>
              </w:rPr>
              <w:t>期</w:t>
            </w:r>
          </w:p>
          <w:p w14:paraId="475AF3AC">
            <w:pPr>
              <w:jc w:val="center"/>
              <w:rPr>
                <w:color w:val="auto"/>
                <w:sz w:val="24"/>
                <w:szCs w:val="24"/>
              </w:rPr>
            </w:pPr>
          </w:p>
          <w:p w14:paraId="30F5689E">
            <w:pPr>
              <w:jc w:val="center"/>
              <w:rPr>
                <w:color w:val="auto"/>
                <w:sz w:val="24"/>
                <w:szCs w:val="24"/>
              </w:rPr>
            </w:pPr>
            <w:r>
              <w:rPr>
                <w:rFonts w:hint="eastAsia"/>
                <w:color w:val="auto"/>
                <w:sz w:val="24"/>
                <w:szCs w:val="24"/>
              </w:rPr>
              <w:t>环</w:t>
            </w:r>
          </w:p>
          <w:p w14:paraId="3734AF5B">
            <w:pPr>
              <w:jc w:val="center"/>
              <w:rPr>
                <w:color w:val="auto"/>
                <w:sz w:val="24"/>
                <w:szCs w:val="24"/>
              </w:rPr>
            </w:pPr>
          </w:p>
          <w:p w14:paraId="5B5F9837">
            <w:pPr>
              <w:jc w:val="center"/>
              <w:rPr>
                <w:color w:val="auto"/>
                <w:sz w:val="24"/>
                <w:szCs w:val="24"/>
              </w:rPr>
            </w:pPr>
            <w:r>
              <w:rPr>
                <w:rFonts w:hint="eastAsia"/>
                <w:color w:val="auto"/>
                <w:sz w:val="24"/>
                <w:szCs w:val="24"/>
              </w:rPr>
              <w:t>境</w:t>
            </w:r>
          </w:p>
          <w:p w14:paraId="1BFDCA40">
            <w:pPr>
              <w:jc w:val="center"/>
              <w:rPr>
                <w:color w:val="auto"/>
                <w:sz w:val="24"/>
                <w:szCs w:val="24"/>
              </w:rPr>
            </w:pPr>
          </w:p>
          <w:p w14:paraId="5A3B5BA8">
            <w:pPr>
              <w:jc w:val="center"/>
              <w:rPr>
                <w:color w:val="auto"/>
                <w:sz w:val="24"/>
                <w:szCs w:val="24"/>
              </w:rPr>
            </w:pPr>
            <w:r>
              <w:rPr>
                <w:rFonts w:hint="eastAsia"/>
                <w:color w:val="auto"/>
                <w:sz w:val="24"/>
                <w:szCs w:val="24"/>
              </w:rPr>
              <w:t>影</w:t>
            </w:r>
          </w:p>
          <w:p w14:paraId="45723B80">
            <w:pPr>
              <w:jc w:val="center"/>
              <w:rPr>
                <w:color w:val="auto"/>
                <w:sz w:val="24"/>
                <w:szCs w:val="24"/>
              </w:rPr>
            </w:pPr>
          </w:p>
          <w:p w14:paraId="1E2DD27A">
            <w:pPr>
              <w:jc w:val="center"/>
              <w:rPr>
                <w:color w:val="auto"/>
                <w:sz w:val="24"/>
                <w:szCs w:val="24"/>
              </w:rPr>
            </w:pPr>
            <w:r>
              <w:rPr>
                <w:rFonts w:hint="eastAsia"/>
                <w:color w:val="auto"/>
                <w:sz w:val="24"/>
                <w:szCs w:val="24"/>
              </w:rPr>
              <w:t>响</w:t>
            </w:r>
          </w:p>
          <w:p w14:paraId="42901EDE">
            <w:pPr>
              <w:jc w:val="center"/>
              <w:rPr>
                <w:color w:val="auto"/>
                <w:sz w:val="24"/>
                <w:szCs w:val="24"/>
              </w:rPr>
            </w:pPr>
          </w:p>
          <w:p w14:paraId="10BA49DD">
            <w:pPr>
              <w:jc w:val="center"/>
              <w:rPr>
                <w:color w:val="auto"/>
                <w:sz w:val="24"/>
                <w:szCs w:val="24"/>
              </w:rPr>
            </w:pPr>
            <w:r>
              <w:rPr>
                <w:rFonts w:hint="eastAsia"/>
                <w:color w:val="auto"/>
                <w:sz w:val="24"/>
                <w:szCs w:val="24"/>
              </w:rPr>
              <w:t>和</w:t>
            </w:r>
          </w:p>
          <w:p w14:paraId="6FB840D8">
            <w:pPr>
              <w:jc w:val="center"/>
              <w:rPr>
                <w:color w:val="auto"/>
                <w:sz w:val="24"/>
                <w:szCs w:val="24"/>
              </w:rPr>
            </w:pPr>
          </w:p>
          <w:p w14:paraId="16117896">
            <w:pPr>
              <w:jc w:val="center"/>
              <w:rPr>
                <w:color w:val="auto"/>
                <w:sz w:val="24"/>
                <w:szCs w:val="24"/>
              </w:rPr>
            </w:pPr>
            <w:r>
              <w:rPr>
                <w:rFonts w:hint="eastAsia"/>
                <w:color w:val="auto"/>
                <w:sz w:val="24"/>
                <w:szCs w:val="24"/>
              </w:rPr>
              <w:t>保</w:t>
            </w:r>
          </w:p>
          <w:p w14:paraId="3CE84C52">
            <w:pPr>
              <w:jc w:val="center"/>
              <w:rPr>
                <w:color w:val="auto"/>
                <w:sz w:val="24"/>
                <w:szCs w:val="24"/>
              </w:rPr>
            </w:pPr>
          </w:p>
          <w:p w14:paraId="36CD55B7">
            <w:pPr>
              <w:jc w:val="center"/>
              <w:rPr>
                <w:color w:val="auto"/>
                <w:sz w:val="24"/>
                <w:szCs w:val="24"/>
              </w:rPr>
            </w:pPr>
            <w:r>
              <w:rPr>
                <w:rFonts w:hint="eastAsia"/>
                <w:color w:val="auto"/>
                <w:sz w:val="24"/>
                <w:szCs w:val="24"/>
              </w:rPr>
              <w:t>护</w:t>
            </w:r>
          </w:p>
          <w:p w14:paraId="59A6C191">
            <w:pPr>
              <w:jc w:val="center"/>
              <w:rPr>
                <w:color w:val="auto"/>
                <w:sz w:val="24"/>
                <w:szCs w:val="24"/>
              </w:rPr>
            </w:pPr>
          </w:p>
          <w:p w14:paraId="45CF6D53">
            <w:pPr>
              <w:jc w:val="center"/>
              <w:rPr>
                <w:color w:val="auto"/>
                <w:sz w:val="24"/>
                <w:szCs w:val="24"/>
              </w:rPr>
            </w:pPr>
            <w:r>
              <w:rPr>
                <w:rFonts w:hint="eastAsia"/>
                <w:color w:val="auto"/>
                <w:sz w:val="24"/>
                <w:szCs w:val="24"/>
              </w:rPr>
              <w:t>措</w:t>
            </w:r>
          </w:p>
          <w:p w14:paraId="2F9EEA88">
            <w:pPr>
              <w:jc w:val="center"/>
              <w:rPr>
                <w:color w:val="auto"/>
                <w:sz w:val="24"/>
                <w:szCs w:val="24"/>
              </w:rPr>
            </w:pPr>
          </w:p>
          <w:p w14:paraId="48850BF7">
            <w:pPr>
              <w:jc w:val="center"/>
              <w:rPr>
                <w:color w:val="auto"/>
              </w:rPr>
            </w:pPr>
            <w:r>
              <w:rPr>
                <w:rFonts w:hint="eastAsia"/>
                <w:color w:val="auto"/>
                <w:sz w:val="24"/>
                <w:szCs w:val="24"/>
              </w:rPr>
              <w:t>施</w:t>
            </w:r>
          </w:p>
        </w:tc>
        <w:tc>
          <w:tcPr>
            <w:tcW w:w="9332" w:type="dxa"/>
            <w:vAlign w:val="center"/>
          </w:tcPr>
          <w:p w14:paraId="42C7D834">
            <w:pPr>
              <w:spacing w:line="360" w:lineRule="auto"/>
              <w:rPr>
                <w:color w:val="auto"/>
                <w:sz w:val="24"/>
                <w:szCs w:val="24"/>
              </w:rPr>
            </w:pPr>
            <w:r>
              <w:rPr>
                <w:rFonts w:hint="eastAsia"/>
                <w:b/>
                <w:bCs/>
                <w:color w:val="auto"/>
                <w:sz w:val="24"/>
                <w:szCs w:val="24"/>
              </w:rPr>
              <w:t>营运期工程分析：</w:t>
            </w:r>
          </w:p>
          <w:p w14:paraId="71E75F11">
            <w:pPr>
              <w:spacing w:line="360" w:lineRule="auto"/>
              <w:rPr>
                <w:color w:val="auto"/>
                <w:sz w:val="24"/>
                <w:szCs w:val="24"/>
              </w:rPr>
            </w:pPr>
            <w:r>
              <w:rPr>
                <w:rFonts w:hint="eastAsia"/>
                <w:color w:val="auto"/>
                <w:sz w:val="24"/>
                <w:szCs w:val="24"/>
              </w:rPr>
              <w:t>一、废气环境影响和保护措施</w:t>
            </w:r>
          </w:p>
          <w:p w14:paraId="5BEF6EBD">
            <w:pPr>
              <w:spacing w:line="360" w:lineRule="auto"/>
              <w:ind w:firstLine="480" w:firstLineChars="200"/>
              <w:rPr>
                <w:color w:val="auto"/>
                <w:sz w:val="24"/>
                <w:szCs w:val="24"/>
              </w:rPr>
            </w:pPr>
            <w:r>
              <w:rPr>
                <w:rFonts w:hint="eastAsia"/>
                <w:color w:val="auto"/>
                <w:sz w:val="24"/>
                <w:szCs w:val="24"/>
              </w:rPr>
              <w:t>1.1废气产生情况</w:t>
            </w:r>
          </w:p>
          <w:p w14:paraId="78C99D07">
            <w:pPr>
              <w:spacing w:line="360" w:lineRule="auto"/>
              <w:ind w:firstLine="480" w:firstLineChars="200"/>
              <w:rPr>
                <w:color w:val="auto"/>
                <w:sz w:val="24"/>
                <w:szCs w:val="24"/>
              </w:rPr>
            </w:pPr>
            <w:r>
              <w:rPr>
                <w:rFonts w:hint="eastAsia"/>
                <w:color w:val="auto"/>
                <w:sz w:val="24"/>
                <w:szCs w:val="24"/>
              </w:rPr>
              <w:t>1.1.1源强核算方法</w:t>
            </w:r>
          </w:p>
          <w:p w14:paraId="1B1B6289">
            <w:pPr>
              <w:spacing w:line="360" w:lineRule="auto"/>
              <w:jc w:val="center"/>
              <w:rPr>
                <w:b/>
                <w:bCs/>
                <w:color w:val="auto"/>
                <w:sz w:val="24"/>
                <w:szCs w:val="24"/>
              </w:rPr>
            </w:pPr>
            <w:r>
              <w:rPr>
                <w:rFonts w:hint="eastAsia"/>
                <w:b/>
                <w:bCs/>
                <w:color w:val="auto"/>
                <w:sz w:val="24"/>
                <w:szCs w:val="24"/>
              </w:rPr>
              <w:t>表4-1  源强核算方法</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511"/>
              <w:gridCol w:w="1511"/>
              <w:gridCol w:w="1511"/>
              <w:gridCol w:w="1513"/>
              <w:gridCol w:w="1514"/>
            </w:tblGrid>
            <w:tr w14:paraId="1627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Pr>
                <w:p w14:paraId="68A8A095">
                  <w:pPr>
                    <w:jc w:val="center"/>
                    <w:rPr>
                      <w:b/>
                      <w:bCs/>
                      <w:color w:val="auto"/>
                    </w:rPr>
                  </w:pPr>
                  <w:r>
                    <w:rPr>
                      <w:rFonts w:hint="eastAsia"/>
                      <w:b/>
                      <w:bCs/>
                      <w:color w:val="auto"/>
                    </w:rPr>
                    <w:t>类别</w:t>
                  </w:r>
                </w:p>
              </w:tc>
              <w:tc>
                <w:tcPr>
                  <w:tcW w:w="1511" w:type="dxa"/>
                </w:tcPr>
                <w:p w14:paraId="48A0EEC2">
                  <w:pPr>
                    <w:jc w:val="center"/>
                    <w:rPr>
                      <w:b/>
                      <w:bCs/>
                      <w:color w:val="auto"/>
                    </w:rPr>
                  </w:pPr>
                  <w:r>
                    <w:rPr>
                      <w:rFonts w:hint="eastAsia"/>
                      <w:b/>
                      <w:bCs/>
                      <w:color w:val="auto"/>
                    </w:rPr>
                    <w:t>产污工序</w:t>
                  </w:r>
                </w:p>
              </w:tc>
              <w:tc>
                <w:tcPr>
                  <w:tcW w:w="1511" w:type="dxa"/>
                </w:tcPr>
                <w:p w14:paraId="2C2A0B65">
                  <w:pPr>
                    <w:jc w:val="center"/>
                    <w:rPr>
                      <w:b/>
                      <w:bCs/>
                      <w:color w:val="auto"/>
                    </w:rPr>
                  </w:pPr>
                  <w:r>
                    <w:rPr>
                      <w:rFonts w:hint="eastAsia"/>
                      <w:b/>
                      <w:bCs/>
                      <w:color w:val="auto"/>
                    </w:rPr>
                    <w:t>废气编号</w:t>
                  </w:r>
                </w:p>
              </w:tc>
              <w:tc>
                <w:tcPr>
                  <w:tcW w:w="1511" w:type="dxa"/>
                </w:tcPr>
                <w:p w14:paraId="18039C4F">
                  <w:pPr>
                    <w:jc w:val="center"/>
                    <w:rPr>
                      <w:b/>
                      <w:bCs/>
                      <w:color w:val="auto"/>
                    </w:rPr>
                  </w:pPr>
                  <w:r>
                    <w:rPr>
                      <w:rFonts w:hint="eastAsia"/>
                      <w:b/>
                      <w:bCs/>
                      <w:color w:val="auto"/>
                    </w:rPr>
                    <w:t>污染物</w:t>
                  </w:r>
                </w:p>
              </w:tc>
              <w:tc>
                <w:tcPr>
                  <w:tcW w:w="1513" w:type="dxa"/>
                </w:tcPr>
                <w:p w14:paraId="6F855036">
                  <w:pPr>
                    <w:jc w:val="center"/>
                    <w:rPr>
                      <w:b/>
                      <w:bCs/>
                      <w:color w:val="auto"/>
                    </w:rPr>
                  </w:pPr>
                  <w:r>
                    <w:rPr>
                      <w:rFonts w:hint="eastAsia"/>
                      <w:b/>
                      <w:bCs/>
                      <w:color w:val="auto"/>
                    </w:rPr>
                    <w:t>污染因子</w:t>
                  </w:r>
                </w:p>
              </w:tc>
              <w:tc>
                <w:tcPr>
                  <w:tcW w:w="1514" w:type="dxa"/>
                </w:tcPr>
                <w:p w14:paraId="3A8E6FA8">
                  <w:pPr>
                    <w:jc w:val="center"/>
                    <w:rPr>
                      <w:b/>
                      <w:bCs/>
                      <w:color w:val="auto"/>
                    </w:rPr>
                  </w:pPr>
                  <w:r>
                    <w:rPr>
                      <w:rFonts w:hint="eastAsia"/>
                      <w:b/>
                      <w:bCs/>
                      <w:color w:val="auto"/>
                    </w:rPr>
                    <w:t>源强核算方法</w:t>
                  </w:r>
                </w:p>
              </w:tc>
            </w:tr>
            <w:tr w14:paraId="779C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Merge w:val="restart"/>
                  <w:vAlign w:val="center"/>
                </w:tcPr>
                <w:p w14:paraId="28E41E71">
                  <w:pPr>
                    <w:jc w:val="center"/>
                    <w:rPr>
                      <w:color w:val="auto"/>
                    </w:rPr>
                  </w:pPr>
                  <w:r>
                    <w:rPr>
                      <w:rFonts w:hint="eastAsia"/>
                      <w:color w:val="auto"/>
                    </w:rPr>
                    <w:t>废气</w:t>
                  </w:r>
                </w:p>
              </w:tc>
              <w:tc>
                <w:tcPr>
                  <w:tcW w:w="1511" w:type="dxa"/>
                </w:tcPr>
                <w:p w14:paraId="6B8DFB1D">
                  <w:pPr>
                    <w:jc w:val="center"/>
                    <w:rPr>
                      <w:color w:val="auto"/>
                    </w:rPr>
                  </w:pPr>
                  <w:r>
                    <w:rPr>
                      <w:rFonts w:hint="eastAsia"/>
                      <w:color w:val="auto"/>
                    </w:rPr>
                    <w:t>焊接</w:t>
                  </w:r>
                </w:p>
              </w:tc>
              <w:tc>
                <w:tcPr>
                  <w:tcW w:w="1511" w:type="dxa"/>
                </w:tcPr>
                <w:p w14:paraId="653D3D08">
                  <w:pPr>
                    <w:jc w:val="center"/>
                    <w:rPr>
                      <w:color w:val="auto"/>
                    </w:rPr>
                  </w:pPr>
                  <w:r>
                    <w:rPr>
                      <w:rFonts w:hint="eastAsia"/>
                      <w:color w:val="auto"/>
                    </w:rPr>
                    <w:t>G1</w:t>
                  </w:r>
                </w:p>
              </w:tc>
              <w:tc>
                <w:tcPr>
                  <w:tcW w:w="1511" w:type="dxa"/>
                </w:tcPr>
                <w:p w14:paraId="6D71A326">
                  <w:pPr>
                    <w:jc w:val="center"/>
                    <w:rPr>
                      <w:color w:val="auto"/>
                    </w:rPr>
                  </w:pPr>
                  <w:r>
                    <w:rPr>
                      <w:rFonts w:hint="eastAsia"/>
                      <w:color w:val="auto"/>
                    </w:rPr>
                    <w:t>烟尘</w:t>
                  </w:r>
                </w:p>
              </w:tc>
              <w:tc>
                <w:tcPr>
                  <w:tcW w:w="1513" w:type="dxa"/>
                </w:tcPr>
                <w:p w14:paraId="3C196CED">
                  <w:pPr>
                    <w:jc w:val="center"/>
                    <w:rPr>
                      <w:color w:val="auto"/>
                    </w:rPr>
                  </w:pPr>
                  <w:r>
                    <w:rPr>
                      <w:rFonts w:hint="eastAsia"/>
                      <w:color w:val="auto"/>
                    </w:rPr>
                    <w:t>颗粒物</w:t>
                  </w:r>
                </w:p>
              </w:tc>
              <w:tc>
                <w:tcPr>
                  <w:tcW w:w="1514" w:type="dxa"/>
                </w:tcPr>
                <w:p w14:paraId="17DA0DF2">
                  <w:pPr>
                    <w:jc w:val="center"/>
                    <w:rPr>
                      <w:color w:val="auto"/>
                    </w:rPr>
                  </w:pPr>
                  <w:r>
                    <w:rPr>
                      <w:rFonts w:hint="eastAsia"/>
                      <w:color w:val="auto"/>
                    </w:rPr>
                    <w:t>产排污系数法</w:t>
                  </w:r>
                </w:p>
              </w:tc>
            </w:tr>
            <w:tr w14:paraId="236F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1" w:type="dxa"/>
                  <w:vMerge w:val="continue"/>
                </w:tcPr>
                <w:p w14:paraId="2EABD76A">
                  <w:pPr>
                    <w:jc w:val="center"/>
                    <w:rPr>
                      <w:color w:val="auto"/>
                    </w:rPr>
                  </w:pPr>
                </w:p>
              </w:tc>
              <w:tc>
                <w:tcPr>
                  <w:tcW w:w="1511" w:type="dxa"/>
                </w:tcPr>
                <w:p w14:paraId="07CF0604">
                  <w:pPr>
                    <w:jc w:val="center"/>
                    <w:rPr>
                      <w:color w:val="auto"/>
                    </w:rPr>
                  </w:pPr>
                  <w:r>
                    <w:rPr>
                      <w:rFonts w:hint="eastAsia"/>
                      <w:color w:val="auto"/>
                    </w:rPr>
                    <w:t>清洗</w:t>
                  </w:r>
                </w:p>
              </w:tc>
              <w:tc>
                <w:tcPr>
                  <w:tcW w:w="1511" w:type="dxa"/>
                </w:tcPr>
                <w:p w14:paraId="0E8A87D7">
                  <w:pPr>
                    <w:jc w:val="center"/>
                    <w:rPr>
                      <w:color w:val="auto"/>
                    </w:rPr>
                  </w:pPr>
                  <w:r>
                    <w:rPr>
                      <w:rFonts w:hint="eastAsia"/>
                      <w:color w:val="auto"/>
                    </w:rPr>
                    <w:t>G2</w:t>
                  </w:r>
                </w:p>
              </w:tc>
              <w:tc>
                <w:tcPr>
                  <w:tcW w:w="1511" w:type="dxa"/>
                </w:tcPr>
                <w:p w14:paraId="498A346D">
                  <w:pPr>
                    <w:jc w:val="center"/>
                    <w:rPr>
                      <w:color w:val="auto"/>
                    </w:rPr>
                  </w:pPr>
                  <w:r>
                    <w:rPr>
                      <w:rFonts w:hint="eastAsia"/>
                      <w:color w:val="auto"/>
                    </w:rPr>
                    <w:t>有机废气</w:t>
                  </w:r>
                </w:p>
              </w:tc>
              <w:tc>
                <w:tcPr>
                  <w:tcW w:w="1513" w:type="dxa"/>
                </w:tcPr>
                <w:p w14:paraId="0C5D75A7">
                  <w:pPr>
                    <w:jc w:val="center"/>
                    <w:rPr>
                      <w:color w:val="auto"/>
                    </w:rPr>
                  </w:pPr>
                  <w:r>
                    <w:rPr>
                      <w:rFonts w:hint="eastAsia"/>
                      <w:color w:val="auto"/>
                    </w:rPr>
                    <w:t>非甲烷总烃</w:t>
                  </w:r>
                </w:p>
              </w:tc>
              <w:tc>
                <w:tcPr>
                  <w:tcW w:w="1514" w:type="dxa"/>
                </w:tcPr>
                <w:p w14:paraId="39C2A590">
                  <w:pPr>
                    <w:jc w:val="center"/>
                    <w:rPr>
                      <w:color w:val="auto"/>
                    </w:rPr>
                  </w:pPr>
                  <w:r>
                    <w:rPr>
                      <w:rFonts w:hint="eastAsia"/>
                      <w:color w:val="auto"/>
                    </w:rPr>
                    <w:t>产排污系数法</w:t>
                  </w:r>
                </w:p>
              </w:tc>
            </w:tr>
            <w:tr w14:paraId="57BA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11" w:type="dxa"/>
                  <w:vMerge w:val="continue"/>
                </w:tcPr>
                <w:p w14:paraId="26DE9DE0">
                  <w:pPr>
                    <w:jc w:val="center"/>
                    <w:rPr>
                      <w:color w:val="auto"/>
                    </w:rPr>
                  </w:pPr>
                </w:p>
              </w:tc>
              <w:tc>
                <w:tcPr>
                  <w:tcW w:w="1511" w:type="dxa"/>
                </w:tcPr>
                <w:p w14:paraId="4BFE4D48">
                  <w:pPr>
                    <w:jc w:val="center"/>
                    <w:rPr>
                      <w:color w:val="auto"/>
                    </w:rPr>
                  </w:pPr>
                  <w:r>
                    <w:rPr>
                      <w:rFonts w:hint="eastAsia"/>
                      <w:color w:val="auto"/>
                    </w:rPr>
                    <w:t>食堂</w:t>
                  </w:r>
                </w:p>
              </w:tc>
              <w:tc>
                <w:tcPr>
                  <w:tcW w:w="1511" w:type="dxa"/>
                </w:tcPr>
                <w:p w14:paraId="36786F32">
                  <w:pPr>
                    <w:jc w:val="center"/>
                    <w:rPr>
                      <w:color w:val="auto"/>
                    </w:rPr>
                  </w:pPr>
                  <w:r>
                    <w:rPr>
                      <w:rFonts w:hint="eastAsia"/>
                      <w:color w:val="auto"/>
                    </w:rPr>
                    <w:t>/</w:t>
                  </w:r>
                </w:p>
              </w:tc>
              <w:tc>
                <w:tcPr>
                  <w:tcW w:w="1511" w:type="dxa"/>
                </w:tcPr>
                <w:p w14:paraId="3737428A">
                  <w:pPr>
                    <w:jc w:val="center"/>
                    <w:rPr>
                      <w:color w:val="auto"/>
                    </w:rPr>
                  </w:pPr>
                  <w:r>
                    <w:rPr>
                      <w:rFonts w:hint="eastAsia"/>
                      <w:color w:val="auto"/>
                    </w:rPr>
                    <w:t>食堂油烟</w:t>
                  </w:r>
                </w:p>
              </w:tc>
              <w:tc>
                <w:tcPr>
                  <w:tcW w:w="1513" w:type="dxa"/>
                </w:tcPr>
                <w:p w14:paraId="24777350">
                  <w:pPr>
                    <w:jc w:val="center"/>
                    <w:rPr>
                      <w:color w:val="auto"/>
                    </w:rPr>
                  </w:pPr>
                  <w:r>
                    <w:rPr>
                      <w:rFonts w:hint="eastAsia"/>
                      <w:color w:val="auto"/>
                    </w:rPr>
                    <w:t>油烟</w:t>
                  </w:r>
                </w:p>
              </w:tc>
              <w:tc>
                <w:tcPr>
                  <w:tcW w:w="1514" w:type="dxa"/>
                </w:tcPr>
                <w:p w14:paraId="7383BCE3">
                  <w:pPr>
                    <w:jc w:val="center"/>
                    <w:rPr>
                      <w:color w:val="auto"/>
                    </w:rPr>
                  </w:pPr>
                  <w:r>
                    <w:rPr>
                      <w:rFonts w:hint="eastAsia"/>
                      <w:color w:val="auto"/>
                    </w:rPr>
                    <w:t>产排污系数法</w:t>
                  </w:r>
                </w:p>
              </w:tc>
            </w:tr>
          </w:tbl>
          <w:p w14:paraId="3B15412A">
            <w:pPr>
              <w:spacing w:line="360" w:lineRule="auto"/>
              <w:ind w:firstLine="480" w:firstLineChars="200"/>
              <w:rPr>
                <w:color w:val="auto"/>
                <w:sz w:val="24"/>
                <w:szCs w:val="24"/>
              </w:rPr>
            </w:pPr>
            <w:r>
              <w:rPr>
                <w:rFonts w:hint="eastAsia"/>
                <w:color w:val="auto"/>
                <w:sz w:val="24"/>
                <w:szCs w:val="24"/>
              </w:rPr>
              <w:t>1.1.2源强核算过程</w:t>
            </w:r>
          </w:p>
          <w:p w14:paraId="20ECF479">
            <w:pPr>
              <w:spacing w:line="360" w:lineRule="auto"/>
              <w:ind w:firstLine="480" w:firstLineChars="200"/>
              <w:rPr>
                <w:color w:val="auto"/>
                <w:sz w:val="24"/>
                <w:szCs w:val="24"/>
              </w:rPr>
            </w:pPr>
            <w:r>
              <w:rPr>
                <w:rFonts w:hint="eastAsia"/>
                <w:color w:val="auto"/>
                <w:sz w:val="24"/>
                <w:szCs w:val="24"/>
              </w:rPr>
              <w:t>（1）有组织废气</w:t>
            </w:r>
          </w:p>
          <w:p w14:paraId="6BA69CD7">
            <w:pPr>
              <w:spacing w:line="360" w:lineRule="auto"/>
              <w:ind w:firstLine="480" w:firstLineChars="200"/>
              <w:rPr>
                <w:color w:val="auto"/>
                <w:sz w:val="24"/>
                <w:szCs w:val="24"/>
              </w:rPr>
            </w:pPr>
            <w:r>
              <w:rPr>
                <w:color w:val="auto"/>
                <w:sz w:val="24"/>
                <w:szCs w:val="24"/>
              </w:rPr>
              <w:t>①清洗废气</w:t>
            </w:r>
            <w:r>
              <w:rPr>
                <w:color w:val="auto"/>
                <w:sz w:val="24"/>
                <w:szCs w:val="24"/>
                <w:lang w:val="zh-CN"/>
              </w:rPr>
              <w:t>（</w:t>
            </w:r>
            <w:r>
              <w:rPr>
                <w:color w:val="auto"/>
                <w:sz w:val="24"/>
                <w:szCs w:val="24"/>
              </w:rPr>
              <w:t>G</w:t>
            </w:r>
            <w:r>
              <w:rPr>
                <w:rFonts w:hint="eastAsia"/>
                <w:color w:val="auto"/>
                <w:sz w:val="24"/>
                <w:szCs w:val="24"/>
              </w:rPr>
              <w:t>2</w:t>
            </w:r>
            <w:r>
              <w:rPr>
                <w:color w:val="auto"/>
                <w:sz w:val="24"/>
                <w:szCs w:val="24"/>
              </w:rPr>
              <w:t>）</w:t>
            </w:r>
          </w:p>
          <w:p w14:paraId="65C1C37B">
            <w:pPr>
              <w:spacing w:line="360" w:lineRule="auto"/>
              <w:ind w:firstLine="480" w:firstLineChars="200"/>
              <w:rPr>
                <w:color w:val="auto"/>
                <w:sz w:val="24"/>
                <w:szCs w:val="24"/>
              </w:rPr>
            </w:pPr>
            <w:r>
              <w:rPr>
                <w:rFonts w:hint="eastAsia"/>
                <w:color w:val="auto"/>
                <w:sz w:val="24"/>
                <w:szCs w:val="24"/>
              </w:rPr>
              <w:t>清洗过程</w:t>
            </w:r>
            <w:r>
              <w:rPr>
                <w:color w:val="auto"/>
                <w:sz w:val="24"/>
                <w:szCs w:val="24"/>
              </w:rPr>
              <w:t>为密闭状态，只有</w:t>
            </w:r>
            <w:r>
              <w:rPr>
                <w:rFonts w:hint="eastAsia"/>
                <w:color w:val="auto"/>
                <w:sz w:val="24"/>
                <w:szCs w:val="24"/>
              </w:rPr>
              <w:t>设备打开时</w:t>
            </w:r>
            <w:r>
              <w:rPr>
                <w:color w:val="auto"/>
                <w:sz w:val="24"/>
                <w:szCs w:val="24"/>
              </w:rPr>
              <w:t>会挥发</w:t>
            </w:r>
            <w:r>
              <w:rPr>
                <w:rFonts w:hint="eastAsia"/>
                <w:color w:val="auto"/>
                <w:sz w:val="24"/>
                <w:szCs w:val="24"/>
              </w:rPr>
              <w:t>有机</w:t>
            </w:r>
            <w:r>
              <w:rPr>
                <w:color w:val="auto"/>
                <w:sz w:val="24"/>
                <w:szCs w:val="24"/>
              </w:rPr>
              <w:t>废气，以非甲烷总烃计</w:t>
            </w:r>
            <w:r>
              <w:rPr>
                <w:rFonts w:hint="eastAsia"/>
                <w:color w:val="auto"/>
                <w:sz w:val="24"/>
                <w:szCs w:val="24"/>
              </w:rPr>
              <w:t>。根据其VOC检测报告</w:t>
            </w:r>
            <w:r>
              <w:rPr>
                <w:color w:val="auto"/>
                <w:sz w:val="24"/>
                <w:szCs w:val="24"/>
              </w:rPr>
              <w:t>，</w:t>
            </w:r>
            <w:r>
              <w:rPr>
                <w:rFonts w:hint="eastAsia"/>
                <w:color w:val="auto"/>
                <w:sz w:val="24"/>
                <w:szCs w:val="24"/>
              </w:rPr>
              <w:t>VOC含量为774g/L，</w:t>
            </w:r>
            <w:r>
              <w:rPr>
                <w:color w:val="auto"/>
                <w:sz w:val="24"/>
                <w:szCs w:val="24"/>
              </w:rPr>
              <w:t>清洗工序使用</w:t>
            </w:r>
            <w:r>
              <w:rPr>
                <w:rFonts w:hint="eastAsia"/>
                <w:color w:val="auto"/>
                <w:sz w:val="24"/>
                <w:szCs w:val="24"/>
              </w:rPr>
              <w:t>白油2</w:t>
            </w:r>
            <w:r>
              <w:rPr>
                <w:color w:val="auto"/>
                <w:sz w:val="24"/>
                <w:szCs w:val="24"/>
              </w:rPr>
              <w:t>t/a</w:t>
            </w:r>
            <w:r>
              <w:rPr>
                <w:rFonts w:hint="eastAsia"/>
                <w:color w:val="auto"/>
                <w:sz w:val="24"/>
                <w:szCs w:val="24"/>
                <w:lang w:eastAsia="zh-CN"/>
              </w:rPr>
              <w:t>，</w:t>
            </w:r>
            <w:r>
              <w:rPr>
                <w:rFonts w:hint="eastAsia"/>
                <w:color w:val="auto"/>
                <w:sz w:val="24"/>
                <w:szCs w:val="24"/>
                <w:lang w:val="en-US" w:eastAsia="zh-CN"/>
              </w:rPr>
              <w:t>清洗废液约为0.5t/a，按照100%挥发，</w:t>
            </w:r>
            <w:r>
              <w:rPr>
                <w:color w:val="auto"/>
                <w:sz w:val="24"/>
                <w:szCs w:val="24"/>
              </w:rPr>
              <w:t>则本项目清洗废气中非甲烷总烃产生量为</w:t>
            </w:r>
            <w:r>
              <w:rPr>
                <w:rFonts w:hint="eastAsia"/>
                <w:color w:val="auto"/>
                <w:sz w:val="24"/>
                <w:szCs w:val="24"/>
              </w:rPr>
              <w:t>1.5</w:t>
            </w:r>
            <w:r>
              <w:rPr>
                <w:color w:val="auto"/>
                <w:sz w:val="24"/>
                <w:szCs w:val="24"/>
              </w:rPr>
              <w:t>t/a。清洗废气采用</w:t>
            </w:r>
            <w:r>
              <w:rPr>
                <w:rFonts w:hint="eastAsia"/>
                <w:color w:val="auto"/>
                <w:sz w:val="24"/>
                <w:szCs w:val="24"/>
              </w:rPr>
              <w:t>集气罩+软帘</w:t>
            </w:r>
            <w:r>
              <w:rPr>
                <w:color w:val="auto"/>
                <w:sz w:val="24"/>
                <w:szCs w:val="24"/>
              </w:rPr>
              <w:t>收集，收集后的废气通过</w:t>
            </w:r>
            <w:r>
              <w:rPr>
                <w:rFonts w:hint="eastAsia"/>
                <w:color w:val="auto"/>
                <w:sz w:val="24"/>
                <w:szCs w:val="24"/>
              </w:rPr>
              <w:t>2套</w:t>
            </w:r>
            <w:r>
              <w:rPr>
                <w:color w:val="auto"/>
                <w:sz w:val="24"/>
                <w:szCs w:val="24"/>
              </w:rPr>
              <w:t>二级活性炭吸附装置处理，尾气</w:t>
            </w:r>
            <w:r>
              <w:rPr>
                <w:rFonts w:hint="eastAsia"/>
                <w:color w:val="auto"/>
                <w:sz w:val="24"/>
                <w:szCs w:val="24"/>
              </w:rPr>
              <w:t>通过1</w:t>
            </w:r>
            <w:r>
              <w:rPr>
                <w:color w:val="auto"/>
                <w:sz w:val="24"/>
                <w:szCs w:val="24"/>
              </w:rPr>
              <w:t>根15米高排气筒FQ-1排放。收集效率为9</w:t>
            </w:r>
            <w:r>
              <w:rPr>
                <w:rFonts w:hint="eastAsia"/>
                <w:color w:val="auto"/>
                <w:sz w:val="24"/>
                <w:szCs w:val="24"/>
              </w:rPr>
              <w:t>0</w:t>
            </w:r>
            <w:r>
              <w:rPr>
                <w:color w:val="auto"/>
                <w:sz w:val="24"/>
                <w:szCs w:val="24"/>
              </w:rPr>
              <w:t>%、废气处理效率90%，则</w:t>
            </w:r>
            <w:r>
              <w:rPr>
                <w:rFonts w:hint="eastAsia"/>
                <w:color w:val="auto"/>
                <w:sz w:val="24"/>
                <w:szCs w:val="24"/>
              </w:rPr>
              <w:t>FQ-1</w:t>
            </w:r>
            <w:r>
              <w:rPr>
                <w:color w:val="auto"/>
                <w:sz w:val="24"/>
                <w:szCs w:val="24"/>
              </w:rPr>
              <w:t>有组织</w:t>
            </w:r>
            <w:r>
              <w:rPr>
                <w:rFonts w:hint="eastAsia"/>
                <w:color w:val="auto"/>
                <w:sz w:val="24"/>
                <w:szCs w:val="24"/>
              </w:rPr>
              <w:t>非甲烷总烃</w:t>
            </w:r>
            <w:r>
              <w:rPr>
                <w:color w:val="auto"/>
                <w:sz w:val="24"/>
                <w:szCs w:val="24"/>
              </w:rPr>
              <w:t>产生量为</w:t>
            </w:r>
            <w:r>
              <w:rPr>
                <w:rFonts w:hint="eastAsia"/>
                <w:color w:val="auto"/>
                <w:sz w:val="24"/>
                <w:szCs w:val="24"/>
              </w:rPr>
              <w:t>1.4</w:t>
            </w:r>
            <w:r>
              <w:rPr>
                <w:color w:val="auto"/>
                <w:sz w:val="24"/>
                <w:szCs w:val="24"/>
              </w:rPr>
              <w:t>t/a，</w:t>
            </w:r>
            <w:r>
              <w:rPr>
                <w:rFonts w:hint="eastAsia"/>
                <w:color w:val="auto"/>
                <w:sz w:val="24"/>
                <w:szCs w:val="24"/>
              </w:rPr>
              <w:t>FQ-1</w:t>
            </w:r>
            <w:r>
              <w:rPr>
                <w:color w:val="auto"/>
                <w:sz w:val="24"/>
                <w:szCs w:val="24"/>
              </w:rPr>
              <w:t>有组织</w:t>
            </w:r>
            <w:r>
              <w:rPr>
                <w:rFonts w:hint="eastAsia"/>
                <w:color w:val="auto"/>
                <w:sz w:val="24"/>
                <w:szCs w:val="24"/>
              </w:rPr>
              <w:t>非甲烷总烃</w:t>
            </w:r>
            <w:r>
              <w:rPr>
                <w:color w:val="auto"/>
                <w:sz w:val="24"/>
                <w:szCs w:val="24"/>
              </w:rPr>
              <w:t>排放量为0.</w:t>
            </w:r>
            <w:r>
              <w:rPr>
                <w:rFonts w:hint="eastAsia"/>
                <w:color w:val="auto"/>
                <w:sz w:val="24"/>
                <w:szCs w:val="24"/>
              </w:rPr>
              <w:t>14</w:t>
            </w:r>
            <w:r>
              <w:rPr>
                <w:color w:val="auto"/>
                <w:sz w:val="24"/>
                <w:szCs w:val="24"/>
              </w:rPr>
              <w:t>t/a。</w:t>
            </w:r>
          </w:p>
          <w:p w14:paraId="0423F3EC">
            <w:pPr>
              <w:pStyle w:val="3"/>
              <w:spacing w:line="360" w:lineRule="auto"/>
              <w:ind w:firstLine="480" w:firstLineChars="200"/>
              <w:outlineLvl w:val="2"/>
              <w:rPr>
                <w:color w:val="auto"/>
                <w:sz w:val="24"/>
                <w:szCs w:val="24"/>
              </w:rPr>
            </w:pPr>
            <w:r>
              <w:rPr>
                <w:color w:val="auto"/>
                <w:sz w:val="24"/>
                <w:szCs w:val="24"/>
              </w:rPr>
              <w:fldChar w:fldCharType="begin"/>
            </w:r>
            <w:r>
              <w:rPr>
                <w:color w:val="auto"/>
                <w:sz w:val="24"/>
                <w:szCs w:val="24"/>
              </w:rPr>
              <w:instrText xml:space="preserve"> = 2 \* GB3 \* MERGEFORMAT </w:instrText>
            </w:r>
            <w:r>
              <w:rPr>
                <w:color w:val="auto"/>
                <w:sz w:val="24"/>
                <w:szCs w:val="24"/>
              </w:rPr>
              <w:fldChar w:fldCharType="separate"/>
            </w:r>
            <w:r>
              <w:rPr>
                <w:color w:val="auto"/>
                <w:sz w:val="24"/>
                <w:szCs w:val="24"/>
              </w:rPr>
              <w:t>②</w:t>
            </w:r>
            <w:r>
              <w:rPr>
                <w:color w:val="auto"/>
                <w:sz w:val="24"/>
                <w:szCs w:val="24"/>
              </w:rPr>
              <w:fldChar w:fldCharType="end"/>
            </w:r>
            <w:r>
              <w:rPr>
                <w:rFonts w:hint="eastAsia"/>
                <w:color w:val="auto"/>
                <w:sz w:val="24"/>
                <w:szCs w:val="24"/>
              </w:rPr>
              <w:t>食堂油烟</w:t>
            </w:r>
          </w:p>
          <w:p w14:paraId="5088C4FA">
            <w:pPr>
              <w:pStyle w:val="3"/>
              <w:spacing w:line="360" w:lineRule="auto"/>
              <w:ind w:firstLine="480" w:firstLineChars="200"/>
              <w:outlineLvl w:val="2"/>
              <w:rPr>
                <w:color w:val="auto"/>
                <w:sz w:val="24"/>
                <w:szCs w:val="24"/>
              </w:rPr>
            </w:pPr>
            <w:r>
              <w:rPr>
                <w:color w:val="auto"/>
                <w:sz w:val="24"/>
                <w:szCs w:val="24"/>
              </w:rPr>
              <w:t>食堂燃料采用清洁天然气，使用量约为3</w:t>
            </w:r>
            <w:r>
              <w:rPr>
                <w:rFonts w:hint="eastAsia"/>
                <w:color w:val="auto"/>
                <w:sz w:val="24"/>
                <w:szCs w:val="24"/>
              </w:rPr>
              <w:t>0</w:t>
            </w:r>
            <w:r>
              <w:rPr>
                <w:color w:val="auto"/>
                <w:sz w:val="24"/>
                <w:szCs w:val="24"/>
              </w:rPr>
              <w:t>00m</w:t>
            </w:r>
            <w:r>
              <w:rPr>
                <w:color w:val="auto"/>
                <w:sz w:val="24"/>
                <w:szCs w:val="24"/>
                <w:vertAlign w:val="superscript"/>
              </w:rPr>
              <w:t>3</w:t>
            </w:r>
            <w:r>
              <w:rPr>
                <w:color w:val="auto"/>
                <w:sz w:val="24"/>
                <w:szCs w:val="24"/>
              </w:rPr>
              <w:t>/a，其完全燃烧时产生的污染物的</w:t>
            </w:r>
          </w:p>
          <w:p w14:paraId="0F339812">
            <w:pPr>
              <w:pStyle w:val="3"/>
              <w:spacing w:line="360" w:lineRule="auto"/>
              <w:outlineLvl w:val="2"/>
              <w:rPr>
                <w:color w:val="auto"/>
                <w:sz w:val="24"/>
                <w:szCs w:val="24"/>
              </w:rPr>
            </w:pPr>
            <w:r>
              <w:rPr>
                <w:color w:val="auto"/>
                <w:sz w:val="24"/>
                <w:szCs w:val="24"/>
              </w:rPr>
              <w:t>量很少，对大气的影响很小，可忽略不计。</w:t>
            </w:r>
          </w:p>
          <w:p w14:paraId="26215CB6">
            <w:pPr>
              <w:pStyle w:val="3"/>
              <w:spacing w:line="360" w:lineRule="auto"/>
              <w:ind w:firstLine="480" w:firstLineChars="200"/>
              <w:outlineLvl w:val="2"/>
              <w:rPr>
                <w:rFonts w:hint="default" w:eastAsia="宋体"/>
                <w:color w:val="auto"/>
                <w:sz w:val="24"/>
                <w:szCs w:val="24"/>
                <w:lang w:val="en-US" w:eastAsia="zh-CN"/>
              </w:rPr>
            </w:pPr>
            <w:r>
              <w:rPr>
                <w:color w:val="auto"/>
                <w:sz w:val="24"/>
                <w:szCs w:val="24"/>
              </w:rPr>
              <w:t>食堂烹饪油烟按基准灶头数</w:t>
            </w:r>
            <w:r>
              <w:rPr>
                <w:rFonts w:hint="eastAsia"/>
                <w:color w:val="auto"/>
                <w:sz w:val="24"/>
                <w:szCs w:val="24"/>
              </w:rPr>
              <w:t>4</w:t>
            </w:r>
            <w:r>
              <w:rPr>
                <w:color w:val="auto"/>
                <w:sz w:val="24"/>
                <w:szCs w:val="24"/>
              </w:rPr>
              <w:t>个（</w:t>
            </w:r>
            <w:r>
              <w:rPr>
                <w:rFonts w:hint="eastAsia"/>
                <w:color w:val="auto"/>
                <w:sz w:val="24"/>
                <w:szCs w:val="24"/>
              </w:rPr>
              <w:t>中</w:t>
            </w:r>
            <w:r>
              <w:rPr>
                <w:color w:val="auto"/>
                <w:sz w:val="24"/>
                <w:szCs w:val="24"/>
              </w:rPr>
              <w:t>型规模）计，经根据中国营养学会制定的《中国居民平衡膳食宝塔》,本项目按每人每天摄取食用油量30g计，本项目配备员工</w:t>
            </w:r>
            <w:r>
              <w:rPr>
                <w:rFonts w:hint="eastAsia"/>
                <w:color w:val="auto"/>
                <w:sz w:val="24"/>
                <w:szCs w:val="24"/>
              </w:rPr>
              <w:t>260</w:t>
            </w:r>
            <w:r>
              <w:rPr>
                <w:color w:val="auto"/>
                <w:sz w:val="24"/>
                <w:szCs w:val="24"/>
              </w:rPr>
              <w:t>人，食用油用量约</w:t>
            </w:r>
            <w:r>
              <w:rPr>
                <w:rFonts w:hint="eastAsia"/>
                <w:color w:val="auto"/>
                <w:sz w:val="24"/>
                <w:szCs w:val="24"/>
              </w:rPr>
              <w:t>2.34</w:t>
            </w:r>
            <w:r>
              <w:rPr>
                <w:color w:val="auto"/>
                <w:sz w:val="24"/>
                <w:szCs w:val="24"/>
              </w:rPr>
              <w:t>t/a，油烟转化率取1</w:t>
            </w:r>
            <w:r>
              <w:rPr>
                <w:rFonts w:hint="eastAsia"/>
                <w:color w:val="auto"/>
                <w:sz w:val="24"/>
                <w:szCs w:val="24"/>
              </w:rPr>
              <w:t>.2</w:t>
            </w:r>
            <w:r>
              <w:rPr>
                <w:color w:val="auto"/>
                <w:sz w:val="24"/>
                <w:szCs w:val="24"/>
              </w:rPr>
              <w:t>%，则油烟产生量为0.0</w:t>
            </w:r>
            <w:r>
              <w:rPr>
                <w:rFonts w:hint="eastAsia"/>
                <w:color w:val="auto"/>
                <w:sz w:val="24"/>
                <w:szCs w:val="24"/>
              </w:rPr>
              <w:t>3</w:t>
            </w:r>
            <w:r>
              <w:rPr>
                <w:color w:val="auto"/>
                <w:sz w:val="24"/>
                <w:szCs w:val="24"/>
              </w:rPr>
              <w:t>t/a。本项目食堂</w:t>
            </w:r>
            <w:r>
              <w:rPr>
                <w:rFonts w:hint="eastAsia"/>
                <w:color w:val="auto"/>
                <w:sz w:val="24"/>
                <w:szCs w:val="24"/>
              </w:rPr>
              <w:t>油烟</w:t>
            </w:r>
            <w:r>
              <w:rPr>
                <w:color w:val="auto"/>
                <w:sz w:val="24"/>
                <w:szCs w:val="24"/>
              </w:rPr>
              <w:t>安装油烟净化装置，经处理后的油烟经</w:t>
            </w:r>
            <w:r>
              <w:rPr>
                <w:rFonts w:hint="eastAsia"/>
                <w:color w:val="auto"/>
                <w:sz w:val="24"/>
                <w:szCs w:val="24"/>
              </w:rPr>
              <w:t>15m高排气筒FQ-3排放</w:t>
            </w:r>
            <w:r>
              <w:rPr>
                <w:color w:val="auto"/>
                <w:sz w:val="24"/>
                <w:szCs w:val="24"/>
              </w:rPr>
              <w:t>，考虑</w:t>
            </w:r>
            <w:r>
              <w:rPr>
                <w:rFonts w:hint="eastAsia"/>
                <w:color w:val="auto"/>
                <w:sz w:val="24"/>
                <w:szCs w:val="24"/>
                <w:lang w:val="en-US" w:eastAsia="zh-CN"/>
              </w:rPr>
              <w:t>油烟净化装置</w:t>
            </w:r>
            <w:r>
              <w:rPr>
                <w:color w:val="auto"/>
                <w:sz w:val="24"/>
                <w:szCs w:val="24"/>
              </w:rPr>
              <w:t>去除效率为</w:t>
            </w:r>
            <w:r>
              <w:rPr>
                <w:rFonts w:hint="eastAsia"/>
                <w:color w:val="auto"/>
                <w:sz w:val="24"/>
                <w:szCs w:val="24"/>
              </w:rPr>
              <w:t>75</w:t>
            </w:r>
            <w:r>
              <w:rPr>
                <w:color w:val="auto"/>
                <w:sz w:val="24"/>
                <w:szCs w:val="24"/>
              </w:rPr>
              <w:t>%，则厨房油烟</w:t>
            </w:r>
            <w:r>
              <w:rPr>
                <w:rFonts w:hint="eastAsia"/>
                <w:color w:val="auto"/>
                <w:sz w:val="24"/>
                <w:szCs w:val="24"/>
              </w:rPr>
              <w:t>有组织</w:t>
            </w:r>
            <w:r>
              <w:rPr>
                <w:color w:val="auto"/>
                <w:sz w:val="24"/>
                <w:szCs w:val="24"/>
              </w:rPr>
              <w:t>排放量为</w:t>
            </w:r>
            <w:r>
              <w:rPr>
                <w:rFonts w:hint="eastAsia"/>
                <w:color w:val="auto"/>
                <w:sz w:val="24"/>
                <w:szCs w:val="24"/>
              </w:rPr>
              <w:t>0.008</w:t>
            </w:r>
            <w:r>
              <w:rPr>
                <w:color w:val="auto"/>
                <w:sz w:val="24"/>
                <w:szCs w:val="24"/>
              </w:rPr>
              <w:t>t/a</w:t>
            </w:r>
            <w:r>
              <w:rPr>
                <w:rFonts w:hint="eastAsia"/>
                <w:color w:val="auto"/>
                <w:sz w:val="24"/>
                <w:szCs w:val="24"/>
                <w:lang w:eastAsia="zh-CN"/>
              </w:rPr>
              <w:t>，</w:t>
            </w:r>
            <w:r>
              <w:rPr>
                <w:rFonts w:hint="eastAsia"/>
                <w:color w:val="auto"/>
                <w:sz w:val="24"/>
                <w:szCs w:val="24"/>
                <w:lang w:val="en-US" w:eastAsia="zh-CN"/>
              </w:rPr>
              <w:t>产生量较小不进行定量分析。</w:t>
            </w:r>
          </w:p>
          <w:p w14:paraId="14B0A188">
            <w:pPr>
              <w:spacing w:line="360" w:lineRule="auto"/>
              <w:ind w:firstLine="480" w:firstLineChars="200"/>
              <w:rPr>
                <w:color w:val="auto"/>
                <w:sz w:val="24"/>
                <w:szCs w:val="24"/>
                <w:lang w:val="zh-CN"/>
              </w:rPr>
            </w:pPr>
            <w:r>
              <w:rPr>
                <w:color w:val="auto"/>
                <w:kern w:val="0"/>
                <w:sz w:val="24"/>
                <w:szCs w:val="24"/>
              </w:rPr>
              <w:t>③</w:t>
            </w:r>
            <w:r>
              <w:rPr>
                <w:color w:val="auto"/>
                <w:sz w:val="24"/>
                <w:szCs w:val="24"/>
              </w:rPr>
              <w:t>焊接烟尘</w:t>
            </w:r>
            <w:r>
              <w:rPr>
                <w:color w:val="auto"/>
                <w:sz w:val="24"/>
                <w:szCs w:val="24"/>
                <w:lang w:val="zh-CN"/>
              </w:rPr>
              <w:t>（G</w:t>
            </w:r>
            <w:r>
              <w:rPr>
                <w:rFonts w:hint="eastAsia"/>
                <w:color w:val="auto"/>
                <w:sz w:val="24"/>
                <w:szCs w:val="24"/>
              </w:rPr>
              <w:t>1</w:t>
            </w:r>
            <w:r>
              <w:rPr>
                <w:color w:val="auto"/>
                <w:sz w:val="24"/>
                <w:szCs w:val="24"/>
                <w:lang w:val="zh-CN"/>
              </w:rPr>
              <w:t>）</w:t>
            </w:r>
          </w:p>
          <w:p w14:paraId="0E925514">
            <w:pPr>
              <w:pStyle w:val="3"/>
              <w:spacing w:line="360" w:lineRule="auto"/>
              <w:ind w:firstLine="480" w:firstLineChars="200"/>
              <w:outlineLvl w:val="2"/>
              <w:rPr>
                <w:color w:val="auto"/>
                <w:sz w:val="24"/>
                <w:szCs w:val="24"/>
              </w:rPr>
            </w:pPr>
            <w:r>
              <w:rPr>
                <w:color w:val="auto"/>
                <w:sz w:val="24"/>
                <w:szCs w:val="24"/>
              </w:rPr>
              <w:t>本项目焊接工序会有焊接烟尘产生。</w:t>
            </w:r>
            <w:r>
              <w:rPr>
                <w:rFonts w:hint="eastAsia"/>
                <w:color w:val="auto"/>
                <w:sz w:val="24"/>
                <w:szCs w:val="24"/>
              </w:rPr>
              <w:t>根据</w:t>
            </w:r>
            <w:r>
              <w:rPr>
                <w:color w:val="auto"/>
                <w:sz w:val="24"/>
                <w:szCs w:val="24"/>
              </w:rPr>
              <w:t>《排放源统计调查产排污核算方法</w:t>
            </w:r>
            <w:r>
              <w:rPr>
                <w:rFonts w:hint="eastAsia"/>
                <w:color w:val="auto"/>
                <w:sz w:val="24"/>
                <w:szCs w:val="24"/>
              </w:rPr>
              <w:t>和系数手册</w:t>
            </w:r>
            <w:r>
              <w:rPr>
                <w:color w:val="auto"/>
                <w:sz w:val="24"/>
                <w:szCs w:val="24"/>
              </w:rPr>
              <w:t>》（</w:t>
            </w:r>
            <w:r>
              <w:rPr>
                <w:rFonts w:hint="eastAsia"/>
                <w:color w:val="auto"/>
                <w:sz w:val="24"/>
                <w:szCs w:val="24"/>
              </w:rPr>
              <w:t>机械行业系数手册</w:t>
            </w:r>
            <w:r>
              <w:rPr>
                <w:color w:val="auto"/>
                <w:sz w:val="24"/>
                <w:szCs w:val="24"/>
              </w:rPr>
              <w:t>），</w:t>
            </w:r>
            <w:r>
              <w:rPr>
                <w:rFonts w:hint="eastAsia"/>
                <w:color w:val="auto"/>
                <w:sz w:val="24"/>
                <w:szCs w:val="24"/>
              </w:rPr>
              <w:t>颗粒物产污系数为20.5kg/t</w:t>
            </w:r>
            <w:r>
              <w:rPr>
                <w:color w:val="auto"/>
                <w:sz w:val="24"/>
                <w:szCs w:val="24"/>
              </w:rPr>
              <w:t>，该工段使用焊丝</w:t>
            </w:r>
            <w:r>
              <w:rPr>
                <w:rFonts w:hint="eastAsia"/>
                <w:color w:val="auto"/>
                <w:sz w:val="24"/>
                <w:szCs w:val="24"/>
              </w:rPr>
              <w:t>1</w:t>
            </w:r>
            <w:r>
              <w:rPr>
                <w:rFonts w:hint="eastAsia"/>
                <w:color w:val="auto"/>
                <w:sz w:val="24"/>
                <w:szCs w:val="24"/>
                <w:lang w:val="en-US" w:eastAsia="zh-CN"/>
              </w:rPr>
              <w:t>.5</w:t>
            </w:r>
            <w:r>
              <w:rPr>
                <w:color w:val="auto"/>
                <w:sz w:val="24"/>
                <w:szCs w:val="24"/>
              </w:rPr>
              <w:t>t/a</w:t>
            </w:r>
            <w:r>
              <w:rPr>
                <w:rFonts w:hint="eastAsia"/>
                <w:color w:val="auto"/>
                <w:sz w:val="24"/>
                <w:szCs w:val="24"/>
              </w:rPr>
              <w:t>（含锡1.15%）</w:t>
            </w:r>
            <w:r>
              <w:rPr>
                <w:color w:val="auto"/>
                <w:sz w:val="24"/>
                <w:szCs w:val="24"/>
              </w:rPr>
              <w:t>，则本项目焊接烟尘中主要污染因子</w:t>
            </w:r>
            <w:r>
              <w:rPr>
                <w:rFonts w:hint="eastAsia"/>
                <w:color w:val="auto"/>
                <w:sz w:val="24"/>
                <w:szCs w:val="24"/>
              </w:rPr>
              <w:t>颗粒物</w:t>
            </w:r>
            <w:r>
              <w:rPr>
                <w:color w:val="auto"/>
                <w:sz w:val="24"/>
                <w:szCs w:val="24"/>
              </w:rPr>
              <w:t>产生量为0.0</w:t>
            </w:r>
            <w:r>
              <w:rPr>
                <w:rFonts w:hint="eastAsia"/>
                <w:color w:val="auto"/>
                <w:sz w:val="24"/>
                <w:szCs w:val="24"/>
                <w:lang w:val="en-US" w:eastAsia="zh-CN"/>
              </w:rPr>
              <w:t>31</w:t>
            </w:r>
            <w:r>
              <w:rPr>
                <w:color w:val="auto"/>
                <w:sz w:val="24"/>
                <w:szCs w:val="24"/>
              </w:rPr>
              <w:t>t/a</w:t>
            </w:r>
            <w:r>
              <w:rPr>
                <w:rFonts w:hint="eastAsia"/>
                <w:color w:val="auto"/>
                <w:sz w:val="24"/>
                <w:szCs w:val="24"/>
                <w:lang w:eastAsia="zh-CN"/>
              </w:rPr>
              <w:t>。</w:t>
            </w:r>
            <w:r>
              <w:rPr>
                <w:rFonts w:hint="eastAsia"/>
                <w:color w:val="auto"/>
                <w:sz w:val="24"/>
                <w:szCs w:val="24"/>
              </w:rPr>
              <w:t>其中含锡及其化合物0.0</w:t>
            </w:r>
            <w:r>
              <w:rPr>
                <w:rFonts w:hint="eastAsia"/>
                <w:color w:val="auto"/>
                <w:sz w:val="24"/>
                <w:szCs w:val="24"/>
                <w:lang w:val="en-US" w:eastAsia="zh-CN"/>
              </w:rPr>
              <w:t>0</w:t>
            </w:r>
            <w:r>
              <w:rPr>
                <w:rFonts w:hint="eastAsia"/>
                <w:color w:val="auto"/>
                <w:sz w:val="24"/>
                <w:szCs w:val="24"/>
              </w:rPr>
              <w:t>0</w:t>
            </w:r>
            <w:r>
              <w:rPr>
                <w:rFonts w:hint="eastAsia"/>
                <w:color w:val="auto"/>
                <w:sz w:val="24"/>
                <w:szCs w:val="24"/>
                <w:lang w:val="en-US" w:eastAsia="zh-CN"/>
              </w:rPr>
              <w:t>35</w:t>
            </w:r>
            <w:r>
              <w:rPr>
                <w:rFonts w:hint="eastAsia"/>
                <w:color w:val="auto"/>
                <w:sz w:val="24"/>
                <w:szCs w:val="24"/>
              </w:rPr>
              <w:t>t/a</w:t>
            </w:r>
            <w:r>
              <w:rPr>
                <w:color w:val="auto"/>
                <w:sz w:val="24"/>
                <w:szCs w:val="24"/>
              </w:rPr>
              <w:t>，</w:t>
            </w:r>
            <w:r>
              <w:rPr>
                <w:rFonts w:hint="eastAsia"/>
                <w:color w:val="auto"/>
                <w:sz w:val="24"/>
                <w:szCs w:val="24"/>
              </w:rPr>
              <w:t>锡及其化合物产生量较小，经焊烟净化装置处理后，排放量很小，不进行定量分析。焊接烟尘经集气罩收集，通过焊烟净化装置处理，处理后通过排气筒FQ-3排放，收集效率90%，处理效率为75%，</w:t>
            </w:r>
            <w:r>
              <w:rPr>
                <w:color w:val="auto"/>
                <w:sz w:val="24"/>
                <w:szCs w:val="24"/>
              </w:rPr>
              <w:t>则</w:t>
            </w:r>
            <w:r>
              <w:rPr>
                <w:rFonts w:hint="eastAsia"/>
                <w:color w:val="auto"/>
                <w:sz w:val="24"/>
                <w:szCs w:val="24"/>
              </w:rPr>
              <w:t>FQ-</w:t>
            </w:r>
            <w:r>
              <w:rPr>
                <w:rFonts w:hint="eastAsia"/>
                <w:color w:val="auto"/>
                <w:sz w:val="24"/>
                <w:szCs w:val="24"/>
                <w:lang w:val="en-US" w:eastAsia="zh-CN"/>
              </w:rPr>
              <w:t>3</w:t>
            </w:r>
            <w:r>
              <w:rPr>
                <w:color w:val="auto"/>
                <w:sz w:val="24"/>
                <w:szCs w:val="24"/>
              </w:rPr>
              <w:t>有组织</w:t>
            </w:r>
            <w:r>
              <w:rPr>
                <w:rFonts w:hint="eastAsia"/>
                <w:color w:val="auto"/>
                <w:sz w:val="24"/>
                <w:szCs w:val="24"/>
              </w:rPr>
              <w:t>颗粒物</w:t>
            </w:r>
            <w:r>
              <w:rPr>
                <w:color w:val="auto"/>
                <w:sz w:val="24"/>
                <w:szCs w:val="24"/>
              </w:rPr>
              <w:t>产生量为</w:t>
            </w:r>
            <w:r>
              <w:rPr>
                <w:rFonts w:hint="eastAsia"/>
                <w:color w:val="auto"/>
                <w:sz w:val="24"/>
                <w:szCs w:val="24"/>
              </w:rPr>
              <w:t>0.0</w:t>
            </w:r>
            <w:r>
              <w:rPr>
                <w:rFonts w:hint="eastAsia"/>
                <w:color w:val="auto"/>
                <w:sz w:val="24"/>
                <w:szCs w:val="24"/>
                <w:lang w:val="en-US" w:eastAsia="zh-CN"/>
              </w:rPr>
              <w:t>2</w:t>
            </w:r>
            <w:r>
              <w:rPr>
                <w:rFonts w:hint="eastAsia"/>
                <w:color w:val="auto"/>
                <w:sz w:val="24"/>
                <w:szCs w:val="24"/>
              </w:rPr>
              <w:t>8</w:t>
            </w:r>
            <w:r>
              <w:rPr>
                <w:color w:val="auto"/>
                <w:sz w:val="24"/>
                <w:szCs w:val="24"/>
              </w:rPr>
              <w:t>t/a，</w:t>
            </w:r>
            <w:r>
              <w:rPr>
                <w:rFonts w:hint="eastAsia"/>
                <w:color w:val="auto"/>
                <w:sz w:val="24"/>
                <w:szCs w:val="24"/>
              </w:rPr>
              <w:t>FQ-</w:t>
            </w:r>
            <w:r>
              <w:rPr>
                <w:rFonts w:hint="eastAsia"/>
                <w:color w:val="auto"/>
                <w:sz w:val="24"/>
                <w:szCs w:val="24"/>
                <w:lang w:val="en-US" w:eastAsia="zh-CN"/>
              </w:rPr>
              <w:t>3</w:t>
            </w:r>
            <w:r>
              <w:rPr>
                <w:color w:val="auto"/>
                <w:sz w:val="24"/>
                <w:szCs w:val="24"/>
              </w:rPr>
              <w:t>有组织</w:t>
            </w:r>
            <w:r>
              <w:rPr>
                <w:rFonts w:hint="eastAsia"/>
                <w:color w:val="auto"/>
                <w:sz w:val="24"/>
                <w:szCs w:val="24"/>
              </w:rPr>
              <w:t>颗粒物</w:t>
            </w:r>
            <w:r>
              <w:rPr>
                <w:color w:val="auto"/>
                <w:sz w:val="24"/>
                <w:szCs w:val="24"/>
              </w:rPr>
              <w:t>排放量为</w:t>
            </w:r>
            <w:r>
              <w:rPr>
                <w:rFonts w:hint="eastAsia"/>
                <w:color w:val="auto"/>
                <w:sz w:val="24"/>
                <w:szCs w:val="24"/>
              </w:rPr>
              <w:t>0.00</w:t>
            </w:r>
            <w:r>
              <w:rPr>
                <w:rFonts w:hint="eastAsia"/>
                <w:color w:val="auto"/>
                <w:sz w:val="24"/>
                <w:szCs w:val="24"/>
                <w:lang w:val="en-US" w:eastAsia="zh-CN"/>
              </w:rPr>
              <w:t>7</w:t>
            </w:r>
            <w:r>
              <w:rPr>
                <w:color w:val="auto"/>
                <w:sz w:val="24"/>
                <w:szCs w:val="24"/>
              </w:rPr>
              <w:t>t/a。</w:t>
            </w:r>
          </w:p>
          <w:p w14:paraId="732D8FB5">
            <w:pPr>
              <w:spacing w:line="360" w:lineRule="auto"/>
              <w:ind w:firstLine="480" w:firstLineChars="200"/>
              <w:rPr>
                <w:color w:val="auto"/>
                <w:sz w:val="24"/>
                <w:szCs w:val="24"/>
              </w:rPr>
            </w:pPr>
            <w:r>
              <w:rPr>
                <w:rFonts w:hint="eastAsia"/>
                <w:color w:val="auto"/>
                <w:sz w:val="24"/>
                <w:szCs w:val="24"/>
              </w:rPr>
              <w:t>（2）无组织废气</w:t>
            </w:r>
          </w:p>
          <w:p w14:paraId="0AA86397">
            <w:pPr>
              <w:pStyle w:val="3"/>
              <w:spacing w:line="360" w:lineRule="auto"/>
              <w:ind w:firstLine="480" w:firstLineChars="200"/>
              <w:outlineLvl w:val="2"/>
              <w:rPr>
                <w:color w:val="auto"/>
                <w:sz w:val="24"/>
                <w:szCs w:val="24"/>
              </w:rPr>
            </w:pPr>
            <w:r>
              <w:rPr>
                <w:color w:val="auto"/>
                <w:sz w:val="24"/>
                <w:szCs w:val="24"/>
              </w:rPr>
              <w:t>①未捕集的清洗废气</w:t>
            </w:r>
          </w:p>
          <w:p w14:paraId="310100CE">
            <w:pPr>
              <w:pStyle w:val="3"/>
              <w:spacing w:line="360" w:lineRule="auto"/>
              <w:ind w:firstLine="480" w:firstLineChars="200"/>
              <w:outlineLvl w:val="2"/>
              <w:rPr>
                <w:color w:val="auto"/>
                <w:sz w:val="24"/>
                <w:szCs w:val="24"/>
              </w:rPr>
            </w:pPr>
            <w:r>
              <w:rPr>
                <w:color w:val="auto"/>
                <w:sz w:val="24"/>
                <w:szCs w:val="24"/>
              </w:rPr>
              <w:t>项目未捕集的清洗</w:t>
            </w:r>
            <w:r>
              <w:rPr>
                <w:rFonts w:hint="eastAsia"/>
                <w:color w:val="auto"/>
                <w:sz w:val="24"/>
                <w:szCs w:val="24"/>
              </w:rPr>
              <w:t>废气</w:t>
            </w:r>
            <w:r>
              <w:rPr>
                <w:color w:val="auto"/>
                <w:sz w:val="24"/>
                <w:szCs w:val="24"/>
              </w:rPr>
              <w:t>中主要污染物非甲烷总烃产</w:t>
            </w:r>
            <w:r>
              <w:rPr>
                <w:rFonts w:hint="eastAsia" w:ascii="宋体" w:hAnsi="宋体" w:cs="宋体"/>
                <w:color w:val="auto"/>
                <w:sz w:val="24"/>
                <w:szCs w:val="24"/>
              </w:rPr>
              <w:t>生量为</w:t>
            </w:r>
            <w:r>
              <w:rPr>
                <w:rFonts w:hint="eastAsia"/>
                <w:color w:val="auto"/>
                <w:sz w:val="24"/>
                <w:szCs w:val="24"/>
              </w:rPr>
              <w:t>0.15</w:t>
            </w:r>
            <w:r>
              <w:rPr>
                <w:color w:val="auto"/>
                <w:sz w:val="24"/>
                <w:szCs w:val="24"/>
              </w:rPr>
              <w:t>t/a，在生产</w:t>
            </w:r>
            <w:r>
              <w:rPr>
                <w:rFonts w:hint="eastAsia" w:ascii="宋体" w:hAnsi="宋体" w:cs="宋体"/>
                <w:color w:val="auto"/>
                <w:sz w:val="24"/>
                <w:szCs w:val="24"/>
              </w:rPr>
              <w:t>车间内无组织排放。</w:t>
            </w:r>
          </w:p>
          <w:p w14:paraId="3B4D8CC6">
            <w:pPr>
              <w:pStyle w:val="3"/>
              <w:spacing w:line="360" w:lineRule="auto"/>
              <w:ind w:firstLine="480" w:firstLineChars="200"/>
              <w:outlineLvl w:val="2"/>
              <w:rPr>
                <w:color w:val="auto"/>
                <w:sz w:val="24"/>
                <w:szCs w:val="24"/>
                <w:lang w:val="zh-CN"/>
              </w:rPr>
            </w:pPr>
            <w:r>
              <w:rPr>
                <w:color w:val="auto"/>
                <w:sz w:val="24"/>
                <w:szCs w:val="24"/>
              </w:rPr>
              <w:fldChar w:fldCharType="begin"/>
            </w:r>
            <w:r>
              <w:rPr>
                <w:color w:val="auto"/>
                <w:sz w:val="24"/>
                <w:szCs w:val="24"/>
              </w:rPr>
              <w:instrText xml:space="preserve"> = 2 \* GB3 \* MERGEFORMAT </w:instrText>
            </w:r>
            <w:r>
              <w:rPr>
                <w:color w:val="auto"/>
                <w:sz w:val="24"/>
                <w:szCs w:val="24"/>
              </w:rPr>
              <w:fldChar w:fldCharType="separate"/>
            </w:r>
            <w:r>
              <w:rPr>
                <w:color w:val="auto"/>
                <w:sz w:val="24"/>
                <w:szCs w:val="24"/>
              </w:rPr>
              <w:t>②</w:t>
            </w:r>
            <w:r>
              <w:rPr>
                <w:color w:val="auto"/>
                <w:sz w:val="24"/>
                <w:szCs w:val="24"/>
              </w:rPr>
              <w:fldChar w:fldCharType="end"/>
            </w:r>
            <w:r>
              <w:rPr>
                <w:rFonts w:hint="eastAsia"/>
                <w:color w:val="auto"/>
                <w:sz w:val="24"/>
                <w:szCs w:val="24"/>
              </w:rPr>
              <w:t>未捕集的</w:t>
            </w:r>
            <w:r>
              <w:rPr>
                <w:color w:val="auto"/>
                <w:sz w:val="24"/>
                <w:szCs w:val="24"/>
              </w:rPr>
              <w:t>焊接烟尘</w:t>
            </w:r>
            <w:r>
              <w:rPr>
                <w:color w:val="auto"/>
                <w:sz w:val="24"/>
                <w:szCs w:val="24"/>
                <w:lang w:val="zh-CN"/>
              </w:rPr>
              <w:t>（G</w:t>
            </w:r>
            <w:r>
              <w:rPr>
                <w:rFonts w:hint="eastAsia"/>
                <w:color w:val="auto"/>
                <w:sz w:val="24"/>
                <w:szCs w:val="24"/>
              </w:rPr>
              <w:t>1</w:t>
            </w:r>
            <w:r>
              <w:rPr>
                <w:color w:val="auto"/>
                <w:sz w:val="24"/>
                <w:szCs w:val="24"/>
                <w:lang w:val="zh-CN"/>
              </w:rPr>
              <w:t>）</w:t>
            </w:r>
          </w:p>
          <w:p w14:paraId="45E81BB6">
            <w:pPr>
              <w:pStyle w:val="3"/>
              <w:spacing w:line="360" w:lineRule="auto"/>
              <w:ind w:firstLine="480" w:firstLineChars="200"/>
              <w:outlineLvl w:val="2"/>
              <w:rPr>
                <w:color w:val="auto"/>
                <w:sz w:val="24"/>
                <w:szCs w:val="24"/>
              </w:rPr>
            </w:pPr>
            <w:r>
              <w:rPr>
                <w:color w:val="auto"/>
                <w:sz w:val="24"/>
                <w:szCs w:val="24"/>
              </w:rPr>
              <w:t>项目未捕集的</w:t>
            </w:r>
            <w:r>
              <w:rPr>
                <w:rFonts w:hint="eastAsia"/>
                <w:color w:val="auto"/>
                <w:sz w:val="24"/>
                <w:szCs w:val="24"/>
              </w:rPr>
              <w:t>焊接烟尘</w:t>
            </w:r>
            <w:r>
              <w:rPr>
                <w:color w:val="auto"/>
                <w:sz w:val="24"/>
                <w:szCs w:val="24"/>
              </w:rPr>
              <w:t>中主要污染物</w:t>
            </w:r>
            <w:r>
              <w:rPr>
                <w:rFonts w:hint="eastAsia"/>
                <w:color w:val="auto"/>
                <w:sz w:val="24"/>
                <w:szCs w:val="24"/>
              </w:rPr>
              <w:t>颗粒物</w:t>
            </w:r>
            <w:r>
              <w:rPr>
                <w:color w:val="auto"/>
                <w:sz w:val="24"/>
                <w:szCs w:val="24"/>
              </w:rPr>
              <w:t>产</w:t>
            </w:r>
            <w:r>
              <w:rPr>
                <w:rFonts w:hint="eastAsia" w:ascii="宋体" w:hAnsi="宋体" w:cs="宋体"/>
                <w:color w:val="auto"/>
                <w:sz w:val="24"/>
                <w:szCs w:val="24"/>
              </w:rPr>
              <w:t>生量为</w:t>
            </w:r>
            <w:r>
              <w:rPr>
                <w:rFonts w:hint="eastAsia"/>
                <w:color w:val="auto"/>
                <w:sz w:val="24"/>
                <w:szCs w:val="24"/>
              </w:rPr>
              <w:t>0.00</w:t>
            </w:r>
            <w:r>
              <w:rPr>
                <w:rFonts w:hint="eastAsia"/>
                <w:color w:val="auto"/>
                <w:sz w:val="24"/>
                <w:szCs w:val="24"/>
                <w:lang w:val="en-US" w:eastAsia="zh-CN"/>
              </w:rPr>
              <w:t>3</w:t>
            </w:r>
            <w:r>
              <w:rPr>
                <w:color w:val="auto"/>
                <w:sz w:val="24"/>
                <w:szCs w:val="24"/>
              </w:rPr>
              <w:t>t/a，在生产</w:t>
            </w:r>
            <w:r>
              <w:rPr>
                <w:rFonts w:hint="eastAsia" w:ascii="宋体" w:hAnsi="宋体" w:cs="宋体"/>
                <w:color w:val="auto"/>
                <w:sz w:val="24"/>
                <w:szCs w:val="24"/>
              </w:rPr>
              <w:t>车间内无组织排放。</w:t>
            </w:r>
          </w:p>
          <w:p w14:paraId="26D4ADC6">
            <w:pPr>
              <w:pStyle w:val="4"/>
              <w:widowControl/>
              <w:adjustRightInd w:val="0"/>
              <w:spacing w:line="360" w:lineRule="auto"/>
              <w:ind w:firstLine="0" w:firstLineChars="0"/>
              <w:rPr>
                <w:color w:val="auto"/>
                <w:sz w:val="24"/>
                <w:szCs w:val="24"/>
              </w:rPr>
            </w:pPr>
          </w:p>
        </w:tc>
      </w:tr>
    </w:tbl>
    <w:p w14:paraId="7BBC970B">
      <w:pPr>
        <w:rPr>
          <w:color w:val="auto"/>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32"/>
          <w:cols w:space="425" w:num="1"/>
          <w:docGrid w:type="lines" w:linePitch="312" w:charSpace="0"/>
        </w:sectPr>
      </w:pPr>
    </w:p>
    <w:tbl>
      <w:tblPr>
        <w:tblStyle w:val="22"/>
        <w:tblW w:w="14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649"/>
      </w:tblGrid>
      <w:tr w14:paraId="1626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2" w:hRule="atLeast"/>
        </w:trPr>
        <w:tc>
          <w:tcPr>
            <w:tcW w:w="527" w:type="dxa"/>
          </w:tcPr>
          <w:p w14:paraId="502730CA">
            <w:pPr>
              <w:pStyle w:val="2"/>
              <w:keepLines/>
              <w:pageBreakBefore/>
              <w:overflowPunct/>
              <w:snapToGrid/>
              <w:spacing w:before="0" w:after="0" w:line="360" w:lineRule="auto"/>
              <w:ind w:left="0" w:firstLine="0"/>
              <w:rPr>
                <w:rFonts w:eastAsia="宋体"/>
                <w:color w:val="auto"/>
                <w:sz w:val="28"/>
                <w:szCs w:val="44"/>
              </w:rPr>
            </w:pPr>
          </w:p>
        </w:tc>
        <w:tc>
          <w:tcPr>
            <w:tcW w:w="13649" w:type="dxa"/>
          </w:tcPr>
          <w:p w14:paraId="11033D0F">
            <w:pPr>
              <w:spacing w:line="360" w:lineRule="auto"/>
              <w:ind w:firstLine="480" w:firstLineChars="200"/>
              <w:rPr>
                <w:bCs/>
                <w:color w:val="auto"/>
                <w:sz w:val="24"/>
              </w:rPr>
            </w:pPr>
            <w:r>
              <w:rPr>
                <w:rFonts w:hint="eastAsia"/>
                <w:bCs/>
                <w:color w:val="auto"/>
                <w:sz w:val="24"/>
              </w:rPr>
              <w:t>本</w:t>
            </w:r>
            <w:r>
              <w:rPr>
                <w:bCs/>
                <w:color w:val="auto"/>
                <w:sz w:val="24"/>
              </w:rPr>
              <w:t>项目有组织废气排放参数见表</w:t>
            </w:r>
            <w:r>
              <w:rPr>
                <w:rFonts w:hint="eastAsia"/>
                <w:bCs/>
                <w:color w:val="auto"/>
                <w:sz w:val="24"/>
              </w:rPr>
              <w:t>4-2</w:t>
            </w:r>
            <w:r>
              <w:rPr>
                <w:bCs/>
                <w:color w:val="auto"/>
                <w:sz w:val="24"/>
              </w:rPr>
              <w:t>，</w:t>
            </w:r>
            <w:r>
              <w:rPr>
                <w:rFonts w:hint="eastAsia"/>
                <w:bCs/>
                <w:color w:val="auto"/>
                <w:sz w:val="24"/>
              </w:rPr>
              <w:t>项目排气筒信息见表4-3，</w:t>
            </w:r>
            <w:r>
              <w:rPr>
                <w:bCs/>
                <w:color w:val="auto"/>
                <w:sz w:val="24"/>
              </w:rPr>
              <w:t>无组织废气排放参数见表</w:t>
            </w:r>
            <w:r>
              <w:rPr>
                <w:rFonts w:hint="eastAsia"/>
                <w:bCs/>
                <w:color w:val="auto"/>
                <w:sz w:val="24"/>
              </w:rPr>
              <w:t>4-4，大气污染物有组织排放量核算见表4-5，大气污染物年排放量核算表见表4-6</w:t>
            </w:r>
            <w:r>
              <w:rPr>
                <w:bCs/>
                <w:color w:val="auto"/>
                <w:sz w:val="24"/>
              </w:rPr>
              <w:t>。</w:t>
            </w:r>
          </w:p>
          <w:p w14:paraId="06950BD5">
            <w:pPr>
              <w:jc w:val="center"/>
              <w:rPr>
                <w:b/>
                <w:bCs/>
                <w:color w:val="auto"/>
                <w:spacing w:val="-4"/>
                <w:sz w:val="24"/>
              </w:rPr>
            </w:pPr>
            <w:r>
              <w:rPr>
                <w:b/>
                <w:color w:val="auto"/>
                <w:sz w:val="24"/>
              </w:rPr>
              <w:t>表</w:t>
            </w:r>
            <w:r>
              <w:rPr>
                <w:rFonts w:hint="eastAsia"/>
                <w:b/>
                <w:color w:val="auto"/>
                <w:sz w:val="24"/>
              </w:rPr>
              <w:t>4-2  本项目</w:t>
            </w:r>
            <w:r>
              <w:rPr>
                <w:b/>
                <w:bCs/>
                <w:color w:val="auto"/>
                <w:spacing w:val="-4"/>
                <w:sz w:val="24"/>
              </w:rPr>
              <w:t>有组织废气排放参数一览表</w:t>
            </w:r>
          </w:p>
          <w:tbl>
            <w:tblPr>
              <w:tblStyle w:val="23"/>
              <w:tblW w:w="13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592"/>
              <w:gridCol w:w="424"/>
              <w:gridCol w:w="426"/>
              <w:gridCol w:w="482"/>
              <w:gridCol w:w="1163"/>
              <w:gridCol w:w="923"/>
              <w:gridCol w:w="962"/>
              <w:gridCol w:w="482"/>
              <w:gridCol w:w="482"/>
              <w:gridCol w:w="482"/>
              <w:gridCol w:w="594"/>
              <w:gridCol w:w="1163"/>
              <w:gridCol w:w="1115"/>
              <w:gridCol w:w="962"/>
              <w:gridCol w:w="1163"/>
              <w:gridCol w:w="1115"/>
              <w:gridCol w:w="482"/>
            </w:tblGrid>
            <w:tr w14:paraId="35BD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7" w:type="dxa"/>
                  <w:vMerge w:val="restart"/>
                  <w:tcBorders>
                    <w:tl2br w:val="nil"/>
                    <w:tr2bl w:val="nil"/>
                  </w:tcBorders>
                  <w:shd w:val="clear" w:color="auto" w:fill="auto"/>
                  <w:tcMar>
                    <w:top w:w="0" w:type="dxa"/>
                    <w:left w:w="57" w:type="dxa"/>
                    <w:bottom w:w="0" w:type="dxa"/>
                    <w:right w:w="57" w:type="dxa"/>
                  </w:tcMar>
                  <w:vAlign w:val="center"/>
                </w:tcPr>
                <w:p w14:paraId="46EC8824">
                  <w:pPr>
                    <w:spacing w:line="0" w:lineRule="atLeast"/>
                    <w:jc w:val="center"/>
                    <w:rPr>
                      <w:b/>
                      <w:color w:val="auto"/>
                    </w:rPr>
                  </w:pPr>
                  <w:r>
                    <w:rPr>
                      <w:rFonts w:hint="eastAsia"/>
                      <w:b/>
                      <w:color w:val="auto"/>
                    </w:rPr>
                    <w:t>排气筒编号</w:t>
                  </w:r>
                </w:p>
              </w:tc>
              <w:tc>
                <w:tcPr>
                  <w:tcW w:w="592" w:type="dxa"/>
                  <w:vMerge w:val="restart"/>
                  <w:tcBorders>
                    <w:tl2br w:val="nil"/>
                    <w:tr2bl w:val="nil"/>
                  </w:tcBorders>
                  <w:shd w:val="clear" w:color="auto" w:fill="auto"/>
                  <w:tcMar>
                    <w:top w:w="0" w:type="dxa"/>
                    <w:left w:w="57" w:type="dxa"/>
                    <w:bottom w:w="0" w:type="dxa"/>
                    <w:right w:w="57" w:type="dxa"/>
                  </w:tcMar>
                  <w:vAlign w:val="center"/>
                </w:tcPr>
                <w:p w14:paraId="243A0B04">
                  <w:pPr>
                    <w:spacing w:line="0" w:lineRule="atLeast"/>
                    <w:jc w:val="center"/>
                    <w:rPr>
                      <w:b/>
                      <w:color w:val="auto"/>
                    </w:rPr>
                  </w:pPr>
                  <w:r>
                    <w:rPr>
                      <w:rFonts w:hint="eastAsia"/>
                      <w:b/>
                      <w:color w:val="auto"/>
                    </w:rPr>
                    <w:t>处理设施名称</w:t>
                  </w:r>
                </w:p>
              </w:tc>
              <w:tc>
                <w:tcPr>
                  <w:tcW w:w="424" w:type="dxa"/>
                  <w:vMerge w:val="restart"/>
                  <w:tcBorders>
                    <w:tl2br w:val="nil"/>
                    <w:tr2bl w:val="nil"/>
                  </w:tcBorders>
                  <w:shd w:val="clear" w:color="auto" w:fill="auto"/>
                  <w:tcMar>
                    <w:top w:w="0" w:type="dxa"/>
                    <w:left w:w="57" w:type="dxa"/>
                    <w:bottom w:w="0" w:type="dxa"/>
                    <w:right w:w="57" w:type="dxa"/>
                  </w:tcMar>
                  <w:vAlign w:val="center"/>
                </w:tcPr>
                <w:p w14:paraId="08C39262">
                  <w:pPr>
                    <w:spacing w:line="0" w:lineRule="atLeast"/>
                    <w:jc w:val="center"/>
                    <w:rPr>
                      <w:b/>
                      <w:color w:val="auto"/>
                    </w:rPr>
                  </w:pPr>
                  <w:r>
                    <w:rPr>
                      <w:rFonts w:hint="eastAsia"/>
                      <w:b/>
                      <w:color w:val="auto"/>
                    </w:rPr>
                    <w:t>污染源</w:t>
                  </w:r>
                </w:p>
              </w:tc>
              <w:tc>
                <w:tcPr>
                  <w:tcW w:w="426" w:type="dxa"/>
                  <w:vMerge w:val="restart"/>
                  <w:tcBorders>
                    <w:tl2br w:val="nil"/>
                    <w:tr2bl w:val="nil"/>
                  </w:tcBorders>
                  <w:shd w:val="clear" w:color="auto" w:fill="auto"/>
                  <w:tcMar>
                    <w:top w:w="0" w:type="dxa"/>
                    <w:left w:w="57" w:type="dxa"/>
                    <w:bottom w:w="0" w:type="dxa"/>
                    <w:right w:w="57" w:type="dxa"/>
                  </w:tcMar>
                  <w:vAlign w:val="center"/>
                </w:tcPr>
                <w:p w14:paraId="5253E7A1">
                  <w:pPr>
                    <w:spacing w:line="0" w:lineRule="atLeast"/>
                    <w:jc w:val="center"/>
                    <w:rPr>
                      <w:b/>
                      <w:color w:val="auto"/>
                    </w:rPr>
                  </w:pPr>
                  <w:r>
                    <w:rPr>
                      <w:rFonts w:hint="eastAsia"/>
                      <w:b/>
                      <w:color w:val="auto"/>
                    </w:rPr>
                    <w:t>污染物</w:t>
                  </w:r>
                </w:p>
              </w:tc>
              <w:tc>
                <w:tcPr>
                  <w:tcW w:w="482" w:type="dxa"/>
                  <w:vMerge w:val="restart"/>
                  <w:tcBorders>
                    <w:tl2br w:val="nil"/>
                    <w:tr2bl w:val="nil"/>
                  </w:tcBorders>
                  <w:shd w:val="clear" w:color="auto" w:fill="auto"/>
                  <w:tcMar>
                    <w:top w:w="0" w:type="dxa"/>
                    <w:left w:w="57" w:type="dxa"/>
                    <w:bottom w:w="0" w:type="dxa"/>
                    <w:right w:w="57" w:type="dxa"/>
                  </w:tcMar>
                  <w:vAlign w:val="center"/>
                </w:tcPr>
                <w:p w14:paraId="102EE1D9">
                  <w:pPr>
                    <w:spacing w:line="0" w:lineRule="atLeast"/>
                    <w:jc w:val="center"/>
                    <w:rPr>
                      <w:b/>
                      <w:color w:val="auto"/>
                    </w:rPr>
                  </w:pPr>
                  <w:r>
                    <w:rPr>
                      <w:rFonts w:hint="eastAsia"/>
                      <w:b/>
                      <w:color w:val="auto"/>
                    </w:rPr>
                    <w:t>核算方法</w:t>
                  </w:r>
                </w:p>
              </w:tc>
              <w:tc>
                <w:tcPr>
                  <w:tcW w:w="3048" w:type="dxa"/>
                  <w:gridSpan w:val="3"/>
                  <w:tcBorders>
                    <w:tl2br w:val="nil"/>
                    <w:tr2bl w:val="nil"/>
                  </w:tcBorders>
                  <w:shd w:val="clear" w:color="auto" w:fill="auto"/>
                  <w:tcMar>
                    <w:top w:w="0" w:type="dxa"/>
                    <w:left w:w="57" w:type="dxa"/>
                    <w:bottom w:w="0" w:type="dxa"/>
                    <w:right w:w="57" w:type="dxa"/>
                  </w:tcMar>
                  <w:vAlign w:val="center"/>
                </w:tcPr>
                <w:p w14:paraId="1EB2F7FD">
                  <w:pPr>
                    <w:spacing w:line="0" w:lineRule="atLeast"/>
                    <w:jc w:val="center"/>
                    <w:rPr>
                      <w:b/>
                      <w:color w:val="auto"/>
                    </w:rPr>
                  </w:pPr>
                  <w:r>
                    <w:rPr>
                      <w:rFonts w:hint="eastAsia"/>
                      <w:b/>
                      <w:color w:val="auto"/>
                    </w:rPr>
                    <w:t>污染物产生</w:t>
                  </w:r>
                </w:p>
              </w:tc>
              <w:tc>
                <w:tcPr>
                  <w:tcW w:w="2040" w:type="dxa"/>
                  <w:gridSpan w:val="4"/>
                  <w:tcBorders>
                    <w:tl2br w:val="nil"/>
                    <w:tr2bl w:val="nil"/>
                  </w:tcBorders>
                  <w:shd w:val="clear" w:color="auto" w:fill="auto"/>
                  <w:tcMar>
                    <w:top w:w="0" w:type="dxa"/>
                    <w:left w:w="57" w:type="dxa"/>
                    <w:bottom w:w="0" w:type="dxa"/>
                    <w:right w:w="57" w:type="dxa"/>
                  </w:tcMar>
                  <w:vAlign w:val="center"/>
                </w:tcPr>
                <w:p w14:paraId="4C23A78C">
                  <w:pPr>
                    <w:spacing w:line="0" w:lineRule="atLeast"/>
                    <w:jc w:val="center"/>
                    <w:rPr>
                      <w:b/>
                      <w:color w:val="auto"/>
                    </w:rPr>
                  </w:pPr>
                  <w:r>
                    <w:rPr>
                      <w:rFonts w:hint="eastAsia"/>
                      <w:b/>
                      <w:color w:val="auto"/>
                    </w:rPr>
                    <w:t>治理措施</w:t>
                  </w:r>
                </w:p>
              </w:tc>
              <w:tc>
                <w:tcPr>
                  <w:tcW w:w="3240" w:type="dxa"/>
                  <w:gridSpan w:val="3"/>
                  <w:tcBorders>
                    <w:tl2br w:val="nil"/>
                    <w:tr2bl w:val="nil"/>
                  </w:tcBorders>
                  <w:shd w:val="clear" w:color="auto" w:fill="auto"/>
                  <w:tcMar>
                    <w:top w:w="0" w:type="dxa"/>
                    <w:left w:w="57" w:type="dxa"/>
                    <w:bottom w:w="0" w:type="dxa"/>
                    <w:right w:w="57" w:type="dxa"/>
                  </w:tcMar>
                  <w:vAlign w:val="center"/>
                </w:tcPr>
                <w:p w14:paraId="4C0A3084">
                  <w:pPr>
                    <w:spacing w:line="0" w:lineRule="atLeast"/>
                    <w:jc w:val="center"/>
                    <w:rPr>
                      <w:b/>
                      <w:color w:val="auto"/>
                    </w:rPr>
                  </w:pPr>
                  <w:r>
                    <w:rPr>
                      <w:rFonts w:hint="eastAsia"/>
                      <w:b/>
                      <w:color w:val="auto"/>
                    </w:rPr>
                    <w:t>污染物排放</w:t>
                  </w:r>
                </w:p>
              </w:tc>
              <w:tc>
                <w:tcPr>
                  <w:tcW w:w="2278" w:type="dxa"/>
                  <w:gridSpan w:val="2"/>
                  <w:tcBorders>
                    <w:tl2br w:val="nil"/>
                    <w:tr2bl w:val="nil"/>
                  </w:tcBorders>
                  <w:shd w:val="clear" w:color="auto" w:fill="auto"/>
                  <w:tcMar>
                    <w:top w:w="0" w:type="dxa"/>
                    <w:left w:w="57" w:type="dxa"/>
                    <w:bottom w:w="0" w:type="dxa"/>
                    <w:right w:w="57" w:type="dxa"/>
                  </w:tcMar>
                  <w:vAlign w:val="center"/>
                </w:tcPr>
                <w:p w14:paraId="0B6F4063">
                  <w:pPr>
                    <w:spacing w:line="0" w:lineRule="atLeast"/>
                    <w:jc w:val="center"/>
                    <w:rPr>
                      <w:b/>
                      <w:color w:val="auto"/>
                    </w:rPr>
                  </w:pPr>
                  <w:r>
                    <w:rPr>
                      <w:rFonts w:hint="eastAsia"/>
                      <w:b/>
                      <w:color w:val="auto"/>
                    </w:rPr>
                    <w:t>标准限值</w:t>
                  </w:r>
                </w:p>
              </w:tc>
              <w:tc>
                <w:tcPr>
                  <w:tcW w:w="482" w:type="dxa"/>
                  <w:vMerge w:val="restart"/>
                  <w:tcBorders>
                    <w:tl2br w:val="nil"/>
                    <w:tr2bl w:val="nil"/>
                  </w:tcBorders>
                  <w:shd w:val="clear" w:color="auto" w:fill="auto"/>
                  <w:tcMar>
                    <w:top w:w="0" w:type="dxa"/>
                    <w:left w:w="57" w:type="dxa"/>
                    <w:bottom w:w="0" w:type="dxa"/>
                    <w:right w:w="57" w:type="dxa"/>
                  </w:tcMar>
                  <w:vAlign w:val="center"/>
                </w:tcPr>
                <w:p w14:paraId="347209BA">
                  <w:pPr>
                    <w:spacing w:line="0" w:lineRule="atLeast"/>
                    <w:jc w:val="center"/>
                    <w:rPr>
                      <w:bCs/>
                      <w:color w:val="auto"/>
                    </w:rPr>
                  </w:pPr>
                  <w:r>
                    <w:rPr>
                      <w:rFonts w:hint="eastAsia"/>
                      <w:b/>
                      <w:color w:val="auto"/>
                    </w:rPr>
                    <w:t>达标情况</w:t>
                  </w:r>
                </w:p>
              </w:tc>
            </w:tr>
            <w:tr w14:paraId="02BD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537" w:type="dxa"/>
                  <w:vMerge w:val="continue"/>
                  <w:tcBorders>
                    <w:tl2br w:val="nil"/>
                    <w:tr2bl w:val="nil"/>
                  </w:tcBorders>
                  <w:shd w:val="clear" w:color="auto" w:fill="auto"/>
                  <w:tcMar>
                    <w:top w:w="0" w:type="dxa"/>
                    <w:left w:w="57" w:type="dxa"/>
                    <w:bottom w:w="0" w:type="dxa"/>
                    <w:right w:w="57" w:type="dxa"/>
                  </w:tcMar>
                  <w:vAlign w:val="center"/>
                </w:tcPr>
                <w:p w14:paraId="46EE88F8">
                  <w:pPr>
                    <w:spacing w:line="0" w:lineRule="atLeast"/>
                    <w:jc w:val="center"/>
                    <w:rPr>
                      <w:b/>
                      <w:color w:val="auto"/>
                    </w:rPr>
                  </w:pPr>
                </w:p>
              </w:tc>
              <w:tc>
                <w:tcPr>
                  <w:tcW w:w="592" w:type="dxa"/>
                  <w:vMerge w:val="continue"/>
                  <w:tcBorders>
                    <w:tl2br w:val="nil"/>
                    <w:tr2bl w:val="nil"/>
                  </w:tcBorders>
                  <w:shd w:val="clear" w:color="auto" w:fill="auto"/>
                  <w:tcMar>
                    <w:top w:w="0" w:type="dxa"/>
                    <w:left w:w="57" w:type="dxa"/>
                    <w:bottom w:w="0" w:type="dxa"/>
                    <w:right w:w="57" w:type="dxa"/>
                  </w:tcMar>
                  <w:vAlign w:val="center"/>
                </w:tcPr>
                <w:p w14:paraId="6F3F5E30">
                  <w:pPr>
                    <w:spacing w:line="0" w:lineRule="atLeast"/>
                    <w:jc w:val="center"/>
                    <w:rPr>
                      <w:b/>
                      <w:color w:val="auto"/>
                    </w:rPr>
                  </w:pPr>
                </w:p>
              </w:tc>
              <w:tc>
                <w:tcPr>
                  <w:tcW w:w="424" w:type="dxa"/>
                  <w:vMerge w:val="continue"/>
                  <w:tcBorders>
                    <w:tl2br w:val="nil"/>
                    <w:tr2bl w:val="nil"/>
                  </w:tcBorders>
                  <w:shd w:val="clear" w:color="auto" w:fill="auto"/>
                  <w:tcMar>
                    <w:top w:w="0" w:type="dxa"/>
                    <w:left w:w="57" w:type="dxa"/>
                    <w:bottom w:w="0" w:type="dxa"/>
                    <w:right w:w="57" w:type="dxa"/>
                  </w:tcMar>
                  <w:vAlign w:val="center"/>
                </w:tcPr>
                <w:p w14:paraId="53753DD1">
                  <w:pPr>
                    <w:spacing w:line="0" w:lineRule="atLeast"/>
                    <w:jc w:val="center"/>
                    <w:rPr>
                      <w:b/>
                      <w:color w:val="auto"/>
                    </w:rPr>
                  </w:pPr>
                </w:p>
              </w:tc>
              <w:tc>
                <w:tcPr>
                  <w:tcW w:w="426" w:type="dxa"/>
                  <w:vMerge w:val="continue"/>
                  <w:tcBorders>
                    <w:tl2br w:val="nil"/>
                    <w:tr2bl w:val="nil"/>
                  </w:tcBorders>
                  <w:shd w:val="clear" w:color="auto" w:fill="auto"/>
                  <w:tcMar>
                    <w:top w:w="0" w:type="dxa"/>
                    <w:left w:w="57" w:type="dxa"/>
                    <w:bottom w:w="0" w:type="dxa"/>
                    <w:right w:w="57" w:type="dxa"/>
                  </w:tcMar>
                  <w:vAlign w:val="center"/>
                </w:tcPr>
                <w:p w14:paraId="5DF71791">
                  <w:pPr>
                    <w:spacing w:line="0" w:lineRule="atLeast"/>
                    <w:jc w:val="center"/>
                    <w:rPr>
                      <w:b/>
                      <w:color w:val="auto"/>
                    </w:rPr>
                  </w:pPr>
                </w:p>
              </w:tc>
              <w:tc>
                <w:tcPr>
                  <w:tcW w:w="482" w:type="dxa"/>
                  <w:vMerge w:val="continue"/>
                  <w:tcBorders>
                    <w:tl2br w:val="nil"/>
                    <w:tr2bl w:val="nil"/>
                  </w:tcBorders>
                  <w:shd w:val="clear" w:color="auto" w:fill="auto"/>
                  <w:tcMar>
                    <w:top w:w="0" w:type="dxa"/>
                    <w:left w:w="57" w:type="dxa"/>
                    <w:bottom w:w="0" w:type="dxa"/>
                    <w:right w:w="57" w:type="dxa"/>
                  </w:tcMar>
                  <w:vAlign w:val="center"/>
                </w:tcPr>
                <w:p w14:paraId="5E6D4A1D">
                  <w:pPr>
                    <w:spacing w:line="0" w:lineRule="atLeast"/>
                    <w:jc w:val="center"/>
                    <w:rPr>
                      <w:b/>
                      <w:color w:val="auto"/>
                    </w:rPr>
                  </w:pPr>
                </w:p>
              </w:tc>
              <w:tc>
                <w:tcPr>
                  <w:tcW w:w="1163" w:type="dxa"/>
                  <w:tcBorders>
                    <w:tl2br w:val="nil"/>
                    <w:tr2bl w:val="nil"/>
                  </w:tcBorders>
                  <w:shd w:val="clear" w:color="auto" w:fill="auto"/>
                  <w:tcMar>
                    <w:top w:w="0" w:type="dxa"/>
                    <w:left w:w="57" w:type="dxa"/>
                    <w:bottom w:w="0" w:type="dxa"/>
                    <w:right w:w="57" w:type="dxa"/>
                  </w:tcMar>
                  <w:vAlign w:val="center"/>
                </w:tcPr>
                <w:p w14:paraId="3F0454F1">
                  <w:pPr>
                    <w:spacing w:line="0" w:lineRule="atLeast"/>
                    <w:jc w:val="center"/>
                    <w:rPr>
                      <w:b/>
                      <w:color w:val="auto"/>
                    </w:rPr>
                  </w:pPr>
                  <w:r>
                    <w:rPr>
                      <w:rFonts w:hint="eastAsia"/>
                      <w:b/>
                      <w:color w:val="auto"/>
                    </w:rPr>
                    <w:t>产生浓度（mg/m</w:t>
                  </w:r>
                  <w:r>
                    <w:rPr>
                      <w:rFonts w:hint="eastAsia"/>
                      <w:b/>
                      <w:color w:val="auto"/>
                      <w:vertAlign w:val="superscript"/>
                    </w:rPr>
                    <w:t>3</w:t>
                  </w:r>
                  <w:r>
                    <w:rPr>
                      <w:rFonts w:hint="eastAsia"/>
                      <w:b/>
                      <w:color w:val="auto"/>
                    </w:rPr>
                    <w:t>）</w:t>
                  </w:r>
                </w:p>
              </w:tc>
              <w:tc>
                <w:tcPr>
                  <w:tcW w:w="923" w:type="dxa"/>
                  <w:tcBorders>
                    <w:tl2br w:val="nil"/>
                    <w:tr2bl w:val="nil"/>
                  </w:tcBorders>
                  <w:shd w:val="clear" w:color="auto" w:fill="auto"/>
                  <w:tcMar>
                    <w:top w:w="0" w:type="dxa"/>
                    <w:left w:w="57" w:type="dxa"/>
                    <w:bottom w:w="0" w:type="dxa"/>
                    <w:right w:w="57" w:type="dxa"/>
                  </w:tcMar>
                  <w:vAlign w:val="center"/>
                </w:tcPr>
                <w:p w14:paraId="3CAD754C">
                  <w:pPr>
                    <w:spacing w:line="0" w:lineRule="atLeast"/>
                    <w:jc w:val="center"/>
                    <w:rPr>
                      <w:b/>
                      <w:color w:val="auto"/>
                    </w:rPr>
                  </w:pPr>
                  <w:r>
                    <w:rPr>
                      <w:rFonts w:hint="eastAsia"/>
                      <w:b/>
                      <w:color w:val="auto"/>
                    </w:rPr>
                    <w:t>产生速率(kg/h)</w:t>
                  </w:r>
                </w:p>
              </w:tc>
              <w:tc>
                <w:tcPr>
                  <w:tcW w:w="962" w:type="dxa"/>
                  <w:tcBorders>
                    <w:tl2br w:val="nil"/>
                    <w:tr2bl w:val="nil"/>
                  </w:tcBorders>
                  <w:shd w:val="clear" w:color="auto" w:fill="auto"/>
                  <w:tcMar>
                    <w:top w:w="0" w:type="dxa"/>
                    <w:left w:w="57" w:type="dxa"/>
                    <w:bottom w:w="0" w:type="dxa"/>
                    <w:right w:w="57" w:type="dxa"/>
                  </w:tcMar>
                  <w:vAlign w:val="center"/>
                </w:tcPr>
                <w:p w14:paraId="417FFA85">
                  <w:pPr>
                    <w:spacing w:line="0" w:lineRule="atLeast"/>
                    <w:jc w:val="center"/>
                    <w:rPr>
                      <w:b/>
                      <w:color w:val="auto"/>
                    </w:rPr>
                  </w:pPr>
                  <w:r>
                    <w:rPr>
                      <w:rFonts w:hint="eastAsia"/>
                      <w:b/>
                      <w:color w:val="auto"/>
                    </w:rPr>
                    <w:t>产生量（t/a）</w:t>
                  </w:r>
                </w:p>
              </w:tc>
              <w:tc>
                <w:tcPr>
                  <w:tcW w:w="482" w:type="dxa"/>
                  <w:tcBorders>
                    <w:tl2br w:val="nil"/>
                    <w:tr2bl w:val="nil"/>
                  </w:tcBorders>
                  <w:shd w:val="clear" w:color="auto" w:fill="auto"/>
                  <w:tcMar>
                    <w:top w:w="0" w:type="dxa"/>
                    <w:left w:w="57" w:type="dxa"/>
                    <w:bottom w:w="0" w:type="dxa"/>
                    <w:right w:w="57" w:type="dxa"/>
                  </w:tcMar>
                  <w:vAlign w:val="center"/>
                </w:tcPr>
                <w:p w14:paraId="558065D5">
                  <w:pPr>
                    <w:spacing w:line="0" w:lineRule="atLeast"/>
                    <w:jc w:val="center"/>
                    <w:rPr>
                      <w:b/>
                      <w:color w:val="auto"/>
                    </w:rPr>
                  </w:pPr>
                  <w:r>
                    <w:rPr>
                      <w:rFonts w:hint="eastAsia"/>
                      <w:b/>
                      <w:color w:val="auto"/>
                    </w:rPr>
                    <w:t>收集效率</w:t>
                  </w:r>
                </w:p>
              </w:tc>
              <w:tc>
                <w:tcPr>
                  <w:tcW w:w="482" w:type="dxa"/>
                  <w:tcBorders>
                    <w:tl2br w:val="nil"/>
                    <w:tr2bl w:val="nil"/>
                  </w:tcBorders>
                  <w:shd w:val="clear" w:color="auto" w:fill="auto"/>
                  <w:tcMar>
                    <w:top w:w="0" w:type="dxa"/>
                    <w:left w:w="57" w:type="dxa"/>
                    <w:bottom w:w="0" w:type="dxa"/>
                    <w:right w:w="57" w:type="dxa"/>
                  </w:tcMar>
                  <w:vAlign w:val="center"/>
                </w:tcPr>
                <w:p w14:paraId="2849E532">
                  <w:pPr>
                    <w:spacing w:line="0" w:lineRule="atLeast"/>
                    <w:jc w:val="center"/>
                    <w:rPr>
                      <w:b/>
                      <w:color w:val="auto"/>
                    </w:rPr>
                  </w:pPr>
                  <w:r>
                    <w:rPr>
                      <w:rFonts w:hint="eastAsia"/>
                      <w:b/>
                      <w:color w:val="auto"/>
                    </w:rPr>
                    <w:t>治理工艺</w:t>
                  </w:r>
                </w:p>
              </w:tc>
              <w:tc>
                <w:tcPr>
                  <w:tcW w:w="482" w:type="dxa"/>
                  <w:tcBorders>
                    <w:tl2br w:val="nil"/>
                    <w:tr2bl w:val="nil"/>
                  </w:tcBorders>
                  <w:shd w:val="clear" w:color="auto" w:fill="auto"/>
                  <w:tcMar>
                    <w:top w:w="0" w:type="dxa"/>
                    <w:left w:w="57" w:type="dxa"/>
                    <w:bottom w:w="0" w:type="dxa"/>
                    <w:right w:w="57" w:type="dxa"/>
                  </w:tcMar>
                  <w:vAlign w:val="center"/>
                </w:tcPr>
                <w:p w14:paraId="365B40F2">
                  <w:pPr>
                    <w:spacing w:line="0" w:lineRule="atLeast"/>
                    <w:jc w:val="center"/>
                    <w:rPr>
                      <w:b/>
                      <w:color w:val="auto"/>
                    </w:rPr>
                  </w:pPr>
                  <w:r>
                    <w:rPr>
                      <w:rFonts w:hint="eastAsia"/>
                      <w:b/>
                      <w:color w:val="auto"/>
                    </w:rPr>
                    <w:t>去除效率</w:t>
                  </w:r>
                </w:p>
              </w:tc>
              <w:tc>
                <w:tcPr>
                  <w:tcW w:w="594" w:type="dxa"/>
                  <w:tcBorders>
                    <w:tl2br w:val="nil"/>
                    <w:tr2bl w:val="nil"/>
                  </w:tcBorders>
                  <w:shd w:val="clear" w:color="auto" w:fill="auto"/>
                  <w:tcMar>
                    <w:top w:w="0" w:type="dxa"/>
                    <w:left w:w="57" w:type="dxa"/>
                    <w:bottom w:w="0" w:type="dxa"/>
                    <w:right w:w="57" w:type="dxa"/>
                  </w:tcMar>
                  <w:vAlign w:val="center"/>
                </w:tcPr>
                <w:p w14:paraId="3D1EE708">
                  <w:pPr>
                    <w:spacing w:line="0" w:lineRule="atLeast"/>
                    <w:jc w:val="center"/>
                    <w:rPr>
                      <w:b/>
                      <w:color w:val="auto"/>
                    </w:rPr>
                  </w:pPr>
                  <w:r>
                    <w:rPr>
                      <w:rFonts w:hint="eastAsia"/>
                      <w:b/>
                      <w:color w:val="auto"/>
                    </w:rPr>
                    <w:t>是否可行技术</w:t>
                  </w:r>
                </w:p>
              </w:tc>
              <w:tc>
                <w:tcPr>
                  <w:tcW w:w="1163" w:type="dxa"/>
                  <w:tcBorders>
                    <w:tl2br w:val="nil"/>
                    <w:tr2bl w:val="nil"/>
                  </w:tcBorders>
                  <w:shd w:val="clear" w:color="auto" w:fill="auto"/>
                  <w:tcMar>
                    <w:top w:w="0" w:type="dxa"/>
                    <w:left w:w="57" w:type="dxa"/>
                    <w:bottom w:w="0" w:type="dxa"/>
                    <w:right w:w="57" w:type="dxa"/>
                  </w:tcMar>
                  <w:vAlign w:val="center"/>
                </w:tcPr>
                <w:p w14:paraId="1F6CB051">
                  <w:pPr>
                    <w:spacing w:line="0" w:lineRule="atLeast"/>
                    <w:jc w:val="center"/>
                    <w:rPr>
                      <w:b/>
                      <w:color w:val="auto"/>
                    </w:rPr>
                  </w:pPr>
                  <w:r>
                    <w:rPr>
                      <w:rFonts w:hint="eastAsia"/>
                      <w:b/>
                      <w:color w:val="auto"/>
                    </w:rPr>
                    <w:t>排放浓度（mg/m</w:t>
                  </w:r>
                  <w:r>
                    <w:rPr>
                      <w:rFonts w:hint="eastAsia"/>
                      <w:b/>
                      <w:color w:val="auto"/>
                      <w:vertAlign w:val="superscript"/>
                    </w:rPr>
                    <w:t>3</w:t>
                  </w:r>
                  <w:r>
                    <w:rPr>
                      <w:rFonts w:hint="eastAsia"/>
                      <w:b/>
                      <w:color w:val="auto"/>
                    </w:rPr>
                    <w:t>）</w:t>
                  </w:r>
                </w:p>
              </w:tc>
              <w:tc>
                <w:tcPr>
                  <w:tcW w:w="1115" w:type="dxa"/>
                  <w:tcBorders>
                    <w:tl2br w:val="nil"/>
                    <w:tr2bl w:val="nil"/>
                  </w:tcBorders>
                  <w:shd w:val="clear" w:color="auto" w:fill="auto"/>
                  <w:tcMar>
                    <w:top w:w="0" w:type="dxa"/>
                    <w:left w:w="57" w:type="dxa"/>
                    <w:bottom w:w="0" w:type="dxa"/>
                    <w:right w:w="57" w:type="dxa"/>
                  </w:tcMar>
                  <w:vAlign w:val="center"/>
                </w:tcPr>
                <w:p w14:paraId="68EE69B3">
                  <w:pPr>
                    <w:spacing w:line="0" w:lineRule="atLeast"/>
                    <w:jc w:val="center"/>
                    <w:rPr>
                      <w:b/>
                      <w:color w:val="auto"/>
                    </w:rPr>
                  </w:pPr>
                  <w:r>
                    <w:rPr>
                      <w:rFonts w:hint="eastAsia"/>
                      <w:b/>
                      <w:color w:val="auto"/>
                    </w:rPr>
                    <w:t>排放速率（kg/h）</w:t>
                  </w:r>
                </w:p>
              </w:tc>
              <w:tc>
                <w:tcPr>
                  <w:tcW w:w="962" w:type="dxa"/>
                  <w:tcBorders>
                    <w:tl2br w:val="nil"/>
                    <w:tr2bl w:val="nil"/>
                  </w:tcBorders>
                  <w:shd w:val="clear" w:color="auto" w:fill="auto"/>
                  <w:tcMar>
                    <w:top w:w="0" w:type="dxa"/>
                    <w:left w:w="57" w:type="dxa"/>
                    <w:bottom w:w="0" w:type="dxa"/>
                    <w:right w:w="57" w:type="dxa"/>
                  </w:tcMar>
                  <w:vAlign w:val="center"/>
                </w:tcPr>
                <w:p w14:paraId="7BC9F4DB">
                  <w:pPr>
                    <w:spacing w:line="0" w:lineRule="atLeast"/>
                    <w:jc w:val="center"/>
                    <w:rPr>
                      <w:b/>
                      <w:color w:val="auto"/>
                    </w:rPr>
                  </w:pPr>
                  <w:r>
                    <w:rPr>
                      <w:rFonts w:hint="eastAsia"/>
                      <w:b/>
                      <w:color w:val="auto"/>
                    </w:rPr>
                    <w:t>排放量（t/a）</w:t>
                  </w:r>
                </w:p>
              </w:tc>
              <w:tc>
                <w:tcPr>
                  <w:tcW w:w="1163" w:type="dxa"/>
                  <w:tcBorders>
                    <w:tl2br w:val="nil"/>
                    <w:tr2bl w:val="nil"/>
                  </w:tcBorders>
                  <w:shd w:val="clear" w:color="auto" w:fill="auto"/>
                  <w:tcMar>
                    <w:top w:w="0" w:type="dxa"/>
                    <w:left w:w="57" w:type="dxa"/>
                    <w:bottom w:w="0" w:type="dxa"/>
                    <w:right w:w="57" w:type="dxa"/>
                  </w:tcMar>
                  <w:vAlign w:val="center"/>
                </w:tcPr>
                <w:p w14:paraId="70C5C9DD">
                  <w:pPr>
                    <w:spacing w:line="0" w:lineRule="atLeast"/>
                    <w:jc w:val="center"/>
                    <w:rPr>
                      <w:b/>
                      <w:color w:val="auto"/>
                    </w:rPr>
                  </w:pPr>
                  <w:r>
                    <w:rPr>
                      <w:rFonts w:hint="eastAsia"/>
                      <w:b/>
                      <w:color w:val="auto"/>
                    </w:rPr>
                    <w:t>排放浓度（mg/m</w:t>
                  </w:r>
                  <w:r>
                    <w:rPr>
                      <w:rFonts w:hint="eastAsia"/>
                      <w:b/>
                      <w:color w:val="auto"/>
                      <w:vertAlign w:val="superscript"/>
                    </w:rPr>
                    <w:t>3</w:t>
                  </w:r>
                  <w:r>
                    <w:rPr>
                      <w:rFonts w:hint="eastAsia"/>
                      <w:b/>
                      <w:color w:val="auto"/>
                    </w:rPr>
                    <w:t>）</w:t>
                  </w:r>
                </w:p>
              </w:tc>
              <w:tc>
                <w:tcPr>
                  <w:tcW w:w="1115" w:type="dxa"/>
                  <w:tcBorders>
                    <w:tl2br w:val="nil"/>
                    <w:tr2bl w:val="nil"/>
                  </w:tcBorders>
                  <w:shd w:val="clear" w:color="auto" w:fill="auto"/>
                  <w:tcMar>
                    <w:top w:w="0" w:type="dxa"/>
                    <w:left w:w="57" w:type="dxa"/>
                    <w:bottom w:w="0" w:type="dxa"/>
                    <w:right w:w="57" w:type="dxa"/>
                  </w:tcMar>
                  <w:vAlign w:val="center"/>
                </w:tcPr>
                <w:p w14:paraId="6878D0AA">
                  <w:pPr>
                    <w:spacing w:line="0" w:lineRule="atLeast"/>
                    <w:jc w:val="center"/>
                    <w:rPr>
                      <w:b/>
                      <w:color w:val="auto"/>
                    </w:rPr>
                  </w:pPr>
                  <w:r>
                    <w:rPr>
                      <w:rFonts w:hint="eastAsia"/>
                      <w:b/>
                      <w:color w:val="auto"/>
                    </w:rPr>
                    <w:t>排放速率（kg/h）</w:t>
                  </w:r>
                </w:p>
              </w:tc>
              <w:tc>
                <w:tcPr>
                  <w:tcW w:w="482" w:type="dxa"/>
                  <w:vMerge w:val="continue"/>
                  <w:tcBorders>
                    <w:tl2br w:val="nil"/>
                    <w:tr2bl w:val="nil"/>
                  </w:tcBorders>
                  <w:shd w:val="clear" w:color="auto" w:fill="auto"/>
                  <w:tcMar>
                    <w:top w:w="0" w:type="dxa"/>
                    <w:left w:w="57" w:type="dxa"/>
                    <w:bottom w:w="0" w:type="dxa"/>
                    <w:right w:w="57" w:type="dxa"/>
                  </w:tcMar>
                  <w:vAlign w:val="center"/>
                </w:tcPr>
                <w:p w14:paraId="10111B87">
                  <w:pPr>
                    <w:spacing w:line="0" w:lineRule="atLeast"/>
                    <w:jc w:val="center"/>
                    <w:rPr>
                      <w:bCs/>
                      <w:color w:val="auto"/>
                    </w:rPr>
                  </w:pPr>
                </w:p>
              </w:tc>
            </w:tr>
            <w:tr w14:paraId="210C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37" w:type="dxa"/>
                  <w:vMerge w:val="restart"/>
                  <w:tcBorders>
                    <w:tl2br w:val="nil"/>
                    <w:tr2bl w:val="nil"/>
                  </w:tcBorders>
                  <w:shd w:val="clear" w:color="auto" w:fill="auto"/>
                  <w:tcMar>
                    <w:top w:w="0" w:type="dxa"/>
                    <w:left w:w="57" w:type="dxa"/>
                    <w:bottom w:w="0" w:type="dxa"/>
                    <w:right w:w="57" w:type="dxa"/>
                  </w:tcMar>
                  <w:vAlign w:val="center"/>
                </w:tcPr>
                <w:p w14:paraId="6F7DC624">
                  <w:pPr>
                    <w:spacing w:line="0" w:lineRule="atLeast"/>
                    <w:jc w:val="center"/>
                    <w:rPr>
                      <w:bCs/>
                      <w:color w:val="auto"/>
                    </w:rPr>
                  </w:pPr>
                  <w:r>
                    <w:rPr>
                      <w:rFonts w:hint="eastAsia"/>
                      <w:bCs/>
                      <w:color w:val="auto"/>
                    </w:rPr>
                    <w:t>FQ-1</w:t>
                  </w:r>
                </w:p>
              </w:tc>
              <w:tc>
                <w:tcPr>
                  <w:tcW w:w="592" w:type="dxa"/>
                  <w:tcBorders>
                    <w:tl2br w:val="nil"/>
                    <w:tr2bl w:val="nil"/>
                  </w:tcBorders>
                  <w:shd w:val="clear" w:color="auto" w:fill="auto"/>
                  <w:tcMar>
                    <w:top w:w="0" w:type="dxa"/>
                    <w:left w:w="57" w:type="dxa"/>
                    <w:bottom w:w="0" w:type="dxa"/>
                    <w:right w:w="57" w:type="dxa"/>
                  </w:tcMar>
                  <w:vAlign w:val="center"/>
                </w:tcPr>
                <w:p w14:paraId="0F4687E7">
                  <w:pPr>
                    <w:spacing w:line="0" w:lineRule="atLeast"/>
                    <w:jc w:val="center"/>
                    <w:rPr>
                      <w:bCs/>
                      <w:color w:val="auto"/>
                    </w:rPr>
                  </w:pPr>
                  <w:r>
                    <w:rPr>
                      <w:rFonts w:hint="eastAsia"/>
                      <w:bCs/>
                      <w:color w:val="auto"/>
                    </w:rPr>
                    <w:t>二级活性炭吸附装置</w:t>
                  </w:r>
                </w:p>
              </w:tc>
              <w:tc>
                <w:tcPr>
                  <w:tcW w:w="424" w:type="dxa"/>
                  <w:tcBorders>
                    <w:tl2br w:val="nil"/>
                    <w:tr2bl w:val="nil"/>
                  </w:tcBorders>
                  <w:shd w:val="clear" w:color="auto" w:fill="auto"/>
                  <w:tcMar>
                    <w:top w:w="0" w:type="dxa"/>
                    <w:left w:w="57" w:type="dxa"/>
                    <w:bottom w:w="0" w:type="dxa"/>
                    <w:right w:w="57" w:type="dxa"/>
                  </w:tcMar>
                  <w:vAlign w:val="center"/>
                </w:tcPr>
                <w:p w14:paraId="3A27EFF5">
                  <w:pPr>
                    <w:spacing w:line="0" w:lineRule="atLeast"/>
                    <w:jc w:val="center"/>
                    <w:rPr>
                      <w:bCs/>
                      <w:color w:val="auto"/>
                    </w:rPr>
                  </w:pPr>
                  <w:r>
                    <w:rPr>
                      <w:rFonts w:hint="eastAsia"/>
                      <w:bCs/>
                      <w:color w:val="auto"/>
                    </w:rPr>
                    <w:t>清洗</w:t>
                  </w:r>
                </w:p>
              </w:tc>
              <w:tc>
                <w:tcPr>
                  <w:tcW w:w="426" w:type="dxa"/>
                  <w:tcBorders>
                    <w:tl2br w:val="nil"/>
                    <w:tr2bl w:val="nil"/>
                  </w:tcBorders>
                  <w:shd w:val="clear" w:color="auto" w:fill="auto"/>
                  <w:tcMar>
                    <w:top w:w="0" w:type="dxa"/>
                    <w:left w:w="57" w:type="dxa"/>
                    <w:bottom w:w="0" w:type="dxa"/>
                    <w:right w:w="57" w:type="dxa"/>
                  </w:tcMar>
                  <w:vAlign w:val="center"/>
                </w:tcPr>
                <w:p w14:paraId="53DFDC0A">
                  <w:pPr>
                    <w:spacing w:line="0" w:lineRule="atLeast"/>
                    <w:jc w:val="center"/>
                    <w:rPr>
                      <w:bCs/>
                      <w:color w:val="auto"/>
                    </w:rPr>
                  </w:pPr>
                  <w:r>
                    <w:rPr>
                      <w:rFonts w:hint="eastAsia"/>
                      <w:bCs/>
                      <w:color w:val="auto"/>
                    </w:rPr>
                    <w:t>非甲烷总烃</w:t>
                  </w:r>
                </w:p>
              </w:tc>
              <w:tc>
                <w:tcPr>
                  <w:tcW w:w="482" w:type="dxa"/>
                  <w:tcBorders>
                    <w:tl2br w:val="nil"/>
                    <w:tr2bl w:val="nil"/>
                  </w:tcBorders>
                  <w:shd w:val="clear" w:color="auto" w:fill="auto"/>
                  <w:tcMar>
                    <w:top w:w="0" w:type="dxa"/>
                    <w:left w:w="57" w:type="dxa"/>
                    <w:bottom w:w="0" w:type="dxa"/>
                    <w:right w:w="57" w:type="dxa"/>
                  </w:tcMar>
                  <w:vAlign w:val="center"/>
                </w:tcPr>
                <w:p w14:paraId="47F94A52">
                  <w:pPr>
                    <w:spacing w:line="0" w:lineRule="atLeast"/>
                    <w:jc w:val="center"/>
                    <w:rPr>
                      <w:bCs/>
                      <w:color w:val="auto"/>
                    </w:rPr>
                  </w:pPr>
                  <w:r>
                    <w:rPr>
                      <w:rFonts w:hint="eastAsia"/>
                      <w:bCs/>
                      <w:color w:val="auto"/>
                    </w:rPr>
                    <w:t>产</w:t>
                  </w:r>
                </w:p>
                <w:p w14:paraId="5A9945A1">
                  <w:pPr>
                    <w:spacing w:line="0" w:lineRule="atLeast"/>
                    <w:jc w:val="center"/>
                    <w:rPr>
                      <w:bCs/>
                      <w:color w:val="auto"/>
                    </w:rPr>
                  </w:pPr>
                  <w:r>
                    <w:rPr>
                      <w:rFonts w:hint="eastAsia"/>
                      <w:bCs/>
                      <w:color w:val="auto"/>
                    </w:rPr>
                    <w:t>排污系数法</w:t>
                  </w:r>
                </w:p>
              </w:tc>
              <w:tc>
                <w:tcPr>
                  <w:tcW w:w="1163" w:type="dxa"/>
                  <w:tcBorders>
                    <w:tl2br w:val="nil"/>
                    <w:tr2bl w:val="nil"/>
                  </w:tcBorders>
                  <w:shd w:val="clear" w:color="auto" w:fill="auto"/>
                  <w:tcMar>
                    <w:top w:w="0" w:type="dxa"/>
                    <w:left w:w="57" w:type="dxa"/>
                    <w:bottom w:w="0" w:type="dxa"/>
                    <w:right w:w="57" w:type="dxa"/>
                  </w:tcMar>
                  <w:vAlign w:val="center"/>
                </w:tcPr>
                <w:p w14:paraId="3B411497">
                  <w:pPr>
                    <w:spacing w:line="0" w:lineRule="atLeast"/>
                    <w:jc w:val="center"/>
                    <w:rPr>
                      <w:bCs/>
                      <w:color w:val="auto"/>
                    </w:rPr>
                  </w:pPr>
                  <w:r>
                    <w:rPr>
                      <w:rFonts w:hint="eastAsia"/>
                      <w:bCs/>
                      <w:color w:val="auto"/>
                    </w:rPr>
                    <w:t>29.167</w:t>
                  </w:r>
                </w:p>
              </w:tc>
              <w:tc>
                <w:tcPr>
                  <w:tcW w:w="923" w:type="dxa"/>
                  <w:tcBorders>
                    <w:tl2br w:val="nil"/>
                    <w:tr2bl w:val="nil"/>
                  </w:tcBorders>
                  <w:shd w:val="clear" w:color="auto" w:fill="auto"/>
                  <w:tcMar>
                    <w:top w:w="0" w:type="dxa"/>
                    <w:left w:w="57" w:type="dxa"/>
                    <w:bottom w:w="0" w:type="dxa"/>
                    <w:right w:w="57" w:type="dxa"/>
                  </w:tcMar>
                  <w:vAlign w:val="center"/>
                </w:tcPr>
                <w:p w14:paraId="630FB8DC">
                  <w:pPr>
                    <w:spacing w:line="0" w:lineRule="atLeast"/>
                    <w:jc w:val="center"/>
                    <w:rPr>
                      <w:rFonts w:hint="default" w:eastAsia="宋体"/>
                      <w:bCs/>
                      <w:color w:val="auto"/>
                      <w:lang w:val="en-US" w:eastAsia="zh-CN"/>
                    </w:rPr>
                  </w:pPr>
                  <w:r>
                    <w:rPr>
                      <w:rFonts w:hint="eastAsia"/>
                      <w:bCs/>
                      <w:color w:val="auto"/>
                      <w:lang w:val="en-US" w:eastAsia="zh-CN"/>
                    </w:rPr>
                    <w:t>0.291</w:t>
                  </w:r>
                </w:p>
              </w:tc>
              <w:tc>
                <w:tcPr>
                  <w:tcW w:w="962" w:type="dxa"/>
                  <w:tcBorders>
                    <w:tl2br w:val="nil"/>
                    <w:tr2bl w:val="nil"/>
                  </w:tcBorders>
                  <w:shd w:val="clear" w:color="auto" w:fill="auto"/>
                  <w:tcMar>
                    <w:top w:w="0" w:type="dxa"/>
                    <w:left w:w="57" w:type="dxa"/>
                    <w:bottom w:w="0" w:type="dxa"/>
                    <w:right w:w="57" w:type="dxa"/>
                  </w:tcMar>
                  <w:vAlign w:val="center"/>
                </w:tcPr>
                <w:p w14:paraId="16BA0C9F">
                  <w:pPr>
                    <w:spacing w:line="0" w:lineRule="atLeast"/>
                    <w:jc w:val="center"/>
                    <w:rPr>
                      <w:rFonts w:hint="default" w:eastAsia="宋体"/>
                      <w:bCs/>
                      <w:color w:val="auto"/>
                      <w:lang w:val="en-US" w:eastAsia="zh-CN"/>
                    </w:rPr>
                  </w:pPr>
                  <w:r>
                    <w:rPr>
                      <w:rFonts w:hint="eastAsia"/>
                      <w:bCs/>
                      <w:color w:val="auto"/>
                      <w:lang w:val="en-US" w:eastAsia="zh-CN"/>
                    </w:rPr>
                    <w:t>0.7</w:t>
                  </w:r>
                </w:p>
              </w:tc>
              <w:tc>
                <w:tcPr>
                  <w:tcW w:w="482" w:type="dxa"/>
                  <w:tcBorders>
                    <w:tl2br w:val="nil"/>
                    <w:tr2bl w:val="nil"/>
                  </w:tcBorders>
                  <w:shd w:val="clear" w:color="auto" w:fill="auto"/>
                  <w:tcMar>
                    <w:top w:w="0" w:type="dxa"/>
                    <w:left w:w="57" w:type="dxa"/>
                    <w:bottom w:w="0" w:type="dxa"/>
                    <w:right w:w="57" w:type="dxa"/>
                  </w:tcMar>
                  <w:vAlign w:val="center"/>
                </w:tcPr>
                <w:p w14:paraId="798E8B09">
                  <w:pPr>
                    <w:spacing w:line="0" w:lineRule="atLeast"/>
                    <w:jc w:val="center"/>
                    <w:rPr>
                      <w:bCs/>
                      <w:color w:val="auto"/>
                    </w:rPr>
                  </w:pPr>
                  <w:r>
                    <w:rPr>
                      <w:rFonts w:hint="eastAsia"/>
                      <w:bCs/>
                      <w:color w:val="auto"/>
                    </w:rPr>
                    <w:t>90%</w:t>
                  </w:r>
                </w:p>
              </w:tc>
              <w:tc>
                <w:tcPr>
                  <w:tcW w:w="482" w:type="dxa"/>
                  <w:tcBorders>
                    <w:tl2br w:val="nil"/>
                    <w:tr2bl w:val="nil"/>
                  </w:tcBorders>
                  <w:shd w:val="clear" w:color="auto" w:fill="auto"/>
                  <w:tcMar>
                    <w:top w:w="0" w:type="dxa"/>
                    <w:left w:w="57" w:type="dxa"/>
                    <w:bottom w:w="0" w:type="dxa"/>
                    <w:right w:w="57" w:type="dxa"/>
                  </w:tcMar>
                  <w:vAlign w:val="center"/>
                </w:tcPr>
                <w:p w14:paraId="0211BC81">
                  <w:pPr>
                    <w:spacing w:line="0" w:lineRule="atLeast"/>
                    <w:jc w:val="center"/>
                    <w:rPr>
                      <w:bCs/>
                      <w:color w:val="auto"/>
                    </w:rPr>
                  </w:pPr>
                  <w:r>
                    <w:rPr>
                      <w:rFonts w:hint="eastAsia"/>
                      <w:bCs/>
                      <w:color w:val="auto"/>
                    </w:rPr>
                    <w:t>二级活性炭吸附</w:t>
                  </w:r>
                </w:p>
              </w:tc>
              <w:tc>
                <w:tcPr>
                  <w:tcW w:w="482" w:type="dxa"/>
                  <w:tcBorders>
                    <w:tl2br w:val="nil"/>
                    <w:tr2bl w:val="nil"/>
                  </w:tcBorders>
                  <w:shd w:val="clear" w:color="auto" w:fill="auto"/>
                  <w:tcMar>
                    <w:top w:w="0" w:type="dxa"/>
                    <w:left w:w="57" w:type="dxa"/>
                    <w:bottom w:w="0" w:type="dxa"/>
                    <w:right w:w="57" w:type="dxa"/>
                  </w:tcMar>
                  <w:vAlign w:val="center"/>
                </w:tcPr>
                <w:p w14:paraId="49E36115">
                  <w:pPr>
                    <w:spacing w:line="0" w:lineRule="atLeast"/>
                    <w:jc w:val="center"/>
                    <w:rPr>
                      <w:bCs/>
                      <w:color w:val="auto"/>
                    </w:rPr>
                  </w:pPr>
                  <w:r>
                    <w:rPr>
                      <w:rFonts w:hint="eastAsia"/>
                      <w:bCs/>
                      <w:color w:val="auto"/>
                    </w:rPr>
                    <w:t>90%</w:t>
                  </w:r>
                </w:p>
              </w:tc>
              <w:tc>
                <w:tcPr>
                  <w:tcW w:w="594" w:type="dxa"/>
                  <w:tcBorders>
                    <w:tl2br w:val="nil"/>
                    <w:tr2bl w:val="nil"/>
                  </w:tcBorders>
                  <w:shd w:val="clear" w:color="auto" w:fill="auto"/>
                  <w:tcMar>
                    <w:top w:w="0" w:type="dxa"/>
                    <w:left w:w="57" w:type="dxa"/>
                    <w:bottom w:w="0" w:type="dxa"/>
                    <w:right w:w="57" w:type="dxa"/>
                  </w:tcMar>
                  <w:vAlign w:val="center"/>
                </w:tcPr>
                <w:p w14:paraId="6CFA481E">
                  <w:pPr>
                    <w:spacing w:line="0" w:lineRule="atLeast"/>
                    <w:jc w:val="center"/>
                    <w:rPr>
                      <w:bCs/>
                      <w:color w:val="auto"/>
                    </w:rPr>
                  </w:pPr>
                  <w:r>
                    <w:rPr>
                      <w:rFonts w:hint="eastAsia"/>
                      <w:bCs/>
                      <w:color w:val="auto"/>
                    </w:rPr>
                    <w:t>是</w:t>
                  </w:r>
                </w:p>
              </w:tc>
              <w:tc>
                <w:tcPr>
                  <w:tcW w:w="1163" w:type="dxa"/>
                  <w:vMerge w:val="restart"/>
                  <w:tcBorders>
                    <w:tl2br w:val="nil"/>
                    <w:tr2bl w:val="nil"/>
                  </w:tcBorders>
                  <w:shd w:val="clear" w:color="auto" w:fill="auto"/>
                  <w:tcMar>
                    <w:top w:w="0" w:type="dxa"/>
                    <w:left w:w="57" w:type="dxa"/>
                    <w:bottom w:w="0" w:type="dxa"/>
                    <w:right w:w="57" w:type="dxa"/>
                  </w:tcMar>
                  <w:vAlign w:val="center"/>
                </w:tcPr>
                <w:p w14:paraId="342C3121">
                  <w:pPr>
                    <w:spacing w:line="0" w:lineRule="atLeast"/>
                    <w:jc w:val="center"/>
                    <w:rPr>
                      <w:bCs/>
                      <w:color w:val="auto"/>
                    </w:rPr>
                  </w:pPr>
                  <w:r>
                    <w:rPr>
                      <w:rFonts w:hint="eastAsia"/>
                      <w:bCs/>
                      <w:color w:val="auto"/>
                    </w:rPr>
                    <w:t>2.813</w:t>
                  </w:r>
                </w:p>
              </w:tc>
              <w:tc>
                <w:tcPr>
                  <w:tcW w:w="1115" w:type="dxa"/>
                  <w:vMerge w:val="restart"/>
                  <w:tcBorders>
                    <w:tl2br w:val="nil"/>
                    <w:tr2bl w:val="nil"/>
                  </w:tcBorders>
                  <w:shd w:val="clear" w:color="auto" w:fill="auto"/>
                  <w:tcMar>
                    <w:top w:w="0" w:type="dxa"/>
                    <w:left w:w="57" w:type="dxa"/>
                    <w:bottom w:w="0" w:type="dxa"/>
                    <w:right w:w="57" w:type="dxa"/>
                  </w:tcMar>
                  <w:vAlign w:val="center"/>
                </w:tcPr>
                <w:p w14:paraId="01B3A8EB">
                  <w:pPr>
                    <w:spacing w:line="0" w:lineRule="atLeast"/>
                    <w:jc w:val="center"/>
                    <w:rPr>
                      <w:bCs/>
                      <w:color w:val="auto"/>
                    </w:rPr>
                  </w:pPr>
                  <w:r>
                    <w:rPr>
                      <w:rFonts w:hint="eastAsia"/>
                      <w:bCs/>
                      <w:color w:val="auto"/>
                    </w:rPr>
                    <w:t>0.058</w:t>
                  </w:r>
                </w:p>
              </w:tc>
              <w:tc>
                <w:tcPr>
                  <w:tcW w:w="962" w:type="dxa"/>
                  <w:vMerge w:val="restart"/>
                  <w:tcBorders>
                    <w:tl2br w:val="nil"/>
                    <w:tr2bl w:val="nil"/>
                  </w:tcBorders>
                  <w:shd w:val="clear" w:color="auto" w:fill="auto"/>
                  <w:tcMar>
                    <w:top w:w="0" w:type="dxa"/>
                    <w:left w:w="57" w:type="dxa"/>
                    <w:bottom w:w="0" w:type="dxa"/>
                    <w:right w:w="57" w:type="dxa"/>
                  </w:tcMar>
                  <w:vAlign w:val="center"/>
                </w:tcPr>
                <w:p w14:paraId="4F5E8F25">
                  <w:pPr>
                    <w:spacing w:line="0" w:lineRule="atLeast"/>
                    <w:jc w:val="center"/>
                    <w:rPr>
                      <w:bCs/>
                      <w:color w:val="auto"/>
                    </w:rPr>
                  </w:pPr>
                  <w:r>
                    <w:rPr>
                      <w:rFonts w:hint="eastAsia"/>
                      <w:bCs/>
                      <w:color w:val="auto"/>
                    </w:rPr>
                    <w:t>0.1</w:t>
                  </w:r>
                  <w:r>
                    <w:rPr>
                      <w:rFonts w:hint="eastAsia"/>
                      <w:color w:val="auto"/>
                    </w:rPr>
                    <w:t>4</w:t>
                  </w:r>
                </w:p>
              </w:tc>
              <w:tc>
                <w:tcPr>
                  <w:tcW w:w="1163" w:type="dxa"/>
                  <w:vMerge w:val="restart"/>
                  <w:tcBorders>
                    <w:tl2br w:val="nil"/>
                    <w:tr2bl w:val="nil"/>
                  </w:tcBorders>
                  <w:shd w:val="clear" w:color="auto" w:fill="auto"/>
                  <w:tcMar>
                    <w:top w:w="0" w:type="dxa"/>
                    <w:left w:w="57" w:type="dxa"/>
                    <w:bottom w:w="0" w:type="dxa"/>
                    <w:right w:w="57" w:type="dxa"/>
                  </w:tcMar>
                  <w:vAlign w:val="center"/>
                </w:tcPr>
                <w:p w14:paraId="39A74FA6">
                  <w:pPr>
                    <w:spacing w:line="0" w:lineRule="atLeast"/>
                    <w:jc w:val="center"/>
                    <w:rPr>
                      <w:bCs/>
                      <w:color w:val="auto"/>
                    </w:rPr>
                  </w:pPr>
                  <w:r>
                    <w:rPr>
                      <w:rFonts w:hint="eastAsia"/>
                      <w:bCs/>
                      <w:color w:val="auto"/>
                    </w:rPr>
                    <w:t>60</w:t>
                  </w:r>
                </w:p>
              </w:tc>
              <w:tc>
                <w:tcPr>
                  <w:tcW w:w="1115" w:type="dxa"/>
                  <w:vMerge w:val="restart"/>
                  <w:tcBorders>
                    <w:tl2br w:val="nil"/>
                    <w:tr2bl w:val="nil"/>
                  </w:tcBorders>
                  <w:shd w:val="clear" w:color="auto" w:fill="auto"/>
                  <w:tcMar>
                    <w:top w:w="0" w:type="dxa"/>
                    <w:left w:w="57" w:type="dxa"/>
                    <w:bottom w:w="0" w:type="dxa"/>
                    <w:right w:w="57" w:type="dxa"/>
                  </w:tcMar>
                  <w:vAlign w:val="center"/>
                </w:tcPr>
                <w:p w14:paraId="54F72745">
                  <w:pPr>
                    <w:spacing w:line="0" w:lineRule="atLeast"/>
                    <w:jc w:val="center"/>
                    <w:rPr>
                      <w:bCs/>
                      <w:color w:val="auto"/>
                    </w:rPr>
                  </w:pPr>
                  <w:r>
                    <w:rPr>
                      <w:rFonts w:hint="eastAsia"/>
                      <w:bCs/>
                      <w:color w:val="auto"/>
                    </w:rPr>
                    <w:t>3</w:t>
                  </w:r>
                </w:p>
              </w:tc>
              <w:tc>
                <w:tcPr>
                  <w:tcW w:w="482" w:type="dxa"/>
                  <w:vMerge w:val="restart"/>
                  <w:tcBorders>
                    <w:tl2br w:val="nil"/>
                    <w:tr2bl w:val="nil"/>
                  </w:tcBorders>
                  <w:shd w:val="clear" w:color="auto" w:fill="auto"/>
                  <w:tcMar>
                    <w:top w:w="0" w:type="dxa"/>
                    <w:left w:w="57" w:type="dxa"/>
                    <w:bottom w:w="0" w:type="dxa"/>
                    <w:right w:w="57" w:type="dxa"/>
                  </w:tcMar>
                  <w:vAlign w:val="center"/>
                </w:tcPr>
                <w:p w14:paraId="52827B87">
                  <w:pPr>
                    <w:spacing w:line="0" w:lineRule="atLeast"/>
                    <w:jc w:val="center"/>
                    <w:rPr>
                      <w:bCs/>
                      <w:color w:val="auto"/>
                    </w:rPr>
                  </w:pPr>
                  <w:r>
                    <w:rPr>
                      <w:rFonts w:hint="eastAsia"/>
                      <w:bCs/>
                      <w:color w:val="auto"/>
                    </w:rPr>
                    <w:t>达标排放</w:t>
                  </w:r>
                </w:p>
              </w:tc>
            </w:tr>
            <w:tr w14:paraId="1B84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37" w:type="dxa"/>
                  <w:vMerge w:val="continue"/>
                  <w:tcBorders>
                    <w:tl2br w:val="nil"/>
                    <w:tr2bl w:val="nil"/>
                  </w:tcBorders>
                  <w:shd w:val="clear" w:color="auto" w:fill="auto"/>
                  <w:tcMar>
                    <w:top w:w="0" w:type="dxa"/>
                    <w:left w:w="57" w:type="dxa"/>
                    <w:bottom w:w="0" w:type="dxa"/>
                    <w:right w:w="57" w:type="dxa"/>
                  </w:tcMar>
                  <w:vAlign w:val="center"/>
                </w:tcPr>
                <w:p w14:paraId="78F130A1">
                  <w:pPr>
                    <w:spacing w:line="0" w:lineRule="atLeast"/>
                    <w:jc w:val="center"/>
                    <w:rPr>
                      <w:rFonts w:hint="eastAsia"/>
                      <w:bCs/>
                      <w:color w:val="auto"/>
                    </w:rPr>
                  </w:pPr>
                </w:p>
              </w:tc>
              <w:tc>
                <w:tcPr>
                  <w:tcW w:w="592" w:type="dxa"/>
                  <w:tcBorders>
                    <w:tl2br w:val="nil"/>
                    <w:tr2bl w:val="nil"/>
                  </w:tcBorders>
                  <w:shd w:val="clear" w:color="auto" w:fill="auto"/>
                  <w:tcMar>
                    <w:top w:w="0" w:type="dxa"/>
                    <w:left w:w="57" w:type="dxa"/>
                    <w:bottom w:w="0" w:type="dxa"/>
                    <w:right w:w="57" w:type="dxa"/>
                  </w:tcMar>
                  <w:vAlign w:val="center"/>
                </w:tcPr>
                <w:p w14:paraId="24EC8DFB">
                  <w:pPr>
                    <w:spacing w:line="0" w:lineRule="atLeast"/>
                    <w:jc w:val="center"/>
                    <w:rPr>
                      <w:rFonts w:hint="eastAsia"/>
                      <w:bCs/>
                      <w:color w:val="auto"/>
                    </w:rPr>
                  </w:pPr>
                  <w:r>
                    <w:rPr>
                      <w:rFonts w:hint="eastAsia"/>
                      <w:bCs/>
                      <w:color w:val="auto"/>
                    </w:rPr>
                    <w:t>二级活性炭吸附装置</w:t>
                  </w:r>
                </w:p>
              </w:tc>
              <w:tc>
                <w:tcPr>
                  <w:tcW w:w="424" w:type="dxa"/>
                  <w:tcBorders>
                    <w:tl2br w:val="nil"/>
                    <w:tr2bl w:val="nil"/>
                  </w:tcBorders>
                  <w:shd w:val="clear" w:color="auto" w:fill="auto"/>
                  <w:tcMar>
                    <w:top w:w="0" w:type="dxa"/>
                    <w:left w:w="57" w:type="dxa"/>
                    <w:bottom w:w="0" w:type="dxa"/>
                    <w:right w:w="57" w:type="dxa"/>
                  </w:tcMar>
                  <w:vAlign w:val="center"/>
                </w:tcPr>
                <w:p w14:paraId="46B9BFA8">
                  <w:pPr>
                    <w:spacing w:line="0" w:lineRule="atLeast"/>
                    <w:jc w:val="center"/>
                    <w:rPr>
                      <w:rFonts w:hint="eastAsia"/>
                      <w:bCs/>
                      <w:color w:val="auto"/>
                    </w:rPr>
                  </w:pPr>
                  <w:r>
                    <w:rPr>
                      <w:rFonts w:hint="eastAsia"/>
                      <w:bCs/>
                      <w:color w:val="auto"/>
                    </w:rPr>
                    <w:t>清洗</w:t>
                  </w:r>
                </w:p>
              </w:tc>
              <w:tc>
                <w:tcPr>
                  <w:tcW w:w="426" w:type="dxa"/>
                  <w:tcBorders>
                    <w:tl2br w:val="nil"/>
                    <w:tr2bl w:val="nil"/>
                  </w:tcBorders>
                  <w:shd w:val="clear" w:color="auto" w:fill="auto"/>
                  <w:tcMar>
                    <w:top w:w="0" w:type="dxa"/>
                    <w:left w:w="57" w:type="dxa"/>
                    <w:bottom w:w="0" w:type="dxa"/>
                    <w:right w:w="57" w:type="dxa"/>
                  </w:tcMar>
                  <w:vAlign w:val="center"/>
                </w:tcPr>
                <w:p w14:paraId="637320B8">
                  <w:pPr>
                    <w:spacing w:line="0" w:lineRule="atLeast"/>
                    <w:jc w:val="center"/>
                    <w:rPr>
                      <w:rFonts w:hint="eastAsia"/>
                      <w:bCs/>
                      <w:color w:val="auto"/>
                    </w:rPr>
                  </w:pPr>
                  <w:r>
                    <w:rPr>
                      <w:rFonts w:hint="eastAsia"/>
                      <w:bCs/>
                      <w:color w:val="auto"/>
                    </w:rPr>
                    <w:t>非甲烷总烃</w:t>
                  </w:r>
                </w:p>
              </w:tc>
              <w:tc>
                <w:tcPr>
                  <w:tcW w:w="482" w:type="dxa"/>
                  <w:tcBorders>
                    <w:tl2br w:val="nil"/>
                    <w:tr2bl w:val="nil"/>
                  </w:tcBorders>
                  <w:shd w:val="clear" w:color="auto" w:fill="auto"/>
                  <w:tcMar>
                    <w:top w:w="0" w:type="dxa"/>
                    <w:left w:w="57" w:type="dxa"/>
                    <w:bottom w:w="0" w:type="dxa"/>
                    <w:right w:w="57" w:type="dxa"/>
                  </w:tcMar>
                  <w:vAlign w:val="center"/>
                </w:tcPr>
                <w:p w14:paraId="1BB76CB1">
                  <w:pPr>
                    <w:spacing w:line="0" w:lineRule="atLeast"/>
                    <w:jc w:val="center"/>
                    <w:rPr>
                      <w:bCs/>
                      <w:color w:val="auto"/>
                    </w:rPr>
                  </w:pPr>
                  <w:r>
                    <w:rPr>
                      <w:rFonts w:hint="eastAsia"/>
                      <w:bCs/>
                      <w:color w:val="auto"/>
                    </w:rPr>
                    <w:t>产</w:t>
                  </w:r>
                </w:p>
                <w:p w14:paraId="67FD43D4">
                  <w:pPr>
                    <w:spacing w:line="0" w:lineRule="atLeast"/>
                    <w:jc w:val="center"/>
                    <w:rPr>
                      <w:rFonts w:hint="eastAsia"/>
                      <w:bCs/>
                      <w:color w:val="auto"/>
                    </w:rPr>
                  </w:pPr>
                  <w:r>
                    <w:rPr>
                      <w:rFonts w:hint="eastAsia"/>
                      <w:bCs/>
                      <w:color w:val="auto"/>
                    </w:rPr>
                    <w:t>排污系数法</w:t>
                  </w:r>
                </w:p>
              </w:tc>
              <w:tc>
                <w:tcPr>
                  <w:tcW w:w="1163" w:type="dxa"/>
                  <w:tcBorders>
                    <w:tl2br w:val="nil"/>
                    <w:tr2bl w:val="nil"/>
                  </w:tcBorders>
                  <w:shd w:val="clear" w:color="auto" w:fill="auto"/>
                  <w:tcMar>
                    <w:top w:w="0" w:type="dxa"/>
                    <w:left w:w="57" w:type="dxa"/>
                    <w:bottom w:w="0" w:type="dxa"/>
                    <w:right w:w="57" w:type="dxa"/>
                  </w:tcMar>
                  <w:vAlign w:val="center"/>
                </w:tcPr>
                <w:p w14:paraId="320973DE">
                  <w:pPr>
                    <w:spacing w:line="0" w:lineRule="atLeast"/>
                    <w:jc w:val="center"/>
                    <w:rPr>
                      <w:rFonts w:hint="eastAsia"/>
                      <w:bCs/>
                      <w:color w:val="auto"/>
                    </w:rPr>
                  </w:pPr>
                  <w:r>
                    <w:rPr>
                      <w:rFonts w:hint="eastAsia"/>
                      <w:bCs/>
                      <w:color w:val="auto"/>
                    </w:rPr>
                    <w:t>29.167</w:t>
                  </w:r>
                </w:p>
              </w:tc>
              <w:tc>
                <w:tcPr>
                  <w:tcW w:w="923" w:type="dxa"/>
                  <w:tcBorders>
                    <w:tl2br w:val="nil"/>
                    <w:tr2bl w:val="nil"/>
                  </w:tcBorders>
                  <w:shd w:val="clear" w:color="auto" w:fill="auto"/>
                  <w:tcMar>
                    <w:top w:w="0" w:type="dxa"/>
                    <w:left w:w="57" w:type="dxa"/>
                    <w:bottom w:w="0" w:type="dxa"/>
                    <w:right w:w="57" w:type="dxa"/>
                  </w:tcMar>
                  <w:vAlign w:val="center"/>
                </w:tcPr>
                <w:p w14:paraId="13DD8432">
                  <w:pPr>
                    <w:spacing w:line="0" w:lineRule="atLeast"/>
                    <w:jc w:val="center"/>
                    <w:rPr>
                      <w:rFonts w:hint="eastAsia"/>
                      <w:bCs/>
                      <w:color w:val="auto"/>
                    </w:rPr>
                  </w:pPr>
                  <w:r>
                    <w:rPr>
                      <w:rFonts w:hint="eastAsia"/>
                      <w:bCs/>
                      <w:color w:val="auto"/>
                      <w:lang w:val="en-US" w:eastAsia="zh-CN"/>
                    </w:rPr>
                    <w:t>0.291</w:t>
                  </w:r>
                </w:p>
              </w:tc>
              <w:tc>
                <w:tcPr>
                  <w:tcW w:w="962" w:type="dxa"/>
                  <w:tcBorders>
                    <w:tl2br w:val="nil"/>
                    <w:tr2bl w:val="nil"/>
                  </w:tcBorders>
                  <w:shd w:val="clear" w:color="auto" w:fill="auto"/>
                  <w:tcMar>
                    <w:top w:w="0" w:type="dxa"/>
                    <w:left w:w="57" w:type="dxa"/>
                    <w:bottom w:w="0" w:type="dxa"/>
                    <w:right w:w="57" w:type="dxa"/>
                  </w:tcMar>
                  <w:vAlign w:val="center"/>
                </w:tcPr>
                <w:p w14:paraId="25F3AC2E">
                  <w:pPr>
                    <w:spacing w:line="0" w:lineRule="atLeast"/>
                    <w:jc w:val="center"/>
                    <w:rPr>
                      <w:rFonts w:hint="default" w:eastAsia="宋体"/>
                      <w:bCs/>
                      <w:color w:val="auto"/>
                      <w:lang w:val="en-US" w:eastAsia="zh-CN"/>
                    </w:rPr>
                  </w:pPr>
                  <w:r>
                    <w:rPr>
                      <w:rFonts w:hint="eastAsia"/>
                      <w:bCs/>
                      <w:color w:val="auto"/>
                      <w:lang w:val="en-US" w:eastAsia="zh-CN"/>
                    </w:rPr>
                    <w:t>0.7</w:t>
                  </w:r>
                </w:p>
              </w:tc>
              <w:tc>
                <w:tcPr>
                  <w:tcW w:w="482" w:type="dxa"/>
                  <w:tcBorders>
                    <w:tl2br w:val="nil"/>
                    <w:tr2bl w:val="nil"/>
                  </w:tcBorders>
                  <w:shd w:val="clear" w:color="auto" w:fill="auto"/>
                  <w:tcMar>
                    <w:top w:w="0" w:type="dxa"/>
                    <w:left w:w="57" w:type="dxa"/>
                    <w:bottom w:w="0" w:type="dxa"/>
                    <w:right w:w="57" w:type="dxa"/>
                  </w:tcMar>
                  <w:vAlign w:val="center"/>
                </w:tcPr>
                <w:p w14:paraId="15957079">
                  <w:pPr>
                    <w:spacing w:line="0" w:lineRule="atLeast"/>
                    <w:jc w:val="center"/>
                    <w:rPr>
                      <w:rFonts w:hint="eastAsia"/>
                      <w:bCs/>
                      <w:color w:val="auto"/>
                    </w:rPr>
                  </w:pPr>
                  <w:r>
                    <w:rPr>
                      <w:rFonts w:hint="eastAsia"/>
                      <w:bCs/>
                      <w:color w:val="auto"/>
                    </w:rPr>
                    <w:t>90%</w:t>
                  </w:r>
                </w:p>
              </w:tc>
              <w:tc>
                <w:tcPr>
                  <w:tcW w:w="482" w:type="dxa"/>
                  <w:tcBorders>
                    <w:tl2br w:val="nil"/>
                    <w:tr2bl w:val="nil"/>
                  </w:tcBorders>
                  <w:shd w:val="clear" w:color="auto" w:fill="auto"/>
                  <w:tcMar>
                    <w:top w:w="0" w:type="dxa"/>
                    <w:left w:w="57" w:type="dxa"/>
                    <w:bottom w:w="0" w:type="dxa"/>
                    <w:right w:w="57" w:type="dxa"/>
                  </w:tcMar>
                  <w:vAlign w:val="center"/>
                </w:tcPr>
                <w:p w14:paraId="5298F6F4">
                  <w:pPr>
                    <w:spacing w:line="0" w:lineRule="atLeast"/>
                    <w:jc w:val="center"/>
                    <w:rPr>
                      <w:rFonts w:hint="eastAsia"/>
                      <w:bCs/>
                      <w:color w:val="auto"/>
                    </w:rPr>
                  </w:pPr>
                  <w:r>
                    <w:rPr>
                      <w:rFonts w:hint="eastAsia"/>
                      <w:bCs/>
                      <w:color w:val="auto"/>
                    </w:rPr>
                    <w:t>二级活性炭吸附</w:t>
                  </w:r>
                </w:p>
              </w:tc>
              <w:tc>
                <w:tcPr>
                  <w:tcW w:w="482" w:type="dxa"/>
                  <w:tcBorders>
                    <w:tl2br w:val="nil"/>
                    <w:tr2bl w:val="nil"/>
                  </w:tcBorders>
                  <w:shd w:val="clear" w:color="auto" w:fill="auto"/>
                  <w:tcMar>
                    <w:top w:w="0" w:type="dxa"/>
                    <w:left w:w="57" w:type="dxa"/>
                    <w:bottom w:w="0" w:type="dxa"/>
                    <w:right w:w="57" w:type="dxa"/>
                  </w:tcMar>
                  <w:vAlign w:val="center"/>
                </w:tcPr>
                <w:p w14:paraId="11E8B72A">
                  <w:pPr>
                    <w:spacing w:line="0" w:lineRule="atLeast"/>
                    <w:jc w:val="center"/>
                    <w:rPr>
                      <w:rFonts w:hint="eastAsia"/>
                      <w:bCs/>
                      <w:color w:val="auto"/>
                    </w:rPr>
                  </w:pPr>
                  <w:r>
                    <w:rPr>
                      <w:rFonts w:hint="eastAsia"/>
                      <w:bCs/>
                      <w:color w:val="auto"/>
                    </w:rPr>
                    <w:t>90%</w:t>
                  </w:r>
                </w:p>
              </w:tc>
              <w:tc>
                <w:tcPr>
                  <w:tcW w:w="594" w:type="dxa"/>
                  <w:tcBorders>
                    <w:tl2br w:val="nil"/>
                    <w:tr2bl w:val="nil"/>
                  </w:tcBorders>
                  <w:shd w:val="clear" w:color="auto" w:fill="auto"/>
                  <w:tcMar>
                    <w:top w:w="0" w:type="dxa"/>
                    <w:left w:w="57" w:type="dxa"/>
                    <w:bottom w:w="0" w:type="dxa"/>
                    <w:right w:w="57" w:type="dxa"/>
                  </w:tcMar>
                  <w:vAlign w:val="center"/>
                </w:tcPr>
                <w:p w14:paraId="7E6F3351">
                  <w:pPr>
                    <w:spacing w:line="0" w:lineRule="atLeast"/>
                    <w:jc w:val="center"/>
                    <w:rPr>
                      <w:rFonts w:hint="eastAsia"/>
                      <w:bCs/>
                      <w:color w:val="auto"/>
                    </w:rPr>
                  </w:pPr>
                  <w:r>
                    <w:rPr>
                      <w:rFonts w:hint="eastAsia"/>
                      <w:bCs/>
                      <w:color w:val="auto"/>
                    </w:rPr>
                    <w:t>是</w:t>
                  </w:r>
                </w:p>
              </w:tc>
              <w:tc>
                <w:tcPr>
                  <w:tcW w:w="1163" w:type="dxa"/>
                  <w:vMerge w:val="continue"/>
                  <w:tcBorders>
                    <w:tl2br w:val="nil"/>
                    <w:tr2bl w:val="nil"/>
                  </w:tcBorders>
                  <w:shd w:val="clear" w:color="auto" w:fill="auto"/>
                  <w:tcMar>
                    <w:top w:w="0" w:type="dxa"/>
                    <w:left w:w="57" w:type="dxa"/>
                    <w:bottom w:w="0" w:type="dxa"/>
                    <w:right w:w="57" w:type="dxa"/>
                  </w:tcMar>
                  <w:vAlign w:val="center"/>
                </w:tcPr>
                <w:p w14:paraId="64F36132">
                  <w:pPr>
                    <w:spacing w:line="0" w:lineRule="atLeast"/>
                    <w:jc w:val="center"/>
                    <w:rPr>
                      <w:rFonts w:hint="eastAsia"/>
                      <w:bCs/>
                      <w:color w:val="auto"/>
                    </w:rPr>
                  </w:pPr>
                </w:p>
              </w:tc>
              <w:tc>
                <w:tcPr>
                  <w:tcW w:w="1115" w:type="dxa"/>
                  <w:vMerge w:val="continue"/>
                  <w:tcBorders>
                    <w:tl2br w:val="nil"/>
                    <w:tr2bl w:val="nil"/>
                  </w:tcBorders>
                  <w:shd w:val="clear" w:color="auto" w:fill="auto"/>
                  <w:tcMar>
                    <w:top w:w="0" w:type="dxa"/>
                    <w:left w:w="57" w:type="dxa"/>
                    <w:bottom w:w="0" w:type="dxa"/>
                    <w:right w:w="57" w:type="dxa"/>
                  </w:tcMar>
                  <w:vAlign w:val="center"/>
                </w:tcPr>
                <w:p w14:paraId="7E32EE96">
                  <w:pPr>
                    <w:spacing w:line="0" w:lineRule="atLeast"/>
                    <w:jc w:val="center"/>
                    <w:rPr>
                      <w:rFonts w:hint="eastAsia"/>
                      <w:bCs/>
                      <w:color w:val="auto"/>
                    </w:rPr>
                  </w:pPr>
                </w:p>
              </w:tc>
              <w:tc>
                <w:tcPr>
                  <w:tcW w:w="962" w:type="dxa"/>
                  <w:vMerge w:val="continue"/>
                  <w:tcBorders>
                    <w:tl2br w:val="nil"/>
                    <w:tr2bl w:val="nil"/>
                  </w:tcBorders>
                  <w:shd w:val="clear" w:color="auto" w:fill="auto"/>
                  <w:tcMar>
                    <w:top w:w="0" w:type="dxa"/>
                    <w:left w:w="57" w:type="dxa"/>
                    <w:bottom w:w="0" w:type="dxa"/>
                    <w:right w:w="57" w:type="dxa"/>
                  </w:tcMar>
                  <w:vAlign w:val="center"/>
                </w:tcPr>
                <w:p w14:paraId="2EDF39D0">
                  <w:pPr>
                    <w:spacing w:line="0" w:lineRule="atLeast"/>
                    <w:jc w:val="center"/>
                    <w:rPr>
                      <w:rFonts w:hint="eastAsia"/>
                      <w:bCs/>
                      <w:color w:val="auto"/>
                    </w:rPr>
                  </w:pPr>
                </w:p>
              </w:tc>
              <w:tc>
                <w:tcPr>
                  <w:tcW w:w="1163" w:type="dxa"/>
                  <w:vMerge w:val="continue"/>
                  <w:tcBorders>
                    <w:tl2br w:val="nil"/>
                    <w:tr2bl w:val="nil"/>
                  </w:tcBorders>
                  <w:shd w:val="clear" w:color="auto" w:fill="auto"/>
                  <w:tcMar>
                    <w:top w:w="0" w:type="dxa"/>
                    <w:left w:w="57" w:type="dxa"/>
                    <w:bottom w:w="0" w:type="dxa"/>
                    <w:right w:w="57" w:type="dxa"/>
                  </w:tcMar>
                  <w:vAlign w:val="center"/>
                </w:tcPr>
                <w:p w14:paraId="2390A39F">
                  <w:pPr>
                    <w:spacing w:line="0" w:lineRule="atLeast"/>
                    <w:jc w:val="center"/>
                    <w:rPr>
                      <w:rFonts w:hint="eastAsia"/>
                      <w:bCs/>
                      <w:color w:val="auto"/>
                    </w:rPr>
                  </w:pPr>
                </w:p>
              </w:tc>
              <w:tc>
                <w:tcPr>
                  <w:tcW w:w="1115" w:type="dxa"/>
                  <w:vMerge w:val="continue"/>
                  <w:tcBorders>
                    <w:tl2br w:val="nil"/>
                    <w:tr2bl w:val="nil"/>
                  </w:tcBorders>
                  <w:shd w:val="clear" w:color="auto" w:fill="auto"/>
                  <w:tcMar>
                    <w:top w:w="0" w:type="dxa"/>
                    <w:left w:w="57" w:type="dxa"/>
                    <w:bottom w:w="0" w:type="dxa"/>
                    <w:right w:w="57" w:type="dxa"/>
                  </w:tcMar>
                  <w:vAlign w:val="center"/>
                </w:tcPr>
                <w:p w14:paraId="38AFABF2">
                  <w:pPr>
                    <w:spacing w:line="0" w:lineRule="atLeast"/>
                    <w:jc w:val="center"/>
                    <w:rPr>
                      <w:rFonts w:hint="eastAsia"/>
                      <w:bCs/>
                      <w:color w:val="auto"/>
                    </w:rPr>
                  </w:pPr>
                </w:p>
              </w:tc>
              <w:tc>
                <w:tcPr>
                  <w:tcW w:w="482" w:type="dxa"/>
                  <w:vMerge w:val="continue"/>
                  <w:tcBorders>
                    <w:tl2br w:val="nil"/>
                    <w:tr2bl w:val="nil"/>
                  </w:tcBorders>
                  <w:shd w:val="clear" w:color="auto" w:fill="auto"/>
                  <w:tcMar>
                    <w:top w:w="0" w:type="dxa"/>
                    <w:left w:w="57" w:type="dxa"/>
                    <w:bottom w:w="0" w:type="dxa"/>
                    <w:right w:w="57" w:type="dxa"/>
                  </w:tcMar>
                  <w:vAlign w:val="center"/>
                </w:tcPr>
                <w:p w14:paraId="02FB002B">
                  <w:pPr>
                    <w:spacing w:line="0" w:lineRule="atLeast"/>
                    <w:jc w:val="center"/>
                    <w:rPr>
                      <w:rFonts w:hint="eastAsia"/>
                      <w:bCs/>
                      <w:color w:val="auto"/>
                    </w:rPr>
                  </w:pPr>
                </w:p>
              </w:tc>
            </w:tr>
            <w:tr w14:paraId="3453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37" w:type="dxa"/>
                  <w:tcBorders>
                    <w:tl2br w:val="nil"/>
                    <w:tr2bl w:val="nil"/>
                  </w:tcBorders>
                  <w:shd w:val="clear" w:color="auto" w:fill="auto"/>
                  <w:tcMar>
                    <w:top w:w="0" w:type="dxa"/>
                    <w:left w:w="57" w:type="dxa"/>
                    <w:bottom w:w="0" w:type="dxa"/>
                    <w:right w:w="57" w:type="dxa"/>
                  </w:tcMar>
                  <w:vAlign w:val="center"/>
                </w:tcPr>
                <w:p w14:paraId="1C54C685">
                  <w:pPr>
                    <w:spacing w:line="0" w:lineRule="atLeast"/>
                    <w:jc w:val="center"/>
                    <w:rPr>
                      <w:bCs/>
                      <w:color w:val="auto"/>
                    </w:rPr>
                  </w:pPr>
                  <w:r>
                    <w:rPr>
                      <w:rFonts w:hint="eastAsia"/>
                      <w:bCs/>
                      <w:color w:val="auto"/>
                    </w:rPr>
                    <w:t>FQ-3</w:t>
                  </w:r>
                </w:p>
              </w:tc>
              <w:tc>
                <w:tcPr>
                  <w:tcW w:w="592" w:type="dxa"/>
                  <w:tcBorders>
                    <w:tl2br w:val="nil"/>
                    <w:tr2bl w:val="nil"/>
                  </w:tcBorders>
                  <w:shd w:val="clear" w:color="auto" w:fill="auto"/>
                  <w:tcMar>
                    <w:top w:w="0" w:type="dxa"/>
                    <w:left w:w="57" w:type="dxa"/>
                    <w:bottom w:w="0" w:type="dxa"/>
                    <w:right w:w="57" w:type="dxa"/>
                  </w:tcMar>
                  <w:vAlign w:val="center"/>
                </w:tcPr>
                <w:p w14:paraId="1A249D78">
                  <w:pPr>
                    <w:spacing w:line="0" w:lineRule="atLeast"/>
                    <w:jc w:val="center"/>
                    <w:rPr>
                      <w:bCs/>
                      <w:color w:val="auto"/>
                    </w:rPr>
                  </w:pPr>
                  <w:r>
                    <w:rPr>
                      <w:rFonts w:hint="eastAsia"/>
                      <w:bCs/>
                      <w:color w:val="auto"/>
                    </w:rPr>
                    <w:t>焊烟净化装置</w:t>
                  </w:r>
                </w:p>
              </w:tc>
              <w:tc>
                <w:tcPr>
                  <w:tcW w:w="424" w:type="dxa"/>
                  <w:tcBorders>
                    <w:tl2br w:val="nil"/>
                    <w:tr2bl w:val="nil"/>
                  </w:tcBorders>
                  <w:shd w:val="clear" w:color="auto" w:fill="auto"/>
                  <w:tcMar>
                    <w:top w:w="0" w:type="dxa"/>
                    <w:left w:w="57" w:type="dxa"/>
                    <w:bottom w:w="0" w:type="dxa"/>
                    <w:right w:w="57" w:type="dxa"/>
                  </w:tcMar>
                  <w:vAlign w:val="center"/>
                </w:tcPr>
                <w:p w14:paraId="1EF684B1">
                  <w:pPr>
                    <w:spacing w:line="0" w:lineRule="atLeast"/>
                    <w:jc w:val="center"/>
                    <w:rPr>
                      <w:bCs/>
                      <w:color w:val="auto"/>
                    </w:rPr>
                  </w:pPr>
                  <w:r>
                    <w:rPr>
                      <w:rFonts w:hint="eastAsia"/>
                      <w:bCs/>
                      <w:color w:val="auto"/>
                    </w:rPr>
                    <w:t>焊接</w:t>
                  </w:r>
                </w:p>
              </w:tc>
              <w:tc>
                <w:tcPr>
                  <w:tcW w:w="426" w:type="dxa"/>
                  <w:tcBorders>
                    <w:tl2br w:val="nil"/>
                    <w:tr2bl w:val="nil"/>
                  </w:tcBorders>
                  <w:shd w:val="clear" w:color="auto" w:fill="auto"/>
                  <w:tcMar>
                    <w:top w:w="0" w:type="dxa"/>
                    <w:left w:w="57" w:type="dxa"/>
                    <w:bottom w:w="0" w:type="dxa"/>
                    <w:right w:w="57" w:type="dxa"/>
                  </w:tcMar>
                  <w:vAlign w:val="center"/>
                </w:tcPr>
                <w:p w14:paraId="761BF34F">
                  <w:pPr>
                    <w:spacing w:line="0" w:lineRule="atLeast"/>
                    <w:jc w:val="center"/>
                    <w:rPr>
                      <w:bCs/>
                      <w:color w:val="auto"/>
                    </w:rPr>
                  </w:pPr>
                  <w:r>
                    <w:rPr>
                      <w:rFonts w:hint="eastAsia"/>
                      <w:bCs/>
                      <w:color w:val="auto"/>
                    </w:rPr>
                    <w:t>颗粒物</w:t>
                  </w:r>
                </w:p>
              </w:tc>
              <w:tc>
                <w:tcPr>
                  <w:tcW w:w="482" w:type="dxa"/>
                  <w:tcBorders>
                    <w:tl2br w:val="nil"/>
                    <w:tr2bl w:val="nil"/>
                  </w:tcBorders>
                  <w:shd w:val="clear" w:color="auto" w:fill="auto"/>
                  <w:tcMar>
                    <w:top w:w="0" w:type="dxa"/>
                    <w:left w:w="57" w:type="dxa"/>
                    <w:bottom w:w="0" w:type="dxa"/>
                    <w:right w:w="57" w:type="dxa"/>
                  </w:tcMar>
                  <w:vAlign w:val="center"/>
                </w:tcPr>
                <w:p w14:paraId="3CC81318">
                  <w:pPr>
                    <w:spacing w:line="0" w:lineRule="atLeast"/>
                    <w:jc w:val="center"/>
                    <w:rPr>
                      <w:bCs/>
                      <w:color w:val="auto"/>
                    </w:rPr>
                  </w:pPr>
                  <w:r>
                    <w:rPr>
                      <w:rFonts w:hint="eastAsia"/>
                      <w:bCs/>
                      <w:color w:val="auto"/>
                    </w:rPr>
                    <w:t>产</w:t>
                  </w:r>
                </w:p>
                <w:p w14:paraId="0E84B919">
                  <w:pPr>
                    <w:spacing w:line="0" w:lineRule="atLeast"/>
                    <w:jc w:val="center"/>
                    <w:rPr>
                      <w:bCs/>
                      <w:color w:val="auto"/>
                    </w:rPr>
                  </w:pPr>
                  <w:r>
                    <w:rPr>
                      <w:rFonts w:hint="eastAsia"/>
                      <w:bCs/>
                      <w:color w:val="auto"/>
                    </w:rPr>
                    <w:t>排污系数法</w:t>
                  </w:r>
                </w:p>
              </w:tc>
              <w:tc>
                <w:tcPr>
                  <w:tcW w:w="1163" w:type="dxa"/>
                  <w:tcBorders>
                    <w:tl2br w:val="nil"/>
                    <w:tr2bl w:val="nil"/>
                  </w:tcBorders>
                  <w:shd w:val="clear" w:color="auto" w:fill="auto"/>
                  <w:tcMar>
                    <w:top w:w="0" w:type="dxa"/>
                    <w:left w:w="57" w:type="dxa"/>
                    <w:bottom w:w="0" w:type="dxa"/>
                    <w:right w:w="57" w:type="dxa"/>
                  </w:tcMar>
                  <w:vAlign w:val="center"/>
                </w:tcPr>
                <w:p w14:paraId="57CEC0AC">
                  <w:pPr>
                    <w:spacing w:line="0" w:lineRule="atLeast"/>
                    <w:jc w:val="center"/>
                    <w:rPr>
                      <w:rFonts w:hint="default" w:eastAsia="宋体"/>
                      <w:bCs/>
                      <w:color w:val="auto"/>
                      <w:lang w:val="en-US" w:eastAsia="zh-CN"/>
                    </w:rPr>
                  </w:pPr>
                  <w:r>
                    <w:rPr>
                      <w:rFonts w:hint="eastAsia"/>
                      <w:bCs/>
                      <w:color w:val="auto"/>
                      <w:lang w:val="en-US" w:eastAsia="zh-CN"/>
                    </w:rPr>
                    <w:t>4.67</w:t>
                  </w:r>
                </w:p>
              </w:tc>
              <w:tc>
                <w:tcPr>
                  <w:tcW w:w="923" w:type="dxa"/>
                  <w:tcBorders>
                    <w:tl2br w:val="nil"/>
                    <w:tr2bl w:val="nil"/>
                  </w:tcBorders>
                  <w:shd w:val="clear" w:color="auto" w:fill="auto"/>
                  <w:tcMar>
                    <w:top w:w="0" w:type="dxa"/>
                    <w:left w:w="57" w:type="dxa"/>
                    <w:bottom w:w="0" w:type="dxa"/>
                    <w:right w:w="57" w:type="dxa"/>
                  </w:tcMar>
                  <w:vAlign w:val="center"/>
                </w:tcPr>
                <w:p w14:paraId="74BE203F">
                  <w:pPr>
                    <w:spacing w:line="0" w:lineRule="atLeast"/>
                    <w:jc w:val="center"/>
                    <w:rPr>
                      <w:rFonts w:hint="default" w:eastAsia="宋体"/>
                      <w:bCs/>
                      <w:color w:val="auto"/>
                      <w:lang w:val="en-US" w:eastAsia="zh-CN"/>
                    </w:rPr>
                  </w:pPr>
                  <w:r>
                    <w:rPr>
                      <w:rFonts w:hint="eastAsia"/>
                      <w:bCs/>
                      <w:color w:val="auto"/>
                      <w:lang w:val="en-US" w:eastAsia="zh-CN"/>
                    </w:rPr>
                    <w:t>0.012</w:t>
                  </w:r>
                </w:p>
              </w:tc>
              <w:tc>
                <w:tcPr>
                  <w:tcW w:w="962" w:type="dxa"/>
                  <w:tcBorders>
                    <w:tl2br w:val="nil"/>
                    <w:tr2bl w:val="nil"/>
                  </w:tcBorders>
                  <w:shd w:val="clear" w:color="auto" w:fill="auto"/>
                  <w:tcMar>
                    <w:top w:w="0" w:type="dxa"/>
                    <w:left w:w="57" w:type="dxa"/>
                    <w:bottom w:w="0" w:type="dxa"/>
                    <w:right w:w="57" w:type="dxa"/>
                  </w:tcMar>
                  <w:vAlign w:val="center"/>
                </w:tcPr>
                <w:p w14:paraId="2DF05397">
                  <w:pPr>
                    <w:spacing w:line="0" w:lineRule="atLeast"/>
                    <w:jc w:val="center"/>
                    <w:rPr>
                      <w:rFonts w:hint="default" w:eastAsia="宋体"/>
                      <w:bCs/>
                      <w:color w:val="auto"/>
                      <w:lang w:val="en-US" w:eastAsia="zh-CN"/>
                    </w:rPr>
                  </w:pPr>
                  <w:r>
                    <w:rPr>
                      <w:rFonts w:hint="eastAsia"/>
                      <w:bCs/>
                      <w:color w:val="auto"/>
                    </w:rPr>
                    <w:t>0.0</w:t>
                  </w:r>
                  <w:r>
                    <w:rPr>
                      <w:rFonts w:hint="eastAsia"/>
                      <w:bCs/>
                      <w:color w:val="auto"/>
                      <w:lang w:val="en-US" w:eastAsia="zh-CN"/>
                    </w:rPr>
                    <w:t>28</w:t>
                  </w:r>
                </w:p>
              </w:tc>
              <w:tc>
                <w:tcPr>
                  <w:tcW w:w="482" w:type="dxa"/>
                  <w:tcBorders>
                    <w:tl2br w:val="nil"/>
                    <w:tr2bl w:val="nil"/>
                  </w:tcBorders>
                  <w:shd w:val="clear" w:color="auto" w:fill="auto"/>
                  <w:tcMar>
                    <w:top w:w="0" w:type="dxa"/>
                    <w:left w:w="57" w:type="dxa"/>
                    <w:bottom w:w="0" w:type="dxa"/>
                    <w:right w:w="57" w:type="dxa"/>
                  </w:tcMar>
                  <w:vAlign w:val="center"/>
                </w:tcPr>
                <w:p w14:paraId="40CE60C8">
                  <w:pPr>
                    <w:spacing w:line="0" w:lineRule="atLeast"/>
                    <w:jc w:val="center"/>
                    <w:rPr>
                      <w:bCs/>
                      <w:color w:val="auto"/>
                    </w:rPr>
                  </w:pPr>
                  <w:r>
                    <w:rPr>
                      <w:rFonts w:hint="eastAsia"/>
                      <w:bCs/>
                      <w:color w:val="auto"/>
                    </w:rPr>
                    <w:t>90%</w:t>
                  </w:r>
                </w:p>
              </w:tc>
              <w:tc>
                <w:tcPr>
                  <w:tcW w:w="482" w:type="dxa"/>
                  <w:tcBorders>
                    <w:tl2br w:val="nil"/>
                    <w:tr2bl w:val="nil"/>
                  </w:tcBorders>
                  <w:shd w:val="clear" w:color="auto" w:fill="auto"/>
                  <w:tcMar>
                    <w:top w:w="0" w:type="dxa"/>
                    <w:left w:w="57" w:type="dxa"/>
                    <w:bottom w:w="0" w:type="dxa"/>
                    <w:right w:w="57" w:type="dxa"/>
                  </w:tcMar>
                  <w:vAlign w:val="center"/>
                </w:tcPr>
                <w:p w14:paraId="2ECF3A68">
                  <w:pPr>
                    <w:spacing w:line="0" w:lineRule="atLeast"/>
                    <w:jc w:val="center"/>
                    <w:rPr>
                      <w:bCs/>
                      <w:color w:val="auto"/>
                    </w:rPr>
                  </w:pPr>
                  <w:r>
                    <w:rPr>
                      <w:rFonts w:hint="eastAsia"/>
                      <w:bCs/>
                      <w:color w:val="auto"/>
                    </w:rPr>
                    <w:t>焊烟净化装置</w:t>
                  </w:r>
                </w:p>
              </w:tc>
              <w:tc>
                <w:tcPr>
                  <w:tcW w:w="482" w:type="dxa"/>
                  <w:tcBorders>
                    <w:tl2br w:val="nil"/>
                    <w:tr2bl w:val="nil"/>
                  </w:tcBorders>
                  <w:shd w:val="clear" w:color="auto" w:fill="auto"/>
                  <w:tcMar>
                    <w:top w:w="0" w:type="dxa"/>
                    <w:left w:w="57" w:type="dxa"/>
                    <w:bottom w:w="0" w:type="dxa"/>
                    <w:right w:w="57" w:type="dxa"/>
                  </w:tcMar>
                  <w:vAlign w:val="center"/>
                </w:tcPr>
                <w:p w14:paraId="5D167CC0">
                  <w:pPr>
                    <w:spacing w:line="0" w:lineRule="atLeast"/>
                    <w:jc w:val="center"/>
                    <w:rPr>
                      <w:bCs/>
                      <w:color w:val="auto"/>
                    </w:rPr>
                  </w:pPr>
                  <w:r>
                    <w:rPr>
                      <w:rFonts w:hint="eastAsia"/>
                      <w:bCs/>
                      <w:color w:val="auto"/>
                    </w:rPr>
                    <w:t>75%</w:t>
                  </w:r>
                </w:p>
              </w:tc>
              <w:tc>
                <w:tcPr>
                  <w:tcW w:w="594" w:type="dxa"/>
                  <w:tcBorders>
                    <w:tl2br w:val="nil"/>
                    <w:tr2bl w:val="nil"/>
                  </w:tcBorders>
                  <w:shd w:val="clear" w:color="auto" w:fill="auto"/>
                  <w:tcMar>
                    <w:top w:w="0" w:type="dxa"/>
                    <w:left w:w="57" w:type="dxa"/>
                    <w:bottom w:w="0" w:type="dxa"/>
                    <w:right w:w="57" w:type="dxa"/>
                  </w:tcMar>
                  <w:vAlign w:val="center"/>
                </w:tcPr>
                <w:p w14:paraId="13ADD7B6">
                  <w:pPr>
                    <w:spacing w:line="0" w:lineRule="atLeast"/>
                    <w:jc w:val="center"/>
                    <w:rPr>
                      <w:bCs/>
                      <w:color w:val="auto"/>
                    </w:rPr>
                  </w:pPr>
                  <w:r>
                    <w:rPr>
                      <w:rFonts w:hint="eastAsia"/>
                      <w:bCs/>
                      <w:color w:val="auto"/>
                    </w:rPr>
                    <w:t>是</w:t>
                  </w:r>
                </w:p>
              </w:tc>
              <w:tc>
                <w:tcPr>
                  <w:tcW w:w="1163" w:type="dxa"/>
                  <w:tcBorders>
                    <w:tl2br w:val="nil"/>
                    <w:tr2bl w:val="nil"/>
                  </w:tcBorders>
                  <w:shd w:val="clear" w:color="auto" w:fill="auto"/>
                  <w:tcMar>
                    <w:top w:w="0" w:type="dxa"/>
                    <w:left w:w="57" w:type="dxa"/>
                    <w:bottom w:w="0" w:type="dxa"/>
                    <w:right w:w="57" w:type="dxa"/>
                  </w:tcMar>
                  <w:vAlign w:val="center"/>
                </w:tcPr>
                <w:p w14:paraId="0F529351">
                  <w:pPr>
                    <w:spacing w:line="0" w:lineRule="atLeast"/>
                    <w:jc w:val="center"/>
                    <w:rPr>
                      <w:rFonts w:hint="default" w:eastAsia="宋体"/>
                      <w:bCs/>
                      <w:color w:val="auto"/>
                      <w:lang w:val="en-US" w:eastAsia="zh-CN"/>
                    </w:rPr>
                  </w:pPr>
                  <w:r>
                    <w:rPr>
                      <w:rFonts w:hint="eastAsia"/>
                      <w:bCs/>
                      <w:color w:val="auto"/>
                      <w:lang w:val="en-US" w:eastAsia="zh-CN"/>
                    </w:rPr>
                    <w:t>1.17</w:t>
                  </w:r>
                </w:p>
              </w:tc>
              <w:tc>
                <w:tcPr>
                  <w:tcW w:w="1115" w:type="dxa"/>
                  <w:tcBorders>
                    <w:tl2br w:val="nil"/>
                    <w:tr2bl w:val="nil"/>
                  </w:tcBorders>
                  <w:shd w:val="clear" w:color="auto" w:fill="auto"/>
                  <w:tcMar>
                    <w:top w:w="0" w:type="dxa"/>
                    <w:left w:w="57" w:type="dxa"/>
                    <w:bottom w:w="0" w:type="dxa"/>
                    <w:right w:w="57" w:type="dxa"/>
                  </w:tcMar>
                  <w:vAlign w:val="center"/>
                </w:tcPr>
                <w:p w14:paraId="3771867C">
                  <w:pPr>
                    <w:spacing w:line="0" w:lineRule="atLeast"/>
                    <w:jc w:val="center"/>
                    <w:rPr>
                      <w:rFonts w:hint="default" w:eastAsia="宋体"/>
                      <w:bCs/>
                      <w:color w:val="auto"/>
                      <w:lang w:val="en-US" w:eastAsia="zh-CN"/>
                    </w:rPr>
                  </w:pPr>
                  <w:r>
                    <w:rPr>
                      <w:rFonts w:hint="eastAsia"/>
                      <w:bCs/>
                      <w:color w:val="auto"/>
                      <w:lang w:val="en-US" w:eastAsia="zh-CN"/>
                    </w:rPr>
                    <w:t>0.003</w:t>
                  </w:r>
                </w:p>
              </w:tc>
              <w:tc>
                <w:tcPr>
                  <w:tcW w:w="962" w:type="dxa"/>
                  <w:tcBorders>
                    <w:tl2br w:val="nil"/>
                    <w:tr2bl w:val="nil"/>
                  </w:tcBorders>
                  <w:shd w:val="clear" w:color="auto" w:fill="auto"/>
                  <w:tcMar>
                    <w:top w:w="0" w:type="dxa"/>
                    <w:left w:w="57" w:type="dxa"/>
                    <w:bottom w:w="0" w:type="dxa"/>
                    <w:right w:w="57" w:type="dxa"/>
                  </w:tcMar>
                  <w:vAlign w:val="center"/>
                </w:tcPr>
                <w:p w14:paraId="04A16171">
                  <w:pPr>
                    <w:spacing w:line="0" w:lineRule="atLeast"/>
                    <w:jc w:val="center"/>
                    <w:rPr>
                      <w:rFonts w:hint="eastAsia" w:eastAsia="宋体"/>
                      <w:bCs/>
                      <w:color w:val="auto"/>
                      <w:lang w:eastAsia="zh-CN"/>
                    </w:rPr>
                  </w:pPr>
                  <w:r>
                    <w:rPr>
                      <w:rFonts w:hint="eastAsia"/>
                      <w:bCs/>
                      <w:color w:val="auto"/>
                    </w:rPr>
                    <w:t>0.00</w:t>
                  </w:r>
                  <w:r>
                    <w:rPr>
                      <w:rFonts w:hint="eastAsia"/>
                      <w:bCs/>
                      <w:color w:val="auto"/>
                      <w:lang w:val="en-US" w:eastAsia="zh-CN"/>
                    </w:rPr>
                    <w:t>7</w:t>
                  </w:r>
                </w:p>
              </w:tc>
              <w:tc>
                <w:tcPr>
                  <w:tcW w:w="1163" w:type="dxa"/>
                  <w:tcBorders>
                    <w:tl2br w:val="nil"/>
                    <w:tr2bl w:val="nil"/>
                  </w:tcBorders>
                  <w:shd w:val="clear" w:color="auto" w:fill="auto"/>
                  <w:tcMar>
                    <w:top w:w="0" w:type="dxa"/>
                    <w:left w:w="57" w:type="dxa"/>
                    <w:bottom w:w="0" w:type="dxa"/>
                    <w:right w:w="57" w:type="dxa"/>
                  </w:tcMar>
                  <w:vAlign w:val="center"/>
                </w:tcPr>
                <w:p w14:paraId="36AD9AE4">
                  <w:pPr>
                    <w:spacing w:line="0" w:lineRule="atLeast"/>
                    <w:jc w:val="center"/>
                    <w:rPr>
                      <w:bCs/>
                      <w:color w:val="auto"/>
                    </w:rPr>
                  </w:pPr>
                  <w:r>
                    <w:rPr>
                      <w:rFonts w:hint="eastAsia"/>
                      <w:bCs/>
                      <w:color w:val="auto"/>
                    </w:rPr>
                    <w:t>20</w:t>
                  </w:r>
                </w:p>
              </w:tc>
              <w:tc>
                <w:tcPr>
                  <w:tcW w:w="1115" w:type="dxa"/>
                  <w:tcBorders>
                    <w:tl2br w:val="nil"/>
                    <w:tr2bl w:val="nil"/>
                  </w:tcBorders>
                  <w:shd w:val="clear" w:color="auto" w:fill="auto"/>
                  <w:tcMar>
                    <w:top w:w="0" w:type="dxa"/>
                    <w:left w:w="57" w:type="dxa"/>
                    <w:bottom w:w="0" w:type="dxa"/>
                    <w:right w:w="57" w:type="dxa"/>
                  </w:tcMar>
                  <w:vAlign w:val="center"/>
                </w:tcPr>
                <w:p w14:paraId="040817C3">
                  <w:pPr>
                    <w:spacing w:line="0" w:lineRule="atLeast"/>
                    <w:jc w:val="center"/>
                    <w:rPr>
                      <w:bCs/>
                      <w:color w:val="auto"/>
                    </w:rPr>
                  </w:pPr>
                  <w:r>
                    <w:rPr>
                      <w:rFonts w:hint="eastAsia"/>
                      <w:bCs/>
                      <w:color w:val="auto"/>
                    </w:rPr>
                    <w:t>1</w:t>
                  </w:r>
                </w:p>
              </w:tc>
              <w:tc>
                <w:tcPr>
                  <w:tcW w:w="482" w:type="dxa"/>
                  <w:tcBorders>
                    <w:tl2br w:val="nil"/>
                    <w:tr2bl w:val="nil"/>
                  </w:tcBorders>
                  <w:shd w:val="clear" w:color="auto" w:fill="auto"/>
                  <w:tcMar>
                    <w:top w:w="0" w:type="dxa"/>
                    <w:left w:w="57" w:type="dxa"/>
                    <w:bottom w:w="0" w:type="dxa"/>
                    <w:right w:w="57" w:type="dxa"/>
                  </w:tcMar>
                  <w:vAlign w:val="center"/>
                </w:tcPr>
                <w:p w14:paraId="7F0BA2F8">
                  <w:pPr>
                    <w:spacing w:line="0" w:lineRule="atLeast"/>
                    <w:jc w:val="center"/>
                    <w:rPr>
                      <w:bCs/>
                      <w:color w:val="auto"/>
                    </w:rPr>
                  </w:pPr>
                  <w:r>
                    <w:rPr>
                      <w:rFonts w:hint="eastAsia"/>
                      <w:bCs/>
                      <w:color w:val="auto"/>
                    </w:rPr>
                    <w:t>达标排放</w:t>
                  </w:r>
                </w:p>
              </w:tc>
            </w:tr>
          </w:tbl>
          <w:p w14:paraId="087C651E">
            <w:pPr>
              <w:jc w:val="center"/>
              <w:rPr>
                <w:b/>
                <w:color w:val="auto"/>
                <w:sz w:val="24"/>
              </w:rPr>
            </w:pPr>
            <w:r>
              <w:rPr>
                <w:rFonts w:hint="eastAsia"/>
                <w:b/>
                <w:color w:val="auto"/>
                <w:sz w:val="24"/>
              </w:rPr>
              <w:t xml:space="preserve">表4-3  </w:t>
            </w:r>
            <w:r>
              <w:rPr>
                <w:b/>
                <w:color w:val="auto"/>
                <w:sz w:val="24"/>
              </w:rPr>
              <w:t>项目排气筒信息及排放标准汇总表</w:t>
            </w:r>
          </w:p>
          <w:tbl>
            <w:tblPr>
              <w:tblStyle w:val="23"/>
              <w:tblW w:w="13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664"/>
              <w:gridCol w:w="840"/>
              <w:gridCol w:w="664"/>
              <w:gridCol w:w="952"/>
              <w:gridCol w:w="952"/>
              <w:gridCol w:w="1219"/>
              <w:gridCol w:w="1047"/>
              <w:gridCol w:w="806"/>
              <w:gridCol w:w="698"/>
              <w:gridCol w:w="1016"/>
              <w:gridCol w:w="488"/>
              <w:gridCol w:w="488"/>
              <w:gridCol w:w="1016"/>
              <w:gridCol w:w="841"/>
              <w:gridCol w:w="842"/>
            </w:tblGrid>
            <w:tr w14:paraId="71EF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16" w:type="dxa"/>
                  <w:vMerge w:val="restart"/>
                  <w:tcBorders>
                    <w:tl2br w:val="nil"/>
                    <w:tr2bl w:val="nil"/>
                  </w:tcBorders>
                  <w:tcMar>
                    <w:top w:w="0" w:type="dxa"/>
                    <w:left w:w="57" w:type="dxa"/>
                    <w:bottom w:w="0" w:type="dxa"/>
                    <w:right w:w="57" w:type="dxa"/>
                  </w:tcMar>
                  <w:vAlign w:val="center"/>
                </w:tcPr>
                <w:p w14:paraId="35E3C4BB">
                  <w:pPr>
                    <w:spacing w:line="0" w:lineRule="atLeast"/>
                    <w:jc w:val="center"/>
                    <w:rPr>
                      <w:b/>
                      <w:bCs/>
                      <w:color w:val="auto"/>
                    </w:rPr>
                  </w:pPr>
                  <w:r>
                    <w:rPr>
                      <w:rFonts w:hint="eastAsia"/>
                      <w:b/>
                      <w:bCs/>
                      <w:color w:val="auto"/>
                    </w:rPr>
                    <w:t>生产线编号</w:t>
                  </w:r>
                </w:p>
              </w:tc>
              <w:tc>
                <w:tcPr>
                  <w:tcW w:w="664" w:type="dxa"/>
                  <w:vMerge w:val="restart"/>
                  <w:tcBorders>
                    <w:tl2br w:val="nil"/>
                    <w:tr2bl w:val="nil"/>
                  </w:tcBorders>
                  <w:tcMar>
                    <w:top w:w="0" w:type="dxa"/>
                    <w:left w:w="57" w:type="dxa"/>
                    <w:bottom w:w="0" w:type="dxa"/>
                    <w:right w:w="57" w:type="dxa"/>
                  </w:tcMar>
                  <w:vAlign w:val="center"/>
                </w:tcPr>
                <w:p w14:paraId="0F8E67C8">
                  <w:pPr>
                    <w:spacing w:line="0" w:lineRule="atLeast"/>
                    <w:jc w:val="center"/>
                    <w:rPr>
                      <w:b/>
                      <w:bCs/>
                      <w:color w:val="auto"/>
                    </w:rPr>
                  </w:pPr>
                  <w:r>
                    <w:rPr>
                      <w:rFonts w:hint="eastAsia"/>
                      <w:b/>
                      <w:bCs/>
                      <w:color w:val="auto"/>
                    </w:rPr>
                    <w:t>污染源</w:t>
                  </w:r>
                </w:p>
              </w:tc>
              <w:tc>
                <w:tcPr>
                  <w:tcW w:w="840" w:type="dxa"/>
                  <w:vMerge w:val="restart"/>
                  <w:tcBorders>
                    <w:tl2br w:val="nil"/>
                    <w:tr2bl w:val="nil"/>
                  </w:tcBorders>
                  <w:tcMar>
                    <w:top w:w="0" w:type="dxa"/>
                    <w:left w:w="57" w:type="dxa"/>
                    <w:bottom w:w="0" w:type="dxa"/>
                    <w:right w:w="57" w:type="dxa"/>
                  </w:tcMar>
                  <w:vAlign w:val="center"/>
                </w:tcPr>
                <w:p w14:paraId="08216444">
                  <w:pPr>
                    <w:spacing w:line="0" w:lineRule="atLeast"/>
                    <w:jc w:val="center"/>
                    <w:rPr>
                      <w:b/>
                      <w:bCs/>
                      <w:color w:val="auto"/>
                    </w:rPr>
                  </w:pPr>
                  <w:r>
                    <w:rPr>
                      <w:rFonts w:hint="eastAsia"/>
                      <w:b/>
                      <w:bCs/>
                      <w:color w:val="auto"/>
                    </w:rPr>
                    <w:t>地理坐标</w:t>
                  </w:r>
                </w:p>
              </w:tc>
              <w:tc>
                <w:tcPr>
                  <w:tcW w:w="664" w:type="dxa"/>
                  <w:vMerge w:val="restart"/>
                  <w:tcBorders>
                    <w:tl2br w:val="nil"/>
                    <w:tr2bl w:val="nil"/>
                  </w:tcBorders>
                  <w:tcMar>
                    <w:top w:w="0" w:type="dxa"/>
                    <w:left w:w="57" w:type="dxa"/>
                    <w:bottom w:w="0" w:type="dxa"/>
                    <w:right w:w="57" w:type="dxa"/>
                  </w:tcMar>
                  <w:vAlign w:val="center"/>
                </w:tcPr>
                <w:p w14:paraId="7A2F6FCE">
                  <w:pPr>
                    <w:spacing w:line="0" w:lineRule="atLeast"/>
                    <w:jc w:val="center"/>
                    <w:rPr>
                      <w:b/>
                      <w:bCs/>
                      <w:color w:val="auto"/>
                    </w:rPr>
                  </w:pPr>
                  <w:r>
                    <w:rPr>
                      <w:rFonts w:hint="eastAsia"/>
                      <w:b/>
                      <w:bCs/>
                      <w:color w:val="auto"/>
                    </w:rPr>
                    <w:t>污染物</w:t>
                  </w:r>
                </w:p>
              </w:tc>
              <w:tc>
                <w:tcPr>
                  <w:tcW w:w="952" w:type="dxa"/>
                  <w:vMerge w:val="restart"/>
                  <w:tcBorders>
                    <w:tl2br w:val="nil"/>
                    <w:tr2bl w:val="nil"/>
                  </w:tcBorders>
                  <w:tcMar>
                    <w:top w:w="0" w:type="dxa"/>
                    <w:left w:w="57" w:type="dxa"/>
                    <w:bottom w:w="0" w:type="dxa"/>
                    <w:right w:w="57" w:type="dxa"/>
                  </w:tcMar>
                  <w:vAlign w:val="center"/>
                </w:tcPr>
                <w:p w14:paraId="07854A07">
                  <w:pPr>
                    <w:spacing w:line="0" w:lineRule="atLeast"/>
                    <w:jc w:val="center"/>
                    <w:rPr>
                      <w:b/>
                      <w:bCs/>
                      <w:color w:val="auto"/>
                    </w:rPr>
                  </w:pPr>
                  <w:r>
                    <w:rPr>
                      <w:rFonts w:hint="eastAsia"/>
                      <w:b/>
                      <w:bCs/>
                      <w:color w:val="auto"/>
                    </w:rPr>
                    <w:t>高度（m）</w:t>
                  </w:r>
                </w:p>
              </w:tc>
              <w:tc>
                <w:tcPr>
                  <w:tcW w:w="952" w:type="dxa"/>
                  <w:vMerge w:val="restart"/>
                  <w:tcBorders>
                    <w:tl2br w:val="nil"/>
                    <w:tr2bl w:val="nil"/>
                  </w:tcBorders>
                  <w:tcMar>
                    <w:top w:w="0" w:type="dxa"/>
                    <w:left w:w="57" w:type="dxa"/>
                    <w:bottom w:w="0" w:type="dxa"/>
                    <w:right w:w="57" w:type="dxa"/>
                  </w:tcMar>
                  <w:vAlign w:val="center"/>
                </w:tcPr>
                <w:p w14:paraId="1A5FAEF4">
                  <w:pPr>
                    <w:spacing w:line="0" w:lineRule="atLeast"/>
                    <w:jc w:val="center"/>
                    <w:rPr>
                      <w:b/>
                      <w:bCs/>
                      <w:color w:val="auto"/>
                    </w:rPr>
                  </w:pPr>
                  <w:r>
                    <w:rPr>
                      <w:rFonts w:hint="eastAsia"/>
                      <w:b/>
                      <w:bCs/>
                      <w:color w:val="auto"/>
                    </w:rPr>
                    <w:t>直径（m）</w:t>
                  </w:r>
                </w:p>
              </w:tc>
              <w:tc>
                <w:tcPr>
                  <w:tcW w:w="1219" w:type="dxa"/>
                  <w:vMerge w:val="restart"/>
                  <w:tcBorders>
                    <w:tl2br w:val="nil"/>
                    <w:tr2bl w:val="nil"/>
                  </w:tcBorders>
                  <w:tcMar>
                    <w:top w:w="0" w:type="dxa"/>
                    <w:left w:w="57" w:type="dxa"/>
                    <w:bottom w:w="0" w:type="dxa"/>
                    <w:right w:w="57" w:type="dxa"/>
                  </w:tcMar>
                  <w:vAlign w:val="center"/>
                </w:tcPr>
                <w:p w14:paraId="0815DD0A">
                  <w:pPr>
                    <w:spacing w:line="0" w:lineRule="atLeast"/>
                    <w:jc w:val="center"/>
                    <w:rPr>
                      <w:b/>
                      <w:bCs/>
                      <w:color w:val="auto"/>
                    </w:rPr>
                  </w:pPr>
                  <w:r>
                    <w:rPr>
                      <w:rFonts w:hint="eastAsia"/>
                      <w:b/>
                      <w:bCs/>
                      <w:color w:val="auto"/>
                    </w:rPr>
                    <w:t>风量</w:t>
                  </w:r>
                </w:p>
                <w:p w14:paraId="59949CA9">
                  <w:pPr>
                    <w:spacing w:line="0" w:lineRule="atLeast"/>
                    <w:jc w:val="center"/>
                    <w:rPr>
                      <w:b/>
                      <w:bCs/>
                      <w:color w:val="auto"/>
                    </w:rPr>
                  </w:pPr>
                  <w:r>
                    <w:rPr>
                      <w:rFonts w:hint="eastAsia"/>
                      <w:b/>
                      <w:bCs/>
                      <w:color w:val="auto"/>
                    </w:rPr>
                    <w:t>（标干m</w:t>
                  </w:r>
                  <w:r>
                    <w:rPr>
                      <w:rFonts w:hint="eastAsia"/>
                      <w:b/>
                      <w:bCs/>
                      <w:color w:val="auto"/>
                      <w:vertAlign w:val="superscript"/>
                    </w:rPr>
                    <w:t>3</w:t>
                  </w:r>
                  <w:r>
                    <w:rPr>
                      <w:rFonts w:hint="eastAsia"/>
                      <w:b/>
                      <w:bCs/>
                      <w:color w:val="auto"/>
                    </w:rPr>
                    <w:t>/h）</w:t>
                  </w:r>
                </w:p>
              </w:tc>
              <w:tc>
                <w:tcPr>
                  <w:tcW w:w="1047" w:type="dxa"/>
                  <w:vMerge w:val="restart"/>
                  <w:tcBorders>
                    <w:tl2br w:val="nil"/>
                    <w:tr2bl w:val="nil"/>
                  </w:tcBorders>
                  <w:tcMar>
                    <w:top w:w="0" w:type="dxa"/>
                    <w:left w:w="57" w:type="dxa"/>
                    <w:bottom w:w="0" w:type="dxa"/>
                    <w:right w:w="57" w:type="dxa"/>
                  </w:tcMar>
                  <w:vAlign w:val="center"/>
                </w:tcPr>
                <w:p w14:paraId="4F7C285E">
                  <w:pPr>
                    <w:spacing w:line="0" w:lineRule="atLeast"/>
                    <w:jc w:val="center"/>
                    <w:rPr>
                      <w:b/>
                      <w:bCs/>
                      <w:color w:val="auto"/>
                    </w:rPr>
                  </w:pPr>
                  <w:r>
                    <w:rPr>
                      <w:rFonts w:hint="eastAsia"/>
                      <w:b/>
                      <w:bCs/>
                      <w:color w:val="auto"/>
                    </w:rPr>
                    <w:t>温度（℃）</w:t>
                  </w:r>
                </w:p>
              </w:tc>
              <w:tc>
                <w:tcPr>
                  <w:tcW w:w="806" w:type="dxa"/>
                  <w:vMerge w:val="restart"/>
                  <w:tcBorders>
                    <w:tl2br w:val="nil"/>
                    <w:tr2bl w:val="nil"/>
                  </w:tcBorders>
                  <w:tcMar>
                    <w:top w:w="0" w:type="dxa"/>
                    <w:left w:w="57" w:type="dxa"/>
                    <w:bottom w:w="0" w:type="dxa"/>
                    <w:right w:w="57" w:type="dxa"/>
                  </w:tcMar>
                  <w:vAlign w:val="center"/>
                </w:tcPr>
                <w:p w14:paraId="2AA9ED4B">
                  <w:pPr>
                    <w:spacing w:line="0" w:lineRule="atLeast"/>
                    <w:jc w:val="center"/>
                    <w:rPr>
                      <w:b/>
                      <w:bCs/>
                      <w:color w:val="auto"/>
                    </w:rPr>
                  </w:pPr>
                  <w:r>
                    <w:rPr>
                      <w:rFonts w:hint="eastAsia"/>
                      <w:b/>
                      <w:bCs/>
                      <w:color w:val="auto"/>
                    </w:rPr>
                    <w:t>排气筒编号</w:t>
                  </w:r>
                </w:p>
              </w:tc>
              <w:tc>
                <w:tcPr>
                  <w:tcW w:w="698" w:type="dxa"/>
                  <w:vMerge w:val="restart"/>
                  <w:tcBorders>
                    <w:tl2br w:val="nil"/>
                    <w:tr2bl w:val="nil"/>
                  </w:tcBorders>
                  <w:tcMar>
                    <w:top w:w="0" w:type="dxa"/>
                    <w:left w:w="57" w:type="dxa"/>
                    <w:bottom w:w="0" w:type="dxa"/>
                    <w:right w:w="57" w:type="dxa"/>
                  </w:tcMar>
                  <w:vAlign w:val="center"/>
                </w:tcPr>
                <w:p w14:paraId="3BC85FA9">
                  <w:pPr>
                    <w:spacing w:line="0" w:lineRule="atLeast"/>
                    <w:jc w:val="center"/>
                    <w:rPr>
                      <w:b/>
                      <w:bCs/>
                      <w:color w:val="auto"/>
                    </w:rPr>
                  </w:pPr>
                  <w:r>
                    <w:rPr>
                      <w:rFonts w:hint="eastAsia"/>
                      <w:b/>
                      <w:bCs/>
                      <w:color w:val="auto"/>
                    </w:rPr>
                    <w:t>名称</w:t>
                  </w:r>
                </w:p>
              </w:tc>
              <w:tc>
                <w:tcPr>
                  <w:tcW w:w="1016" w:type="dxa"/>
                  <w:vMerge w:val="restart"/>
                  <w:tcBorders>
                    <w:tl2br w:val="nil"/>
                    <w:tr2bl w:val="nil"/>
                  </w:tcBorders>
                  <w:tcMar>
                    <w:top w:w="0" w:type="dxa"/>
                    <w:left w:w="57" w:type="dxa"/>
                    <w:bottom w:w="0" w:type="dxa"/>
                    <w:right w:w="57" w:type="dxa"/>
                  </w:tcMar>
                  <w:vAlign w:val="center"/>
                </w:tcPr>
                <w:p w14:paraId="409FA2F8">
                  <w:pPr>
                    <w:spacing w:line="0" w:lineRule="atLeast"/>
                    <w:jc w:val="center"/>
                    <w:rPr>
                      <w:b/>
                      <w:bCs/>
                      <w:color w:val="auto"/>
                    </w:rPr>
                  </w:pPr>
                  <w:r>
                    <w:rPr>
                      <w:rFonts w:hint="eastAsia"/>
                      <w:b/>
                      <w:bCs/>
                      <w:color w:val="auto"/>
                    </w:rPr>
                    <w:t>排放口类型</w:t>
                  </w:r>
                </w:p>
              </w:tc>
              <w:tc>
                <w:tcPr>
                  <w:tcW w:w="1992" w:type="dxa"/>
                  <w:gridSpan w:val="3"/>
                  <w:tcBorders>
                    <w:tl2br w:val="nil"/>
                    <w:tr2bl w:val="nil"/>
                  </w:tcBorders>
                  <w:tcMar>
                    <w:top w:w="0" w:type="dxa"/>
                    <w:left w:w="57" w:type="dxa"/>
                    <w:bottom w:w="0" w:type="dxa"/>
                    <w:right w:w="57" w:type="dxa"/>
                  </w:tcMar>
                  <w:vAlign w:val="center"/>
                </w:tcPr>
                <w:p w14:paraId="490DC145">
                  <w:pPr>
                    <w:spacing w:line="0" w:lineRule="atLeast"/>
                    <w:jc w:val="center"/>
                    <w:rPr>
                      <w:b/>
                      <w:bCs/>
                      <w:color w:val="auto"/>
                    </w:rPr>
                  </w:pPr>
                  <w:r>
                    <w:rPr>
                      <w:rFonts w:hint="eastAsia"/>
                      <w:b/>
                      <w:bCs/>
                      <w:color w:val="auto"/>
                    </w:rPr>
                    <w:t>执行标准及限值</w:t>
                  </w:r>
                </w:p>
              </w:tc>
              <w:tc>
                <w:tcPr>
                  <w:tcW w:w="841" w:type="dxa"/>
                  <w:vMerge w:val="restart"/>
                  <w:tcBorders>
                    <w:tl2br w:val="nil"/>
                    <w:tr2bl w:val="nil"/>
                  </w:tcBorders>
                  <w:tcMar>
                    <w:top w:w="0" w:type="dxa"/>
                    <w:left w:w="57" w:type="dxa"/>
                    <w:bottom w:w="0" w:type="dxa"/>
                    <w:right w:w="57" w:type="dxa"/>
                  </w:tcMar>
                  <w:vAlign w:val="center"/>
                </w:tcPr>
                <w:p w14:paraId="3C9045FF">
                  <w:pPr>
                    <w:spacing w:line="0" w:lineRule="atLeast"/>
                    <w:jc w:val="center"/>
                    <w:rPr>
                      <w:b/>
                      <w:bCs/>
                      <w:color w:val="auto"/>
                    </w:rPr>
                  </w:pPr>
                  <w:r>
                    <w:rPr>
                      <w:rFonts w:hint="eastAsia"/>
                      <w:b/>
                      <w:bCs/>
                      <w:color w:val="auto"/>
                    </w:rPr>
                    <w:t>排放方式</w:t>
                  </w:r>
                </w:p>
              </w:tc>
              <w:tc>
                <w:tcPr>
                  <w:tcW w:w="842" w:type="dxa"/>
                  <w:vMerge w:val="restart"/>
                  <w:tcBorders>
                    <w:tl2br w:val="nil"/>
                    <w:tr2bl w:val="nil"/>
                  </w:tcBorders>
                  <w:tcMar>
                    <w:top w:w="0" w:type="dxa"/>
                    <w:left w:w="57" w:type="dxa"/>
                    <w:bottom w:w="0" w:type="dxa"/>
                    <w:right w:w="57" w:type="dxa"/>
                  </w:tcMar>
                  <w:vAlign w:val="center"/>
                </w:tcPr>
                <w:p w14:paraId="13DD04D2">
                  <w:pPr>
                    <w:spacing w:line="0" w:lineRule="atLeast"/>
                    <w:jc w:val="center"/>
                    <w:rPr>
                      <w:b/>
                      <w:bCs/>
                      <w:color w:val="auto"/>
                    </w:rPr>
                  </w:pPr>
                  <w:r>
                    <w:rPr>
                      <w:rFonts w:hint="eastAsia"/>
                      <w:b/>
                      <w:bCs/>
                      <w:color w:val="auto"/>
                    </w:rPr>
                    <w:t>工作时间（h）</w:t>
                  </w:r>
                </w:p>
              </w:tc>
            </w:tr>
            <w:tr w14:paraId="6A49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16" w:type="dxa"/>
                  <w:vMerge w:val="continue"/>
                  <w:tcBorders>
                    <w:tl2br w:val="nil"/>
                    <w:tr2bl w:val="nil"/>
                  </w:tcBorders>
                  <w:tcMar>
                    <w:top w:w="0" w:type="dxa"/>
                    <w:left w:w="57" w:type="dxa"/>
                    <w:bottom w:w="0" w:type="dxa"/>
                    <w:right w:w="57" w:type="dxa"/>
                  </w:tcMar>
                  <w:vAlign w:val="center"/>
                </w:tcPr>
                <w:p w14:paraId="7DF27BCB">
                  <w:pPr>
                    <w:keepNext/>
                    <w:keepLines/>
                    <w:widowControl/>
                    <w:overflowPunct w:val="0"/>
                    <w:jc w:val="center"/>
                    <w:rPr>
                      <w:rFonts w:ascii="仿宋" w:hAnsi="仿宋" w:eastAsia="仿宋" w:cs="仿宋"/>
                      <w:color w:val="auto"/>
                      <w:sz w:val="18"/>
                      <w:szCs w:val="18"/>
                    </w:rPr>
                  </w:pPr>
                </w:p>
              </w:tc>
              <w:tc>
                <w:tcPr>
                  <w:tcW w:w="664" w:type="dxa"/>
                  <w:vMerge w:val="continue"/>
                  <w:tcBorders>
                    <w:tl2br w:val="nil"/>
                    <w:tr2bl w:val="nil"/>
                  </w:tcBorders>
                  <w:tcMar>
                    <w:top w:w="0" w:type="dxa"/>
                    <w:left w:w="57" w:type="dxa"/>
                    <w:bottom w:w="0" w:type="dxa"/>
                    <w:right w:w="57" w:type="dxa"/>
                  </w:tcMar>
                  <w:vAlign w:val="center"/>
                </w:tcPr>
                <w:p w14:paraId="3AC0815D">
                  <w:pPr>
                    <w:keepNext/>
                    <w:keepLines/>
                    <w:widowControl/>
                    <w:overflowPunct w:val="0"/>
                    <w:jc w:val="center"/>
                    <w:rPr>
                      <w:rFonts w:ascii="仿宋" w:hAnsi="仿宋" w:eastAsia="仿宋" w:cs="仿宋"/>
                      <w:color w:val="auto"/>
                      <w:sz w:val="18"/>
                      <w:szCs w:val="18"/>
                    </w:rPr>
                  </w:pPr>
                </w:p>
              </w:tc>
              <w:tc>
                <w:tcPr>
                  <w:tcW w:w="840" w:type="dxa"/>
                  <w:vMerge w:val="continue"/>
                  <w:tcBorders>
                    <w:tl2br w:val="nil"/>
                    <w:tr2bl w:val="nil"/>
                  </w:tcBorders>
                  <w:tcMar>
                    <w:top w:w="0" w:type="dxa"/>
                    <w:left w:w="57" w:type="dxa"/>
                    <w:bottom w:w="0" w:type="dxa"/>
                    <w:right w:w="57" w:type="dxa"/>
                  </w:tcMar>
                  <w:vAlign w:val="center"/>
                </w:tcPr>
                <w:p w14:paraId="35811343">
                  <w:pPr>
                    <w:keepNext/>
                    <w:keepLines/>
                    <w:widowControl/>
                    <w:overflowPunct w:val="0"/>
                    <w:jc w:val="center"/>
                    <w:rPr>
                      <w:rFonts w:ascii="仿宋" w:hAnsi="仿宋" w:eastAsia="仿宋" w:cs="仿宋"/>
                      <w:color w:val="auto"/>
                      <w:sz w:val="18"/>
                      <w:szCs w:val="18"/>
                    </w:rPr>
                  </w:pPr>
                </w:p>
              </w:tc>
              <w:tc>
                <w:tcPr>
                  <w:tcW w:w="664" w:type="dxa"/>
                  <w:vMerge w:val="continue"/>
                  <w:tcBorders>
                    <w:tl2br w:val="nil"/>
                    <w:tr2bl w:val="nil"/>
                  </w:tcBorders>
                  <w:tcMar>
                    <w:top w:w="0" w:type="dxa"/>
                    <w:left w:w="57" w:type="dxa"/>
                    <w:bottom w:w="0" w:type="dxa"/>
                    <w:right w:w="57" w:type="dxa"/>
                  </w:tcMar>
                  <w:vAlign w:val="center"/>
                </w:tcPr>
                <w:p w14:paraId="48E53392">
                  <w:pPr>
                    <w:keepNext/>
                    <w:keepLines/>
                    <w:widowControl/>
                    <w:overflowPunct w:val="0"/>
                    <w:jc w:val="center"/>
                    <w:rPr>
                      <w:rFonts w:ascii="仿宋" w:hAnsi="仿宋" w:eastAsia="仿宋" w:cs="仿宋"/>
                      <w:color w:val="auto"/>
                      <w:sz w:val="18"/>
                      <w:szCs w:val="18"/>
                    </w:rPr>
                  </w:pPr>
                </w:p>
              </w:tc>
              <w:tc>
                <w:tcPr>
                  <w:tcW w:w="952" w:type="dxa"/>
                  <w:vMerge w:val="continue"/>
                  <w:tcBorders>
                    <w:tl2br w:val="nil"/>
                    <w:tr2bl w:val="nil"/>
                  </w:tcBorders>
                  <w:tcMar>
                    <w:top w:w="0" w:type="dxa"/>
                    <w:left w:w="57" w:type="dxa"/>
                    <w:bottom w:w="0" w:type="dxa"/>
                    <w:right w:w="57" w:type="dxa"/>
                  </w:tcMar>
                  <w:vAlign w:val="center"/>
                </w:tcPr>
                <w:p w14:paraId="21D485C8">
                  <w:pPr>
                    <w:keepNext/>
                    <w:keepLines/>
                    <w:widowControl/>
                    <w:overflowPunct w:val="0"/>
                    <w:jc w:val="center"/>
                    <w:rPr>
                      <w:rFonts w:ascii="仿宋" w:hAnsi="仿宋" w:eastAsia="仿宋" w:cs="仿宋"/>
                      <w:color w:val="auto"/>
                      <w:sz w:val="18"/>
                      <w:szCs w:val="18"/>
                    </w:rPr>
                  </w:pPr>
                </w:p>
              </w:tc>
              <w:tc>
                <w:tcPr>
                  <w:tcW w:w="952" w:type="dxa"/>
                  <w:vMerge w:val="continue"/>
                  <w:tcBorders>
                    <w:tl2br w:val="nil"/>
                    <w:tr2bl w:val="nil"/>
                  </w:tcBorders>
                  <w:tcMar>
                    <w:top w:w="0" w:type="dxa"/>
                    <w:left w:w="57" w:type="dxa"/>
                    <w:bottom w:w="0" w:type="dxa"/>
                    <w:right w:w="57" w:type="dxa"/>
                  </w:tcMar>
                  <w:vAlign w:val="center"/>
                </w:tcPr>
                <w:p w14:paraId="1F52B1D9">
                  <w:pPr>
                    <w:keepNext/>
                    <w:keepLines/>
                    <w:widowControl/>
                    <w:overflowPunct w:val="0"/>
                    <w:jc w:val="center"/>
                    <w:rPr>
                      <w:rFonts w:ascii="仿宋" w:hAnsi="仿宋" w:eastAsia="仿宋" w:cs="仿宋"/>
                      <w:color w:val="auto"/>
                      <w:sz w:val="18"/>
                      <w:szCs w:val="18"/>
                    </w:rPr>
                  </w:pPr>
                </w:p>
              </w:tc>
              <w:tc>
                <w:tcPr>
                  <w:tcW w:w="1219" w:type="dxa"/>
                  <w:vMerge w:val="continue"/>
                  <w:tcBorders>
                    <w:tl2br w:val="nil"/>
                    <w:tr2bl w:val="nil"/>
                  </w:tcBorders>
                  <w:tcMar>
                    <w:top w:w="0" w:type="dxa"/>
                    <w:left w:w="57" w:type="dxa"/>
                    <w:bottom w:w="0" w:type="dxa"/>
                    <w:right w:w="57" w:type="dxa"/>
                  </w:tcMar>
                  <w:vAlign w:val="center"/>
                </w:tcPr>
                <w:p w14:paraId="5192630E">
                  <w:pPr>
                    <w:keepNext/>
                    <w:keepLines/>
                    <w:widowControl/>
                    <w:overflowPunct w:val="0"/>
                    <w:jc w:val="center"/>
                    <w:rPr>
                      <w:rFonts w:ascii="仿宋" w:hAnsi="仿宋" w:eastAsia="仿宋" w:cs="仿宋"/>
                      <w:color w:val="auto"/>
                      <w:sz w:val="18"/>
                      <w:szCs w:val="18"/>
                    </w:rPr>
                  </w:pPr>
                </w:p>
              </w:tc>
              <w:tc>
                <w:tcPr>
                  <w:tcW w:w="1047" w:type="dxa"/>
                  <w:vMerge w:val="continue"/>
                  <w:tcBorders>
                    <w:tl2br w:val="nil"/>
                    <w:tr2bl w:val="nil"/>
                  </w:tcBorders>
                  <w:tcMar>
                    <w:top w:w="0" w:type="dxa"/>
                    <w:left w:w="57" w:type="dxa"/>
                    <w:bottom w:w="0" w:type="dxa"/>
                    <w:right w:w="57" w:type="dxa"/>
                  </w:tcMar>
                  <w:vAlign w:val="center"/>
                </w:tcPr>
                <w:p w14:paraId="275F45D5">
                  <w:pPr>
                    <w:keepNext/>
                    <w:keepLines/>
                    <w:widowControl/>
                    <w:overflowPunct w:val="0"/>
                    <w:jc w:val="center"/>
                    <w:rPr>
                      <w:rFonts w:ascii="仿宋" w:hAnsi="仿宋" w:eastAsia="仿宋" w:cs="仿宋"/>
                      <w:color w:val="auto"/>
                      <w:sz w:val="18"/>
                      <w:szCs w:val="18"/>
                    </w:rPr>
                  </w:pPr>
                </w:p>
              </w:tc>
              <w:tc>
                <w:tcPr>
                  <w:tcW w:w="806" w:type="dxa"/>
                  <w:vMerge w:val="continue"/>
                  <w:tcBorders>
                    <w:tl2br w:val="nil"/>
                    <w:tr2bl w:val="nil"/>
                  </w:tcBorders>
                  <w:tcMar>
                    <w:top w:w="0" w:type="dxa"/>
                    <w:left w:w="57" w:type="dxa"/>
                    <w:bottom w:w="0" w:type="dxa"/>
                    <w:right w:w="57" w:type="dxa"/>
                  </w:tcMar>
                  <w:vAlign w:val="center"/>
                </w:tcPr>
                <w:p w14:paraId="7123F598">
                  <w:pPr>
                    <w:keepNext/>
                    <w:keepLines/>
                    <w:widowControl/>
                    <w:overflowPunct w:val="0"/>
                    <w:jc w:val="center"/>
                    <w:rPr>
                      <w:rFonts w:ascii="仿宋" w:hAnsi="仿宋" w:eastAsia="仿宋" w:cs="仿宋"/>
                      <w:color w:val="auto"/>
                      <w:sz w:val="18"/>
                      <w:szCs w:val="18"/>
                    </w:rPr>
                  </w:pPr>
                </w:p>
              </w:tc>
              <w:tc>
                <w:tcPr>
                  <w:tcW w:w="698" w:type="dxa"/>
                  <w:vMerge w:val="continue"/>
                  <w:tcBorders>
                    <w:tl2br w:val="nil"/>
                    <w:tr2bl w:val="nil"/>
                  </w:tcBorders>
                  <w:tcMar>
                    <w:top w:w="0" w:type="dxa"/>
                    <w:left w:w="57" w:type="dxa"/>
                    <w:bottom w:w="0" w:type="dxa"/>
                    <w:right w:w="57" w:type="dxa"/>
                  </w:tcMar>
                  <w:vAlign w:val="center"/>
                </w:tcPr>
                <w:p w14:paraId="7BDBC782">
                  <w:pPr>
                    <w:keepNext/>
                    <w:keepLines/>
                    <w:widowControl/>
                    <w:overflowPunct w:val="0"/>
                    <w:jc w:val="center"/>
                    <w:rPr>
                      <w:rFonts w:ascii="仿宋" w:hAnsi="仿宋" w:eastAsia="仿宋" w:cs="仿宋"/>
                      <w:color w:val="auto"/>
                      <w:sz w:val="18"/>
                      <w:szCs w:val="18"/>
                    </w:rPr>
                  </w:pPr>
                </w:p>
              </w:tc>
              <w:tc>
                <w:tcPr>
                  <w:tcW w:w="1016" w:type="dxa"/>
                  <w:vMerge w:val="continue"/>
                  <w:tcBorders>
                    <w:tl2br w:val="nil"/>
                    <w:tr2bl w:val="nil"/>
                  </w:tcBorders>
                  <w:tcMar>
                    <w:top w:w="0" w:type="dxa"/>
                    <w:left w:w="57" w:type="dxa"/>
                    <w:bottom w:w="0" w:type="dxa"/>
                    <w:right w:w="57" w:type="dxa"/>
                  </w:tcMar>
                  <w:vAlign w:val="center"/>
                </w:tcPr>
                <w:p w14:paraId="1BF70205">
                  <w:pPr>
                    <w:keepNext/>
                    <w:keepLines/>
                    <w:widowControl/>
                    <w:overflowPunct w:val="0"/>
                    <w:jc w:val="center"/>
                    <w:rPr>
                      <w:rFonts w:ascii="仿宋" w:hAnsi="仿宋" w:eastAsia="仿宋" w:cs="仿宋"/>
                      <w:color w:val="auto"/>
                      <w:sz w:val="18"/>
                      <w:szCs w:val="18"/>
                    </w:rPr>
                  </w:pPr>
                </w:p>
              </w:tc>
              <w:tc>
                <w:tcPr>
                  <w:tcW w:w="488" w:type="dxa"/>
                  <w:tcBorders>
                    <w:tl2br w:val="nil"/>
                    <w:tr2bl w:val="nil"/>
                  </w:tcBorders>
                  <w:tcMar>
                    <w:top w:w="0" w:type="dxa"/>
                    <w:left w:w="57" w:type="dxa"/>
                    <w:bottom w:w="0" w:type="dxa"/>
                    <w:right w:w="57" w:type="dxa"/>
                  </w:tcMar>
                  <w:vAlign w:val="center"/>
                </w:tcPr>
                <w:p w14:paraId="43A8CBC2">
                  <w:pPr>
                    <w:spacing w:line="0" w:lineRule="atLeast"/>
                    <w:jc w:val="center"/>
                    <w:rPr>
                      <w:b/>
                      <w:bCs/>
                      <w:color w:val="auto"/>
                    </w:rPr>
                  </w:pPr>
                  <w:r>
                    <w:rPr>
                      <w:rFonts w:hint="eastAsia"/>
                      <w:b/>
                      <w:bCs/>
                      <w:color w:val="auto"/>
                    </w:rPr>
                    <w:t>浓度</w:t>
                  </w:r>
                </w:p>
              </w:tc>
              <w:tc>
                <w:tcPr>
                  <w:tcW w:w="488" w:type="dxa"/>
                  <w:tcBorders>
                    <w:tl2br w:val="nil"/>
                    <w:tr2bl w:val="nil"/>
                  </w:tcBorders>
                  <w:tcMar>
                    <w:top w:w="0" w:type="dxa"/>
                    <w:left w:w="57" w:type="dxa"/>
                    <w:bottom w:w="0" w:type="dxa"/>
                    <w:right w:w="57" w:type="dxa"/>
                  </w:tcMar>
                  <w:vAlign w:val="center"/>
                </w:tcPr>
                <w:p w14:paraId="516721BB">
                  <w:pPr>
                    <w:spacing w:line="0" w:lineRule="atLeast"/>
                    <w:jc w:val="center"/>
                    <w:rPr>
                      <w:b/>
                      <w:bCs/>
                      <w:color w:val="auto"/>
                    </w:rPr>
                  </w:pPr>
                  <w:r>
                    <w:rPr>
                      <w:rFonts w:hint="eastAsia"/>
                      <w:b/>
                      <w:bCs/>
                      <w:color w:val="auto"/>
                    </w:rPr>
                    <w:t>速率</w:t>
                  </w:r>
                </w:p>
              </w:tc>
              <w:tc>
                <w:tcPr>
                  <w:tcW w:w="1016" w:type="dxa"/>
                  <w:tcBorders>
                    <w:tl2br w:val="nil"/>
                    <w:tr2bl w:val="nil"/>
                  </w:tcBorders>
                  <w:tcMar>
                    <w:top w:w="0" w:type="dxa"/>
                    <w:left w:w="57" w:type="dxa"/>
                    <w:bottom w:w="0" w:type="dxa"/>
                    <w:right w:w="57" w:type="dxa"/>
                  </w:tcMar>
                  <w:vAlign w:val="center"/>
                </w:tcPr>
                <w:p w14:paraId="134F316E">
                  <w:pPr>
                    <w:spacing w:line="0" w:lineRule="atLeast"/>
                    <w:jc w:val="center"/>
                    <w:rPr>
                      <w:b/>
                      <w:bCs/>
                      <w:color w:val="auto"/>
                    </w:rPr>
                  </w:pPr>
                  <w:r>
                    <w:rPr>
                      <w:rFonts w:hint="eastAsia"/>
                      <w:b/>
                      <w:bCs/>
                      <w:color w:val="auto"/>
                    </w:rPr>
                    <w:t>标准名称</w:t>
                  </w:r>
                </w:p>
              </w:tc>
              <w:tc>
                <w:tcPr>
                  <w:tcW w:w="841" w:type="dxa"/>
                  <w:vMerge w:val="continue"/>
                  <w:tcBorders>
                    <w:tl2br w:val="nil"/>
                    <w:tr2bl w:val="nil"/>
                  </w:tcBorders>
                  <w:tcMar>
                    <w:top w:w="0" w:type="dxa"/>
                    <w:left w:w="57" w:type="dxa"/>
                    <w:bottom w:w="0" w:type="dxa"/>
                    <w:right w:w="57" w:type="dxa"/>
                  </w:tcMar>
                  <w:vAlign w:val="center"/>
                </w:tcPr>
                <w:p w14:paraId="411CBDEA">
                  <w:pPr>
                    <w:keepNext/>
                    <w:keepLines/>
                    <w:widowControl/>
                    <w:overflowPunct w:val="0"/>
                    <w:jc w:val="center"/>
                    <w:rPr>
                      <w:rFonts w:ascii="仿宋" w:hAnsi="仿宋" w:eastAsia="仿宋" w:cs="仿宋"/>
                      <w:color w:val="auto"/>
                      <w:sz w:val="18"/>
                      <w:szCs w:val="18"/>
                    </w:rPr>
                  </w:pPr>
                </w:p>
              </w:tc>
              <w:tc>
                <w:tcPr>
                  <w:tcW w:w="842" w:type="dxa"/>
                  <w:vMerge w:val="continue"/>
                  <w:tcBorders>
                    <w:tl2br w:val="nil"/>
                    <w:tr2bl w:val="nil"/>
                  </w:tcBorders>
                  <w:tcMar>
                    <w:top w:w="0" w:type="dxa"/>
                    <w:left w:w="57" w:type="dxa"/>
                    <w:bottom w:w="0" w:type="dxa"/>
                    <w:right w:w="57" w:type="dxa"/>
                  </w:tcMar>
                  <w:vAlign w:val="center"/>
                </w:tcPr>
                <w:p w14:paraId="356F175F">
                  <w:pPr>
                    <w:keepNext/>
                    <w:keepLines/>
                    <w:widowControl/>
                    <w:overflowPunct w:val="0"/>
                    <w:jc w:val="center"/>
                    <w:rPr>
                      <w:rFonts w:ascii="仿宋" w:hAnsi="仿宋" w:eastAsia="仿宋" w:cs="仿宋"/>
                      <w:color w:val="auto"/>
                      <w:sz w:val="18"/>
                      <w:szCs w:val="18"/>
                    </w:rPr>
                  </w:pPr>
                </w:p>
              </w:tc>
            </w:tr>
            <w:tr w14:paraId="64C1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16" w:type="dxa"/>
                  <w:vMerge w:val="restart"/>
                  <w:tcBorders>
                    <w:tl2br w:val="nil"/>
                    <w:tr2bl w:val="nil"/>
                  </w:tcBorders>
                  <w:tcMar>
                    <w:top w:w="0" w:type="dxa"/>
                    <w:left w:w="57" w:type="dxa"/>
                    <w:bottom w:w="0" w:type="dxa"/>
                    <w:right w:w="57" w:type="dxa"/>
                  </w:tcMar>
                  <w:vAlign w:val="center"/>
                </w:tcPr>
                <w:p w14:paraId="77E5F15C">
                  <w:pPr>
                    <w:jc w:val="center"/>
                    <w:rPr>
                      <w:color w:val="auto"/>
                    </w:rPr>
                  </w:pPr>
                  <w:r>
                    <w:rPr>
                      <w:rFonts w:hint="eastAsia"/>
                      <w:color w:val="auto"/>
                    </w:rPr>
                    <w:t>气弹簧生产线</w:t>
                  </w:r>
                </w:p>
              </w:tc>
              <w:tc>
                <w:tcPr>
                  <w:tcW w:w="664" w:type="dxa"/>
                  <w:tcBorders>
                    <w:tl2br w:val="nil"/>
                    <w:tr2bl w:val="nil"/>
                  </w:tcBorders>
                  <w:tcMar>
                    <w:top w:w="0" w:type="dxa"/>
                    <w:left w:w="57" w:type="dxa"/>
                    <w:bottom w:w="0" w:type="dxa"/>
                    <w:right w:w="57" w:type="dxa"/>
                  </w:tcMar>
                  <w:vAlign w:val="center"/>
                </w:tcPr>
                <w:p w14:paraId="76CAC2B2">
                  <w:pPr>
                    <w:jc w:val="center"/>
                    <w:rPr>
                      <w:color w:val="auto"/>
                    </w:rPr>
                  </w:pPr>
                  <w:r>
                    <w:rPr>
                      <w:rFonts w:hint="eastAsia"/>
                      <w:color w:val="auto"/>
                    </w:rPr>
                    <w:t>清洗废气</w:t>
                  </w:r>
                </w:p>
              </w:tc>
              <w:tc>
                <w:tcPr>
                  <w:tcW w:w="840" w:type="dxa"/>
                  <w:tcBorders>
                    <w:tl2br w:val="nil"/>
                    <w:tr2bl w:val="nil"/>
                  </w:tcBorders>
                  <w:tcMar>
                    <w:top w:w="0" w:type="dxa"/>
                    <w:left w:w="57" w:type="dxa"/>
                    <w:bottom w:w="0" w:type="dxa"/>
                    <w:right w:w="57" w:type="dxa"/>
                  </w:tcMar>
                  <w:vAlign w:val="center"/>
                </w:tcPr>
                <w:p w14:paraId="2A9DA54C">
                  <w:pPr>
                    <w:jc w:val="center"/>
                    <w:rPr>
                      <w:color w:val="auto"/>
                    </w:rPr>
                  </w:pPr>
                  <w:r>
                    <w:rPr>
                      <w:rFonts w:hint="eastAsia"/>
                      <w:color w:val="auto"/>
                    </w:rPr>
                    <w:t>119.46721,31.78786</w:t>
                  </w:r>
                </w:p>
              </w:tc>
              <w:tc>
                <w:tcPr>
                  <w:tcW w:w="664" w:type="dxa"/>
                  <w:tcBorders>
                    <w:tl2br w:val="nil"/>
                    <w:tr2bl w:val="nil"/>
                  </w:tcBorders>
                  <w:tcMar>
                    <w:top w:w="0" w:type="dxa"/>
                    <w:left w:w="57" w:type="dxa"/>
                    <w:bottom w:w="0" w:type="dxa"/>
                    <w:right w:w="57" w:type="dxa"/>
                  </w:tcMar>
                  <w:vAlign w:val="center"/>
                </w:tcPr>
                <w:p w14:paraId="6D555821">
                  <w:pPr>
                    <w:jc w:val="center"/>
                    <w:rPr>
                      <w:color w:val="auto"/>
                    </w:rPr>
                  </w:pPr>
                  <w:r>
                    <w:rPr>
                      <w:rFonts w:hint="eastAsia"/>
                      <w:color w:val="auto"/>
                    </w:rPr>
                    <w:t>非甲烷总烃</w:t>
                  </w:r>
                </w:p>
              </w:tc>
              <w:tc>
                <w:tcPr>
                  <w:tcW w:w="952" w:type="dxa"/>
                  <w:tcBorders>
                    <w:tl2br w:val="nil"/>
                    <w:tr2bl w:val="nil"/>
                  </w:tcBorders>
                  <w:tcMar>
                    <w:top w:w="0" w:type="dxa"/>
                    <w:left w:w="57" w:type="dxa"/>
                    <w:bottom w:w="0" w:type="dxa"/>
                    <w:right w:w="57" w:type="dxa"/>
                  </w:tcMar>
                  <w:vAlign w:val="center"/>
                </w:tcPr>
                <w:p w14:paraId="1BDC57C8">
                  <w:pPr>
                    <w:jc w:val="center"/>
                    <w:rPr>
                      <w:color w:val="auto"/>
                    </w:rPr>
                  </w:pPr>
                  <w:r>
                    <w:rPr>
                      <w:rFonts w:hint="eastAsia"/>
                      <w:color w:val="auto"/>
                    </w:rPr>
                    <w:t>15</w:t>
                  </w:r>
                </w:p>
              </w:tc>
              <w:tc>
                <w:tcPr>
                  <w:tcW w:w="952" w:type="dxa"/>
                  <w:tcBorders>
                    <w:tl2br w:val="nil"/>
                    <w:tr2bl w:val="nil"/>
                  </w:tcBorders>
                  <w:tcMar>
                    <w:top w:w="0" w:type="dxa"/>
                    <w:left w:w="57" w:type="dxa"/>
                    <w:bottom w:w="0" w:type="dxa"/>
                    <w:right w:w="57" w:type="dxa"/>
                  </w:tcMar>
                  <w:vAlign w:val="center"/>
                </w:tcPr>
                <w:p w14:paraId="7ACBEE12">
                  <w:pPr>
                    <w:jc w:val="center"/>
                    <w:rPr>
                      <w:color w:val="auto"/>
                    </w:rPr>
                  </w:pPr>
                  <w:r>
                    <w:rPr>
                      <w:rFonts w:hint="eastAsia"/>
                      <w:color w:val="auto"/>
                    </w:rPr>
                    <w:t>0.7</w:t>
                  </w:r>
                </w:p>
              </w:tc>
              <w:tc>
                <w:tcPr>
                  <w:tcW w:w="1219" w:type="dxa"/>
                  <w:tcBorders>
                    <w:tl2br w:val="nil"/>
                    <w:tr2bl w:val="nil"/>
                  </w:tcBorders>
                  <w:tcMar>
                    <w:top w:w="0" w:type="dxa"/>
                    <w:left w:w="57" w:type="dxa"/>
                    <w:bottom w:w="0" w:type="dxa"/>
                    <w:right w:w="57" w:type="dxa"/>
                  </w:tcMar>
                  <w:vAlign w:val="center"/>
                </w:tcPr>
                <w:p w14:paraId="7DA028EA">
                  <w:pPr>
                    <w:jc w:val="center"/>
                    <w:rPr>
                      <w:color w:val="auto"/>
                    </w:rPr>
                  </w:pPr>
                  <w:r>
                    <w:rPr>
                      <w:rFonts w:hint="eastAsia"/>
                      <w:color w:val="auto"/>
                    </w:rPr>
                    <w:t>20000</w:t>
                  </w:r>
                </w:p>
              </w:tc>
              <w:tc>
                <w:tcPr>
                  <w:tcW w:w="1047" w:type="dxa"/>
                  <w:tcBorders>
                    <w:tl2br w:val="nil"/>
                    <w:tr2bl w:val="nil"/>
                  </w:tcBorders>
                  <w:tcMar>
                    <w:top w:w="0" w:type="dxa"/>
                    <w:left w:w="57" w:type="dxa"/>
                    <w:bottom w:w="0" w:type="dxa"/>
                    <w:right w:w="57" w:type="dxa"/>
                  </w:tcMar>
                  <w:vAlign w:val="center"/>
                </w:tcPr>
                <w:p w14:paraId="70E8B440">
                  <w:pPr>
                    <w:jc w:val="center"/>
                    <w:rPr>
                      <w:color w:val="auto"/>
                    </w:rPr>
                  </w:pPr>
                  <w:r>
                    <w:rPr>
                      <w:rFonts w:hint="eastAsia"/>
                      <w:color w:val="auto"/>
                    </w:rPr>
                    <w:t>20</w:t>
                  </w:r>
                </w:p>
              </w:tc>
              <w:tc>
                <w:tcPr>
                  <w:tcW w:w="806" w:type="dxa"/>
                  <w:tcBorders>
                    <w:tl2br w:val="nil"/>
                    <w:tr2bl w:val="nil"/>
                  </w:tcBorders>
                  <w:tcMar>
                    <w:top w:w="0" w:type="dxa"/>
                    <w:left w:w="57" w:type="dxa"/>
                    <w:bottom w:w="0" w:type="dxa"/>
                    <w:right w:w="57" w:type="dxa"/>
                  </w:tcMar>
                  <w:vAlign w:val="center"/>
                </w:tcPr>
                <w:p w14:paraId="26BBF16D">
                  <w:pPr>
                    <w:jc w:val="center"/>
                    <w:rPr>
                      <w:color w:val="auto"/>
                    </w:rPr>
                  </w:pPr>
                  <w:r>
                    <w:rPr>
                      <w:rFonts w:hint="eastAsia"/>
                      <w:color w:val="auto"/>
                    </w:rPr>
                    <w:t>FQ-1</w:t>
                  </w:r>
                </w:p>
              </w:tc>
              <w:tc>
                <w:tcPr>
                  <w:tcW w:w="698" w:type="dxa"/>
                  <w:tcBorders>
                    <w:tl2br w:val="nil"/>
                    <w:tr2bl w:val="nil"/>
                  </w:tcBorders>
                  <w:tcMar>
                    <w:top w:w="0" w:type="dxa"/>
                    <w:left w:w="57" w:type="dxa"/>
                    <w:bottom w:w="0" w:type="dxa"/>
                    <w:right w:w="57" w:type="dxa"/>
                  </w:tcMar>
                  <w:vAlign w:val="center"/>
                </w:tcPr>
                <w:p w14:paraId="57C2CF72">
                  <w:pPr>
                    <w:jc w:val="center"/>
                    <w:rPr>
                      <w:color w:val="auto"/>
                    </w:rPr>
                  </w:pPr>
                  <w:r>
                    <w:rPr>
                      <w:rFonts w:hint="eastAsia"/>
                      <w:color w:val="auto"/>
                    </w:rPr>
                    <w:t>FQ-1排气筒</w:t>
                  </w:r>
                </w:p>
              </w:tc>
              <w:tc>
                <w:tcPr>
                  <w:tcW w:w="1016" w:type="dxa"/>
                  <w:tcBorders>
                    <w:tl2br w:val="nil"/>
                    <w:tr2bl w:val="nil"/>
                  </w:tcBorders>
                  <w:tcMar>
                    <w:top w:w="0" w:type="dxa"/>
                    <w:left w:w="57" w:type="dxa"/>
                    <w:bottom w:w="0" w:type="dxa"/>
                    <w:right w:w="57" w:type="dxa"/>
                  </w:tcMar>
                  <w:vAlign w:val="center"/>
                </w:tcPr>
                <w:p w14:paraId="2B5AC2BC">
                  <w:pPr>
                    <w:jc w:val="center"/>
                    <w:rPr>
                      <w:color w:val="auto"/>
                    </w:rPr>
                  </w:pPr>
                  <w:r>
                    <w:rPr>
                      <w:rFonts w:hint="eastAsia"/>
                      <w:color w:val="auto"/>
                    </w:rPr>
                    <w:t>一般排放口</w:t>
                  </w:r>
                </w:p>
              </w:tc>
              <w:tc>
                <w:tcPr>
                  <w:tcW w:w="488" w:type="dxa"/>
                  <w:tcBorders>
                    <w:tl2br w:val="nil"/>
                    <w:tr2bl w:val="nil"/>
                  </w:tcBorders>
                  <w:tcMar>
                    <w:top w:w="0" w:type="dxa"/>
                    <w:left w:w="57" w:type="dxa"/>
                    <w:bottom w:w="0" w:type="dxa"/>
                    <w:right w:w="57" w:type="dxa"/>
                  </w:tcMar>
                  <w:vAlign w:val="center"/>
                </w:tcPr>
                <w:p w14:paraId="3243BB31">
                  <w:pPr>
                    <w:spacing w:line="0" w:lineRule="atLeast"/>
                    <w:jc w:val="center"/>
                    <w:rPr>
                      <w:color w:val="auto"/>
                    </w:rPr>
                  </w:pPr>
                  <w:r>
                    <w:rPr>
                      <w:rFonts w:hint="eastAsia"/>
                      <w:bCs/>
                      <w:color w:val="auto"/>
                    </w:rPr>
                    <w:t>60</w:t>
                  </w:r>
                </w:p>
              </w:tc>
              <w:tc>
                <w:tcPr>
                  <w:tcW w:w="488" w:type="dxa"/>
                  <w:tcBorders>
                    <w:tl2br w:val="nil"/>
                    <w:tr2bl w:val="nil"/>
                  </w:tcBorders>
                  <w:tcMar>
                    <w:top w:w="0" w:type="dxa"/>
                    <w:left w:w="57" w:type="dxa"/>
                    <w:bottom w:w="0" w:type="dxa"/>
                    <w:right w:w="57" w:type="dxa"/>
                  </w:tcMar>
                  <w:vAlign w:val="center"/>
                </w:tcPr>
                <w:p w14:paraId="253A8AB8">
                  <w:pPr>
                    <w:jc w:val="center"/>
                    <w:rPr>
                      <w:color w:val="auto"/>
                    </w:rPr>
                  </w:pPr>
                  <w:r>
                    <w:rPr>
                      <w:rFonts w:hint="eastAsia"/>
                      <w:color w:val="auto"/>
                    </w:rPr>
                    <w:t>3</w:t>
                  </w:r>
                </w:p>
              </w:tc>
              <w:tc>
                <w:tcPr>
                  <w:tcW w:w="1016" w:type="dxa"/>
                  <w:vMerge w:val="restart"/>
                  <w:tcBorders>
                    <w:tl2br w:val="nil"/>
                    <w:tr2bl w:val="nil"/>
                  </w:tcBorders>
                  <w:tcMar>
                    <w:top w:w="0" w:type="dxa"/>
                    <w:left w:w="57" w:type="dxa"/>
                    <w:bottom w:w="0" w:type="dxa"/>
                    <w:right w:w="57" w:type="dxa"/>
                  </w:tcMar>
                  <w:vAlign w:val="center"/>
                </w:tcPr>
                <w:p w14:paraId="767E05EF">
                  <w:pPr>
                    <w:jc w:val="center"/>
                    <w:rPr>
                      <w:color w:val="auto"/>
                    </w:rPr>
                  </w:pPr>
                  <w:r>
                    <w:rPr>
                      <w:rFonts w:hint="eastAsia"/>
                      <w:color w:val="auto"/>
                    </w:rPr>
                    <w:t>《大气污染物综合排放标准》（DB32/4041-2021）</w:t>
                  </w:r>
                </w:p>
              </w:tc>
              <w:tc>
                <w:tcPr>
                  <w:tcW w:w="841" w:type="dxa"/>
                  <w:tcBorders>
                    <w:tl2br w:val="nil"/>
                    <w:tr2bl w:val="nil"/>
                  </w:tcBorders>
                  <w:tcMar>
                    <w:top w:w="0" w:type="dxa"/>
                    <w:left w:w="57" w:type="dxa"/>
                    <w:bottom w:w="0" w:type="dxa"/>
                    <w:right w:w="57" w:type="dxa"/>
                  </w:tcMar>
                  <w:vAlign w:val="center"/>
                </w:tcPr>
                <w:p w14:paraId="4D532BEB">
                  <w:pPr>
                    <w:jc w:val="center"/>
                    <w:rPr>
                      <w:color w:val="auto"/>
                    </w:rPr>
                  </w:pPr>
                  <w:r>
                    <w:rPr>
                      <w:rFonts w:hint="eastAsia"/>
                      <w:color w:val="auto"/>
                    </w:rPr>
                    <w:t>连续</w:t>
                  </w:r>
                </w:p>
              </w:tc>
              <w:tc>
                <w:tcPr>
                  <w:tcW w:w="842" w:type="dxa"/>
                  <w:tcBorders>
                    <w:tl2br w:val="nil"/>
                    <w:tr2bl w:val="nil"/>
                  </w:tcBorders>
                  <w:tcMar>
                    <w:top w:w="0" w:type="dxa"/>
                    <w:left w:w="57" w:type="dxa"/>
                    <w:bottom w:w="0" w:type="dxa"/>
                    <w:right w:w="57" w:type="dxa"/>
                  </w:tcMar>
                  <w:vAlign w:val="center"/>
                </w:tcPr>
                <w:p w14:paraId="39F994C9">
                  <w:pPr>
                    <w:jc w:val="center"/>
                    <w:rPr>
                      <w:color w:val="auto"/>
                    </w:rPr>
                  </w:pPr>
                  <w:r>
                    <w:rPr>
                      <w:rFonts w:hint="eastAsia"/>
                      <w:color w:val="auto"/>
                    </w:rPr>
                    <w:t>2400</w:t>
                  </w:r>
                </w:p>
              </w:tc>
            </w:tr>
            <w:tr w14:paraId="5407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16" w:type="dxa"/>
                  <w:vMerge w:val="continue"/>
                  <w:tcBorders>
                    <w:tl2br w:val="nil"/>
                    <w:tr2bl w:val="nil"/>
                  </w:tcBorders>
                  <w:tcMar>
                    <w:top w:w="0" w:type="dxa"/>
                    <w:left w:w="57" w:type="dxa"/>
                    <w:bottom w:w="0" w:type="dxa"/>
                    <w:right w:w="57" w:type="dxa"/>
                  </w:tcMar>
                  <w:vAlign w:val="center"/>
                </w:tcPr>
                <w:p w14:paraId="593B09FB">
                  <w:pPr>
                    <w:jc w:val="center"/>
                    <w:rPr>
                      <w:color w:val="auto"/>
                    </w:rPr>
                  </w:pPr>
                </w:p>
              </w:tc>
              <w:tc>
                <w:tcPr>
                  <w:tcW w:w="664" w:type="dxa"/>
                  <w:tcBorders>
                    <w:tl2br w:val="nil"/>
                    <w:tr2bl w:val="nil"/>
                  </w:tcBorders>
                  <w:tcMar>
                    <w:top w:w="0" w:type="dxa"/>
                    <w:left w:w="57" w:type="dxa"/>
                    <w:bottom w:w="0" w:type="dxa"/>
                    <w:right w:w="57" w:type="dxa"/>
                  </w:tcMar>
                  <w:vAlign w:val="center"/>
                </w:tcPr>
                <w:p w14:paraId="53683136">
                  <w:pPr>
                    <w:jc w:val="center"/>
                    <w:rPr>
                      <w:color w:val="auto"/>
                    </w:rPr>
                  </w:pPr>
                  <w:r>
                    <w:rPr>
                      <w:rFonts w:hint="eastAsia"/>
                      <w:color w:val="auto"/>
                    </w:rPr>
                    <w:t>焊接烟尘</w:t>
                  </w:r>
                </w:p>
              </w:tc>
              <w:tc>
                <w:tcPr>
                  <w:tcW w:w="840" w:type="dxa"/>
                  <w:tcBorders>
                    <w:tl2br w:val="nil"/>
                    <w:tr2bl w:val="nil"/>
                  </w:tcBorders>
                  <w:tcMar>
                    <w:top w:w="0" w:type="dxa"/>
                    <w:left w:w="57" w:type="dxa"/>
                    <w:bottom w:w="0" w:type="dxa"/>
                    <w:right w:w="57" w:type="dxa"/>
                  </w:tcMar>
                  <w:vAlign w:val="center"/>
                </w:tcPr>
                <w:p w14:paraId="53134DCD">
                  <w:pPr>
                    <w:jc w:val="center"/>
                    <w:rPr>
                      <w:color w:val="auto"/>
                    </w:rPr>
                  </w:pPr>
                  <w:r>
                    <w:rPr>
                      <w:rFonts w:hint="eastAsia"/>
                      <w:color w:val="auto"/>
                    </w:rPr>
                    <w:t>119.46786，31.78813</w:t>
                  </w:r>
                </w:p>
              </w:tc>
              <w:tc>
                <w:tcPr>
                  <w:tcW w:w="664" w:type="dxa"/>
                  <w:tcBorders>
                    <w:tl2br w:val="nil"/>
                    <w:tr2bl w:val="nil"/>
                  </w:tcBorders>
                  <w:tcMar>
                    <w:top w:w="0" w:type="dxa"/>
                    <w:left w:w="57" w:type="dxa"/>
                    <w:bottom w:w="0" w:type="dxa"/>
                    <w:right w:w="57" w:type="dxa"/>
                  </w:tcMar>
                  <w:vAlign w:val="center"/>
                </w:tcPr>
                <w:p w14:paraId="4A3AD4D4">
                  <w:pPr>
                    <w:jc w:val="center"/>
                    <w:rPr>
                      <w:color w:val="auto"/>
                    </w:rPr>
                  </w:pPr>
                  <w:r>
                    <w:rPr>
                      <w:rFonts w:hint="eastAsia"/>
                      <w:color w:val="auto"/>
                    </w:rPr>
                    <w:t>颗粒物</w:t>
                  </w:r>
                </w:p>
              </w:tc>
              <w:tc>
                <w:tcPr>
                  <w:tcW w:w="952" w:type="dxa"/>
                  <w:tcBorders>
                    <w:tl2br w:val="nil"/>
                    <w:tr2bl w:val="nil"/>
                  </w:tcBorders>
                  <w:tcMar>
                    <w:top w:w="0" w:type="dxa"/>
                    <w:left w:w="57" w:type="dxa"/>
                    <w:bottom w:w="0" w:type="dxa"/>
                    <w:right w:w="57" w:type="dxa"/>
                  </w:tcMar>
                  <w:vAlign w:val="center"/>
                </w:tcPr>
                <w:p w14:paraId="10F3EFD3">
                  <w:pPr>
                    <w:jc w:val="center"/>
                    <w:rPr>
                      <w:color w:val="auto"/>
                    </w:rPr>
                  </w:pPr>
                  <w:r>
                    <w:rPr>
                      <w:rFonts w:hint="eastAsia"/>
                      <w:color w:val="auto"/>
                    </w:rPr>
                    <w:t>15</w:t>
                  </w:r>
                </w:p>
              </w:tc>
              <w:tc>
                <w:tcPr>
                  <w:tcW w:w="952" w:type="dxa"/>
                  <w:tcBorders>
                    <w:tl2br w:val="nil"/>
                    <w:tr2bl w:val="nil"/>
                  </w:tcBorders>
                  <w:tcMar>
                    <w:top w:w="0" w:type="dxa"/>
                    <w:left w:w="57" w:type="dxa"/>
                    <w:bottom w:w="0" w:type="dxa"/>
                    <w:right w:w="57" w:type="dxa"/>
                  </w:tcMar>
                  <w:vAlign w:val="center"/>
                </w:tcPr>
                <w:p w14:paraId="53C6FBF9">
                  <w:pPr>
                    <w:jc w:val="center"/>
                    <w:rPr>
                      <w:color w:val="auto"/>
                    </w:rPr>
                  </w:pPr>
                  <w:r>
                    <w:rPr>
                      <w:rFonts w:hint="eastAsia"/>
                      <w:color w:val="auto"/>
                    </w:rPr>
                    <w:t>0.25</w:t>
                  </w:r>
                </w:p>
              </w:tc>
              <w:tc>
                <w:tcPr>
                  <w:tcW w:w="1219" w:type="dxa"/>
                  <w:tcBorders>
                    <w:tl2br w:val="nil"/>
                    <w:tr2bl w:val="nil"/>
                  </w:tcBorders>
                  <w:tcMar>
                    <w:top w:w="0" w:type="dxa"/>
                    <w:left w:w="57" w:type="dxa"/>
                    <w:bottom w:w="0" w:type="dxa"/>
                    <w:right w:w="57" w:type="dxa"/>
                  </w:tcMar>
                  <w:vAlign w:val="center"/>
                </w:tcPr>
                <w:p w14:paraId="1DC0A130">
                  <w:pPr>
                    <w:jc w:val="center"/>
                    <w:rPr>
                      <w:color w:val="auto"/>
                    </w:rPr>
                  </w:pPr>
                  <w:r>
                    <w:rPr>
                      <w:rFonts w:hint="eastAsia"/>
                      <w:color w:val="auto"/>
                    </w:rPr>
                    <w:t>2500</w:t>
                  </w:r>
                </w:p>
              </w:tc>
              <w:tc>
                <w:tcPr>
                  <w:tcW w:w="1047" w:type="dxa"/>
                  <w:tcBorders>
                    <w:tl2br w:val="nil"/>
                    <w:tr2bl w:val="nil"/>
                  </w:tcBorders>
                  <w:tcMar>
                    <w:top w:w="0" w:type="dxa"/>
                    <w:left w:w="57" w:type="dxa"/>
                    <w:bottom w:w="0" w:type="dxa"/>
                    <w:right w:w="57" w:type="dxa"/>
                  </w:tcMar>
                  <w:vAlign w:val="center"/>
                </w:tcPr>
                <w:p w14:paraId="44D00588">
                  <w:pPr>
                    <w:jc w:val="center"/>
                    <w:rPr>
                      <w:color w:val="auto"/>
                    </w:rPr>
                  </w:pPr>
                  <w:r>
                    <w:rPr>
                      <w:rFonts w:hint="eastAsia"/>
                      <w:color w:val="auto"/>
                    </w:rPr>
                    <w:t>20</w:t>
                  </w:r>
                </w:p>
              </w:tc>
              <w:tc>
                <w:tcPr>
                  <w:tcW w:w="806" w:type="dxa"/>
                  <w:tcBorders>
                    <w:tl2br w:val="nil"/>
                    <w:tr2bl w:val="nil"/>
                  </w:tcBorders>
                  <w:tcMar>
                    <w:top w:w="0" w:type="dxa"/>
                    <w:left w:w="57" w:type="dxa"/>
                    <w:bottom w:w="0" w:type="dxa"/>
                    <w:right w:w="57" w:type="dxa"/>
                  </w:tcMar>
                  <w:vAlign w:val="center"/>
                </w:tcPr>
                <w:p w14:paraId="2D4475C9">
                  <w:pPr>
                    <w:jc w:val="center"/>
                    <w:rPr>
                      <w:color w:val="auto"/>
                    </w:rPr>
                  </w:pPr>
                  <w:r>
                    <w:rPr>
                      <w:rFonts w:hint="eastAsia"/>
                      <w:color w:val="auto"/>
                    </w:rPr>
                    <w:t>FQ-3</w:t>
                  </w:r>
                </w:p>
              </w:tc>
              <w:tc>
                <w:tcPr>
                  <w:tcW w:w="698" w:type="dxa"/>
                  <w:tcBorders>
                    <w:tl2br w:val="nil"/>
                    <w:tr2bl w:val="nil"/>
                  </w:tcBorders>
                  <w:tcMar>
                    <w:top w:w="0" w:type="dxa"/>
                    <w:left w:w="57" w:type="dxa"/>
                    <w:bottom w:w="0" w:type="dxa"/>
                    <w:right w:w="57" w:type="dxa"/>
                  </w:tcMar>
                  <w:vAlign w:val="center"/>
                </w:tcPr>
                <w:p w14:paraId="672E82FB">
                  <w:pPr>
                    <w:jc w:val="center"/>
                    <w:rPr>
                      <w:color w:val="auto"/>
                    </w:rPr>
                  </w:pPr>
                  <w:r>
                    <w:rPr>
                      <w:rFonts w:hint="eastAsia"/>
                      <w:color w:val="auto"/>
                    </w:rPr>
                    <w:t>FQ-3排气筒</w:t>
                  </w:r>
                </w:p>
              </w:tc>
              <w:tc>
                <w:tcPr>
                  <w:tcW w:w="1016" w:type="dxa"/>
                  <w:tcBorders>
                    <w:tl2br w:val="nil"/>
                    <w:tr2bl w:val="nil"/>
                  </w:tcBorders>
                  <w:tcMar>
                    <w:top w:w="0" w:type="dxa"/>
                    <w:left w:w="57" w:type="dxa"/>
                    <w:bottom w:w="0" w:type="dxa"/>
                    <w:right w:w="57" w:type="dxa"/>
                  </w:tcMar>
                  <w:vAlign w:val="center"/>
                </w:tcPr>
                <w:p w14:paraId="5DDA1392">
                  <w:pPr>
                    <w:jc w:val="center"/>
                    <w:rPr>
                      <w:color w:val="auto"/>
                    </w:rPr>
                  </w:pPr>
                  <w:r>
                    <w:rPr>
                      <w:rFonts w:hint="eastAsia"/>
                      <w:color w:val="auto"/>
                    </w:rPr>
                    <w:t>一般排放口</w:t>
                  </w:r>
                </w:p>
              </w:tc>
              <w:tc>
                <w:tcPr>
                  <w:tcW w:w="488" w:type="dxa"/>
                  <w:tcBorders>
                    <w:tl2br w:val="nil"/>
                    <w:tr2bl w:val="nil"/>
                  </w:tcBorders>
                  <w:tcMar>
                    <w:top w:w="0" w:type="dxa"/>
                    <w:left w:w="57" w:type="dxa"/>
                    <w:bottom w:w="0" w:type="dxa"/>
                    <w:right w:w="57" w:type="dxa"/>
                  </w:tcMar>
                  <w:vAlign w:val="center"/>
                </w:tcPr>
                <w:p w14:paraId="60B95EA3">
                  <w:pPr>
                    <w:spacing w:line="0" w:lineRule="atLeast"/>
                    <w:jc w:val="center"/>
                    <w:rPr>
                      <w:bCs/>
                      <w:color w:val="auto"/>
                    </w:rPr>
                  </w:pPr>
                  <w:r>
                    <w:rPr>
                      <w:rFonts w:hint="eastAsia"/>
                      <w:bCs/>
                      <w:color w:val="auto"/>
                    </w:rPr>
                    <w:t>20</w:t>
                  </w:r>
                </w:p>
              </w:tc>
              <w:tc>
                <w:tcPr>
                  <w:tcW w:w="488" w:type="dxa"/>
                  <w:tcBorders>
                    <w:tl2br w:val="nil"/>
                    <w:tr2bl w:val="nil"/>
                  </w:tcBorders>
                  <w:tcMar>
                    <w:top w:w="0" w:type="dxa"/>
                    <w:left w:w="57" w:type="dxa"/>
                    <w:bottom w:w="0" w:type="dxa"/>
                    <w:right w:w="57" w:type="dxa"/>
                  </w:tcMar>
                  <w:vAlign w:val="center"/>
                </w:tcPr>
                <w:p w14:paraId="0031CE0D">
                  <w:pPr>
                    <w:spacing w:line="0" w:lineRule="atLeast"/>
                    <w:jc w:val="center"/>
                    <w:rPr>
                      <w:color w:val="auto"/>
                    </w:rPr>
                  </w:pPr>
                  <w:r>
                    <w:rPr>
                      <w:rFonts w:hint="eastAsia"/>
                      <w:bCs/>
                      <w:color w:val="auto"/>
                    </w:rPr>
                    <w:t>1</w:t>
                  </w:r>
                </w:p>
              </w:tc>
              <w:tc>
                <w:tcPr>
                  <w:tcW w:w="1016" w:type="dxa"/>
                  <w:vMerge w:val="continue"/>
                  <w:tcBorders>
                    <w:tl2br w:val="nil"/>
                    <w:tr2bl w:val="nil"/>
                  </w:tcBorders>
                  <w:tcMar>
                    <w:top w:w="0" w:type="dxa"/>
                    <w:left w:w="57" w:type="dxa"/>
                    <w:bottom w:w="0" w:type="dxa"/>
                    <w:right w:w="57" w:type="dxa"/>
                  </w:tcMar>
                  <w:vAlign w:val="center"/>
                </w:tcPr>
                <w:p w14:paraId="22888FC4">
                  <w:pPr>
                    <w:jc w:val="center"/>
                    <w:rPr>
                      <w:color w:val="auto"/>
                    </w:rPr>
                  </w:pPr>
                </w:p>
              </w:tc>
              <w:tc>
                <w:tcPr>
                  <w:tcW w:w="841" w:type="dxa"/>
                  <w:tcBorders>
                    <w:tl2br w:val="nil"/>
                    <w:tr2bl w:val="nil"/>
                  </w:tcBorders>
                  <w:tcMar>
                    <w:top w:w="0" w:type="dxa"/>
                    <w:left w:w="57" w:type="dxa"/>
                    <w:bottom w:w="0" w:type="dxa"/>
                    <w:right w:w="57" w:type="dxa"/>
                  </w:tcMar>
                  <w:vAlign w:val="center"/>
                </w:tcPr>
                <w:p w14:paraId="029268EB">
                  <w:pPr>
                    <w:jc w:val="center"/>
                    <w:rPr>
                      <w:color w:val="auto"/>
                    </w:rPr>
                  </w:pPr>
                  <w:r>
                    <w:rPr>
                      <w:rFonts w:hint="eastAsia"/>
                      <w:color w:val="auto"/>
                    </w:rPr>
                    <w:t>间断</w:t>
                  </w:r>
                </w:p>
              </w:tc>
              <w:tc>
                <w:tcPr>
                  <w:tcW w:w="842" w:type="dxa"/>
                  <w:tcBorders>
                    <w:tl2br w:val="nil"/>
                    <w:tr2bl w:val="nil"/>
                  </w:tcBorders>
                  <w:tcMar>
                    <w:top w:w="0" w:type="dxa"/>
                    <w:left w:w="57" w:type="dxa"/>
                    <w:bottom w:w="0" w:type="dxa"/>
                    <w:right w:w="57" w:type="dxa"/>
                  </w:tcMar>
                  <w:vAlign w:val="center"/>
                </w:tcPr>
                <w:p w14:paraId="2AB89D63">
                  <w:pPr>
                    <w:jc w:val="center"/>
                    <w:rPr>
                      <w:color w:val="auto"/>
                    </w:rPr>
                  </w:pPr>
                  <w:r>
                    <w:rPr>
                      <w:rFonts w:hint="eastAsia"/>
                      <w:color w:val="auto"/>
                    </w:rPr>
                    <w:t>2000</w:t>
                  </w:r>
                </w:p>
              </w:tc>
            </w:tr>
          </w:tbl>
          <w:p w14:paraId="11A322F9">
            <w:pPr>
              <w:tabs>
                <w:tab w:val="left" w:pos="960"/>
              </w:tabs>
              <w:jc w:val="center"/>
              <w:rPr>
                <w:b/>
                <w:bCs/>
                <w:color w:val="auto"/>
                <w:spacing w:val="-4"/>
                <w:sz w:val="24"/>
              </w:rPr>
            </w:pPr>
            <w:r>
              <w:rPr>
                <w:b/>
                <w:bCs/>
                <w:color w:val="auto"/>
                <w:spacing w:val="-4"/>
                <w:sz w:val="24"/>
              </w:rPr>
              <w:t>表</w:t>
            </w:r>
            <w:r>
              <w:rPr>
                <w:rFonts w:hint="eastAsia"/>
                <w:b/>
                <w:bCs/>
                <w:color w:val="auto"/>
                <w:spacing w:val="-4"/>
                <w:sz w:val="24"/>
              </w:rPr>
              <w:t xml:space="preserve">4-4  </w:t>
            </w:r>
            <w:r>
              <w:rPr>
                <w:b/>
                <w:bCs/>
                <w:color w:val="auto"/>
                <w:spacing w:val="-4"/>
                <w:sz w:val="24"/>
              </w:rPr>
              <w:t>本项目无组织废气排放参数一览表</w:t>
            </w:r>
          </w:p>
          <w:tbl>
            <w:tblPr>
              <w:tblStyle w:val="22"/>
              <w:tblW w:w="504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41"/>
              <w:gridCol w:w="2251"/>
              <w:gridCol w:w="1324"/>
              <w:gridCol w:w="2157"/>
              <w:gridCol w:w="1791"/>
              <w:gridCol w:w="1791"/>
              <w:gridCol w:w="1767"/>
              <w:gridCol w:w="1726"/>
            </w:tblGrid>
            <w:tr w14:paraId="11509E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612" w:hRule="atLeast"/>
                <w:jc w:val="center"/>
              </w:trPr>
              <w:tc>
                <w:tcPr>
                  <w:tcW w:w="274" w:type="pct"/>
                  <w:vAlign w:val="center"/>
                </w:tcPr>
                <w:p w14:paraId="655E9F3D">
                  <w:pPr>
                    <w:spacing w:line="0" w:lineRule="atLeast"/>
                    <w:jc w:val="center"/>
                    <w:rPr>
                      <w:b/>
                      <w:color w:val="auto"/>
                    </w:rPr>
                  </w:pPr>
                  <w:r>
                    <w:rPr>
                      <w:b/>
                      <w:color w:val="auto"/>
                    </w:rPr>
                    <w:t>面源</w:t>
                  </w:r>
                </w:p>
                <w:p w14:paraId="10C868E8">
                  <w:pPr>
                    <w:spacing w:line="0" w:lineRule="atLeast"/>
                    <w:jc w:val="center"/>
                    <w:rPr>
                      <w:b/>
                      <w:color w:val="auto"/>
                    </w:rPr>
                  </w:pPr>
                  <w:r>
                    <w:rPr>
                      <w:b/>
                      <w:color w:val="auto"/>
                    </w:rPr>
                    <w:t>名称</w:t>
                  </w:r>
                </w:p>
              </w:tc>
              <w:tc>
                <w:tcPr>
                  <w:tcW w:w="830" w:type="pct"/>
                  <w:vAlign w:val="center"/>
                </w:tcPr>
                <w:p w14:paraId="24E30A02">
                  <w:pPr>
                    <w:spacing w:line="0" w:lineRule="atLeast"/>
                    <w:jc w:val="center"/>
                    <w:rPr>
                      <w:b/>
                      <w:color w:val="auto"/>
                    </w:rPr>
                  </w:pPr>
                  <w:r>
                    <w:rPr>
                      <w:b/>
                      <w:color w:val="auto"/>
                    </w:rPr>
                    <w:t>污染源名称及编号</w:t>
                  </w:r>
                </w:p>
              </w:tc>
              <w:tc>
                <w:tcPr>
                  <w:tcW w:w="489" w:type="pct"/>
                  <w:vAlign w:val="center"/>
                </w:tcPr>
                <w:p w14:paraId="33231FBE">
                  <w:pPr>
                    <w:spacing w:line="0" w:lineRule="atLeast"/>
                    <w:jc w:val="center"/>
                    <w:rPr>
                      <w:b/>
                      <w:color w:val="auto"/>
                    </w:rPr>
                  </w:pPr>
                  <w:r>
                    <w:rPr>
                      <w:b/>
                      <w:color w:val="auto"/>
                    </w:rPr>
                    <w:t>污染物名称</w:t>
                  </w:r>
                </w:p>
              </w:tc>
              <w:tc>
                <w:tcPr>
                  <w:tcW w:w="795" w:type="pct"/>
                  <w:vAlign w:val="center"/>
                </w:tcPr>
                <w:p w14:paraId="6020D592">
                  <w:pPr>
                    <w:spacing w:line="0" w:lineRule="atLeast"/>
                    <w:jc w:val="center"/>
                    <w:rPr>
                      <w:b/>
                      <w:bCs/>
                      <w:color w:val="auto"/>
                    </w:rPr>
                  </w:pPr>
                  <w:r>
                    <w:rPr>
                      <w:b/>
                      <w:bCs/>
                      <w:color w:val="auto"/>
                    </w:rPr>
                    <w:t>污染物产生量（t/a）</w:t>
                  </w:r>
                </w:p>
              </w:tc>
              <w:tc>
                <w:tcPr>
                  <w:tcW w:w="660" w:type="pct"/>
                  <w:vAlign w:val="center"/>
                </w:tcPr>
                <w:p w14:paraId="11AD5A47">
                  <w:pPr>
                    <w:spacing w:line="0" w:lineRule="atLeast"/>
                    <w:jc w:val="center"/>
                    <w:rPr>
                      <w:b/>
                      <w:bCs/>
                      <w:color w:val="auto"/>
                    </w:rPr>
                  </w:pPr>
                  <w:r>
                    <w:rPr>
                      <w:b/>
                      <w:bCs/>
                      <w:color w:val="auto"/>
                    </w:rPr>
                    <w:t>污染物</w:t>
                  </w:r>
                  <w:r>
                    <w:rPr>
                      <w:rFonts w:hint="eastAsia"/>
                      <w:b/>
                      <w:bCs/>
                      <w:color w:val="auto"/>
                    </w:rPr>
                    <w:t>削减量</w:t>
                  </w:r>
                  <w:r>
                    <w:rPr>
                      <w:b/>
                      <w:bCs/>
                      <w:color w:val="auto"/>
                    </w:rPr>
                    <w:t>（t/a）</w:t>
                  </w:r>
                </w:p>
              </w:tc>
              <w:tc>
                <w:tcPr>
                  <w:tcW w:w="660" w:type="pct"/>
                  <w:vAlign w:val="center"/>
                </w:tcPr>
                <w:p w14:paraId="0BC71389">
                  <w:pPr>
                    <w:spacing w:line="0" w:lineRule="atLeast"/>
                    <w:jc w:val="center"/>
                    <w:rPr>
                      <w:b/>
                      <w:bCs/>
                      <w:color w:val="auto"/>
                    </w:rPr>
                  </w:pPr>
                  <w:r>
                    <w:rPr>
                      <w:b/>
                      <w:bCs/>
                      <w:color w:val="auto"/>
                    </w:rPr>
                    <w:t>污染物排放量（t/a）</w:t>
                  </w:r>
                </w:p>
              </w:tc>
              <w:tc>
                <w:tcPr>
                  <w:tcW w:w="651" w:type="pct"/>
                  <w:vAlign w:val="center"/>
                </w:tcPr>
                <w:p w14:paraId="179FCF39">
                  <w:pPr>
                    <w:spacing w:line="0" w:lineRule="atLeast"/>
                    <w:jc w:val="center"/>
                    <w:rPr>
                      <w:b/>
                      <w:bCs/>
                      <w:color w:val="auto"/>
                    </w:rPr>
                  </w:pPr>
                  <w:r>
                    <w:rPr>
                      <w:b/>
                      <w:bCs/>
                      <w:color w:val="auto"/>
                    </w:rPr>
                    <w:t>面源面积（m</w:t>
                  </w:r>
                  <w:r>
                    <w:rPr>
                      <w:b/>
                      <w:bCs/>
                      <w:color w:val="auto"/>
                      <w:vertAlign w:val="superscript"/>
                    </w:rPr>
                    <w:t>2</w:t>
                  </w:r>
                  <w:r>
                    <w:rPr>
                      <w:b/>
                      <w:bCs/>
                      <w:color w:val="auto"/>
                    </w:rPr>
                    <w:t>）</w:t>
                  </w:r>
                </w:p>
              </w:tc>
              <w:tc>
                <w:tcPr>
                  <w:tcW w:w="636" w:type="pct"/>
                  <w:vAlign w:val="center"/>
                </w:tcPr>
                <w:p w14:paraId="50B2820E">
                  <w:pPr>
                    <w:spacing w:line="0" w:lineRule="atLeast"/>
                    <w:jc w:val="center"/>
                    <w:rPr>
                      <w:b/>
                      <w:bCs/>
                      <w:color w:val="auto"/>
                    </w:rPr>
                  </w:pPr>
                  <w:r>
                    <w:rPr>
                      <w:b/>
                      <w:bCs/>
                      <w:color w:val="auto"/>
                    </w:rPr>
                    <w:t>面源高度（m）</w:t>
                  </w:r>
                </w:p>
              </w:tc>
            </w:tr>
            <w:tr w14:paraId="1FC439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68" w:hRule="atLeast"/>
                <w:jc w:val="center"/>
              </w:trPr>
              <w:tc>
                <w:tcPr>
                  <w:tcW w:w="274" w:type="pct"/>
                  <w:vMerge w:val="restart"/>
                  <w:vAlign w:val="center"/>
                </w:tcPr>
                <w:p w14:paraId="443E07D4">
                  <w:pPr>
                    <w:spacing w:line="0" w:lineRule="atLeast"/>
                    <w:jc w:val="center"/>
                    <w:rPr>
                      <w:color w:val="auto"/>
                    </w:rPr>
                  </w:pPr>
                  <w:r>
                    <w:rPr>
                      <w:rFonts w:hint="eastAsia"/>
                      <w:color w:val="auto"/>
                    </w:rPr>
                    <w:t>生产车间</w:t>
                  </w:r>
                </w:p>
              </w:tc>
              <w:tc>
                <w:tcPr>
                  <w:tcW w:w="830" w:type="pct"/>
                  <w:vAlign w:val="center"/>
                </w:tcPr>
                <w:p w14:paraId="7CC98C56">
                  <w:pPr>
                    <w:spacing w:line="0" w:lineRule="atLeast"/>
                    <w:jc w:val="center"/>
                    <w:rPr>
                      <w:b/>
                      <w:color w:val="auto"/>
                    </w:rPr>
                  </w:pPr>
                  <w:r>
                    <w:rPr>
                      <w:rFonts w:hint="eastAsia"/>
                      <w:bCs/>
                      <w:color w:val="auto"/>
                    </w:rPr>
                    <w:t>未捕集的焊接废气</w:t>
                  </w:r>
                </w:p>
              </w:tc>
              <w:tc>
                <w:tcPr>
                  <w:tcW w:w="489" w:type="pct"/>
                  <w:vAlign w:val="center"/>
                </w:tcPr>
                <w:p w14:paraId="16CA0A57">
                  <w:pPr>
                    <w:spacing w:line="0" w:lineRule="atLeast"/>
                    <w:jc w:val="center"/>
                    <w:rPr>
                      <w:b/>
                      <w:color w:val="auto"/>
                    </w:rPr>
                  </w:pPr>
                  <w:r>
                    <w:rPr>
                      <w:rFonts w:hint="eastAsia"/>
                      <w:color w:val="auto"/>
                    </w:rPr>
                    <w:t>颗粒物</w:t>
                  </w:r>
                </w:p>
              </w:tc>
              <w:tc>
                <w:tcPr>
                  <w:tcW w:w="795" w:type="pct"/>
                  <w:vAlign w:val="center"/>
                </w:tcPr>
                <w:p w14:paraId="21B363AF">
                  <w:pPr>
                    <w:jc w:val="center"/>
                    <w:rPr>
                      <w:rFonts w:hint="eastAsia" w:eastAsia="宋体"/>
                      <w:color w:val="auto"/>
                      <w:lang w:eastAsia="zh-CN"/>
                    </w:rPr>
                  </w:pPr>
                  <w:r>
                    <w:rPr>
                      <w:rFonts w:hint="eastAsia"/>
                      <w:color w:val="auto"/>
                    </w:rPr>
                    <w:t>0.00</w:t>
                  </w:r>
                  <w:r>
                    <w:rPr>
                      <w:rFonts w:hint="eastAsia"/>
                      <w:color w:val="auto"/>
                      <w:lang w:val="en-US" w:eastAsia="zh-CN"/>
                    </w:rPr>
                    <w:t>3</w:t>
                  </w:r>
                </w:p>
              </w:tc>
              <w:tc>
                <w:tcPr>
                  <w:tcW w:w="660" w:type="pct"/>
                  <w:vAlign w:val="center"/>
                </w:tcPr>
                <w:p w14:paraId="37D0289D">
                  <w:pPr>
                    <w:spacing w:line="0" w:lineRule="atLeast"/>
                    <w:jc w:val="center"/>
                    <w:rPr>
                      <w:bCs/>
                      <w:color w:val="auto"/>
                    </w:rPr>
                  </w:pPr>
                  <w:r>
                    <w:rPr>
                      <w:rFonts w:hint="eastAsia"/>
                      <w:bCs/>
                      <w:color w:val="auto"/>
                    </w:rPr>
                    <w:t>0</w:t>
                  </w:r>
                </w:p>
              </w:tc>
              <w:tc>
                <w:tcPr>
                  <w:tcW w:w="660" w:type="pct"/>
                  <w:vAlign w:val="center"/>
                </w:tcPr>
                <w:p w14:paraId="2830C0C0">
                  <w:pPr>
                    <w:spacing w:line="0" w:lineRule="atLeast"/>
                    <w:jc w:val="center"/>
                    <w:rPr>
                      <w:rFonts w:hint="eastAsia" w:eastAsia="宋体"/>
                      <w:color w:val="auto"/>
                      <w:lang w:eastAsia="zh-CN"/>
                    </w:rPr>
                  </w:pPr>
                  <w:r>
                    <w:rPr>
                      <w:rFonts w:hint="eastAsia"/>
                      <w:color w:val="auto"/>
                    </w:rPr>
                    <w:t>0.00</w:t>
                  </w:r>
                  <w:r>
                    <w:rPr>
                      <w:rFonts w:hint="eastAsia"/>
                      <w:color w:val="auto"/>
                      <w:lang w:val="en-US" w:eastAsia="zh-CN"/>
                    </w:rPr>
                    <w:t>3</w:t>
                  </w:r>
                </w:p>
              </w:tc>
              <w:tc>
                <w:tcPr>
                  <w:tcW w:w="651" w:type="pct"/>
                  <w:vMerge w:val="restart"/>
                  <w:vAlign w:val="center"/>
                </w:tcPr>
                <w:p w14:paraId="794722D8">
                  <w:pPr>
                    <w:spacing w:line="0" w:lineRule="atLeast"/>
                    <w:jc w:val="center"/>
                    <w:rPr>
                      <w:color w:val="auto"/>
                    </w:rPr>
                  </w:pPr>
                  <w:r>
                    <w:rPr>
                      <w:rFonts w:hint="eastAsia"/>
                      <w:color w:val="auto"/>
                    </w:rPr>
                    <w:t>3989.96</w:t>
                  </w:r>
                </w:p>
              </w:tc>
              <w:tc>
                <w:tcPr>
                  <w:tcW w:w="636" w:type="pct"/>
                  <w:vMerge w:val="restart"/>
                  <w:vAlign w:val="center"/>
                </w:tcPr>
                <w:p w14:paraId="6C6A8813">
                  <w:pPr>
                    <w:spacing w:line="0" w:lineRule="atLeast"/>
                    <w:jc w:val="center"/>
                    <w:rPr>
                      <w:color w:val="auto"/>
                    </w:rPr>
                  </w:pPr>
                  <w:r>
                    <w:rPr>
                      <w:rFonts w:hint="eastAsia"/>
                      <w:color w:val="auto"/>
                    </w:rPr>
                    <w:t>5</w:t>
                  </w:r>
                </w:p>
              </w:tc>
            </w:tr>
            <w:tr w14:paraId="371F7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108" w:hRule="atLeast"/>
                <w:jc w:val="center"/>
              </w:trPr>
              <w:tc>
                <w:tcPr>
                  <w:tcW w:w="274" w:type="pct"/>
                  <w:vMerge w:val="continue"/>
                  <w:vAlign w:val="center"/>
                </w:tcPr>
                <w:p w14:paraId="2010F576">
                  <w:pPr>
                    <w:spacing w:line="0" w:lineRule="atLeast"/>
                    <w:jc w:val="center"/>
                    <w:rPr>
                      <w:color w:val="auto"/>
                    </w:rPr>
                  </w:pPr>
                </w:p>
              </w:tc>
              <w:tc>
                <w:tcPr>
                  <w:tcW w:w="830" w:type="pct"/>
                  <w:vAlign w:val="center"/>
                </w:tcPr>
                <w:p w14:paraId="45EB41B4">
                  <w:pPr>
                    <w:spacing w:line="0" w:lineRule="atLeast"/>
                    <w:jc w:val="center"/>
                    <w:rPr>
                      <w:bCs/>
                      <w:color w:val="auto"/>
                    </w:rPr>
                  </w:pPr>
                  <w:r>
                    <w:rPr>
                      <w:rFonts w:hint="eastAsia"/>
                      <w:bCs/>
                      <w:color w:val="auto"/>
                    </w:rPr>
                    <w:t>未捕集的清洗废气</w:t>
                  </w:r>
                </w:p>
              </w:tc>
              <w:tc>
                <w:tcPr>
                  <w:tcW w:w="489" w:type="pct"/>
                  <w:vAlign w:val="center"/>
                </w:tcPr>
                <w:p w14:paraId="6D765C38">
                  <w:pPr>
                    <w:spacing w:line="0" w:lineRule="atLeast"/>
                    <w:jc w:val="center"/>
                    <w:rPr>
                      <w:color w:val="auto"/>
                    </w:rPr>
                  </w:pPr>
                  <w:r>
                    <w:rPr>
                      <w:rFonts w:hint="eastAsia"/>
                      <w:color w:val="auto"/>
                    </w:rPr>
                    <w:t>非甲烷总烃</w:t>
                  </w:r>
                </w:p>
              </w:tc>
              <w:tc>
                <w:tcPr>
                  <w:tcW w:w="795" w:type="pct"/>
                  <w:vAlign w:val="center"/>
                </w:tcPr>
                <w:p w14:paraId="57F0C951">
                  <w:pPr>
                    <w:jc w:val="center"/>
                    <w:rPr>
                      <w:color w:val="auto"/>
                    </w:rPr>
                  </w:pPr>
                  <w:r>
                    <w:rPr>
                      <w:rFonts w:hint="eastAsia"/>
                      <w:color w:val="auto"/>
                    </w:rPr>
                    <w:t>0.15</w:t>
                  </w:r>
                </w:p>
              </w:tc>
              <w:tc>
                <w:tcPr>
                  <w:tcW w:w="660" w:type="pct"/>
                  <w:vAlign w:val="center"/>
                </w:tcPr>
                <w:p w14:paraId="7D484BC2">
                  <w:pPr>
                    <w:spacing w:line="0" w:lineRule="atLeast"/>
                    <w:jc w:val="center"/>
                    <w:rPr>
                      <w:bCs/>
                      <w:color w:val="auto"/>
                    </w:rPr>
                  </w:pPr>
                  <w:r>
                    <w:rPr>
                      <w:rFonts w:hint="eastAsia"/>
                      <w:bCs/>
                      <w:color w:val="auto"/>
                    </w:rPr>
                    <w:t>0</w:t>
                  </w:r>
                </w:p>
              </w:tc>
              <w:tc>
                <w:tcPr>
                  <w:tcW w:w="660" w:type="pct"/>
                  <w:vAlign w:val="center"/>
                </w:tcPr>
                <w:p w14:paraId="3B625ABE">
                  <w:pPr>
                    <w:jc w:val="center"/>
                    <w:rPr>
                      <w:color w:val="auto"/>
                    </w:rPr>
                  </w:pPr>
                  <w:r>
                    <w:rPr>
                      <w:rFonts w:hint="eastAsia"/>
                      <w:color w:val="auto"/>
                    </w:rPr>
                    <w:t>0.15</w:t>
                  </w:r>
                </w:p>
              </w:tc>
              <w:tc>
                <w:tcPr>
                  <w:tcW w:w="651" w:type="pct"/>
                  <w:vMerge w:val="continue"/>
                  <w:vAlign w:val="center"/>
                </w:tcPr>
                <w:p w14:paraId="24992172">
                  <w:pPr>
                    <w:spacing w:line="0" w:lineRule="atLeast"/>
                    <w:jc w:val="center"/>
                    <w:rPr>
                      <w:color w:val="auto"/>
                    </w:rPr>
                  </w:pPr>
                </w:p>
              </w:tc>
              <w:tc>
                <w:tcPr>
                  <w:tcW w:w="636" w:type="pct"/>
                  <w:vMerge w:val="continue"/>
                  <w:vAlign w:val="center"/>
                </w:tcPr>
                <w:p w14:paraId="380171C6">
                  <w:pPr>
                    <w:spacing w:line="0" w:lineRule="atLeast"/>
                    <w:jc w:val="center"/>
                    <w:rPr>
                      <w:color w:val="auto"/>
                    </w:rPr>
                  </w:pPr>
                </w:p>
              </w:tc>
            </w:tr>
          </w:tbl>
          <w:p w14:paraId="2AA961C7">
            <w:pPr>
              <w:keepNext/>
              <w:keepLines/>
              <w:widowControl/>
              <w:overflowPunct w:val="0"/>
              <w:jc w:val="center"/>
              <w:rPr>
                <w:b/>
                <w:bCs/>
                <w:color w:val="auto"/>
                <w:sz w:val="24"/>
                <w:szCs w:val="24"/>
              </w:rPr>
            </w:pPr>
            <w:r>
              <w:rPr>
                <w:rFonts w:hint="eastAsia"/>
                <w:b/>
                <w:bCs/>
                <w:color w:val="auto"/>
                <w:sz w:val="24"/>
                <w:szCs w:val="24"/>
              </w:rPr>
              <w:t>表4-5  大气污染物有组织排放量核算表</w:t>
            </w:r>
          </w:p>
          <w:tbl>
            <w:tblPr>
              <w:tblStyle w:val="23"/>
              <w:tblW w:w="13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2257"/>
              <w:gridCol w:w="2258"/>
              <w:gridCol w:w="2258"/>
              <w:gridCol w:w="2259"/>
              <w:gridCol w:w="2260"/>
            </w:tblGrid>
            <w:tr w14:paraId="4722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dxa"/>
                  <w:vAlign w:val="center"/>
                </w:tcPr>
                <w:p w14:paraId="7DE050BB">
                  <w:pPr>
                    <w:spacing w:line="0" w:lineRule="atLeast"/>
                    <w:jc w:val="center"/>
                    <w:rPr>
                      <w:b/>
                      <w:color w:val="auto"/>
                    </w:rPr>
                  </w:pPr>
                  <w:r>
                    <w:rPr>
                      <w:rFonts w:hint="eastAsia"/>
                      <w:b/>
                      <w:color w:val="auto"/>
                    </w:rPr>
                    <w:t>序号</w:t>
                  </w:r>
                </w:p>
              </w:tc>
              <w:tc>
                <w:tcPr>
                  <w:tcW w:w="2257" w:type="dxa"/>
                  <w:vAlign w:val="center"/>
                </w:tcPr>
                <w:p w14:paraId="5922DF76">
                  <w:pPr>
                    <w:spacing w:line="0" w:lineRule="atLeast"/>
                    <w:jc w:val="center"/>
                    <w:rPr>
                      <w:b/>
                      <w:color w:val="auto"/>
                    </w:rPr>
                  </w:pPr>
                  <w:r>
                    <w:rPr>
                      <w:rFonts w:hint="eastAsia"/>
                      <w:b/>
                      <w:color w:val="auto"/>
                    </w:rPr>
                    <w:t>排放口编号</w:t>
                  </w:r>
                </w:p>
              </w:tc>
              <w:tc>
                <w:tcPr>
                  <w:tcW w:w="2258" w:type="dxa"/>
                  <w:vAlign w:val="center"/>
                </w:tcPr>
                <w:p w14:paraId="4F323E28">
                  <w:pPr>
                    <w:spacing w:line="0" w:lineRule="atLeast"/>
                    <w:jc w:val="center"/>
                    <w:rPr>
                      <w:b/>
                      <w:color w:val="auto"/>
                    </w:rPr>
                  </w:pPr>
                  <w:r>
                    <w:rPr>
                      <w:rFonts w:hint="eastAsia"/>
                      <w:b/>
                      <w:color w:val="auto"/>
                    </w:rPr>
                    <w:t>污染因子</w:t>
                  </w:r>
                </w:p>
              </w:tc>
              <w:tc>
                <w:tcPr>
                  <w:tcW w:w="2258" w:type="dxa"/>
                </w:tcPr>
                <w:p w14:paraId="44E69727">
                  <w:pPr>
                    <w:spacing w:line="0" w:lineRule="atLeast"/>
                    <w:jc w:val="center"/>
                    <w:rPr>
                      <w:b/>
                      <w:color w:val="auto"/>
                    </w:rPr>
                  </w:pPr>
                  <w:r>
                    <w:rPr>
                      <w:rFonts w:hint="eastAsia"/>
                      <w:b/>
                      <w:color w:val="auto"/>
                    </w:rPr>
                    <w:t>核算排放浓度（mg/m</w:t>
                  </w:r>
                  <w:r>
                    <w:rPr>
                      <w:rFonts w:hint="eastAsia"/>
                      <w:b/>
                      <w:color w:val="auto"/>
                      <w:vertAlign w:val="superscript"/>
                    </w:rPr>
                    <w:t>3</w:t>
                  </w:r>
                  <w:r>
                    <w:rPr>
                      <w:rFonts w:hint="eastAsia"/>
                      <w:b/>
                      <w:color w:val="auto"/>
                    </w:rPr>
                    <w:t>）</w:t>
                  </w:r>
                </w:p>
              </w:tc>
              <w:tc>
                <w:tcPr>
                  <w:tcW w:w="2259" w:type="dxa"/>
                </w:tcPr>
                <w:p w14:paraId="2F896EF1">
                  <w:pPr>
                    <w:spacing w:line="0" w:lineRule="atLeast"/>
                    <w:jc w:val="center"/>
                    <w:rPr>
                      <w:b/>
                      <w:color w:val="auto"/>
                    </w:rPr>
                  </w:pPr>
                  <w:r>
                    <w:rPr>
                      <w:rFonts w:hint="eastAsia"/>
                      <w:b/>
                      <w:color w:val="auto"/>
                    </w:rPr>
                    <w:t>核算排放速率</w:t>
                  </w:r>
                </w:p>
                <w:p w14:paraId="0592821D">
                  <w:pPr>
                    <w:spacing w:line="0" w:lineRule="atLeast"/>
                    <w:jc w:val="center"/>
                    <w:rPr>
                      <w:b/>
                      <w:color w:val="auto"/>
                    </w:rPr>
                  </w:pPr>
                  <w:r>
                    <w:rPr>
                      <w:rFonts w:hint="eastAsia"/>
                      <w:b/>
                      <w:color w:val="auto"/>
                    </w:rPr>
                    <w:t>（kg/h）</w:t>
                  </w:r>
                </w:p>
              </w:tc>
              <w:tc>
                <w:tcPr>
                  <w:tcW w:w="2260" w:type="dxa"/>
                </w:tcPr>
                <w:p w14:paraId="49686856">
                  <w:pPr>
                    <w:spacing w:line="0" w:lineRule="atLeast"/>
                    <w:jc w:val="center"/>
                    <w:rPr>
                      <w:b/>
                      <w:color w:val="auto"/>
                    </w:rPr>
                  </w:pPr>
                  <w:r>
                    <w:rPr>
                      <w:rFonts w:hint="eastAsia"/>
                      <w:b/>
                      <w:color w:val="auto"/>
                    </w:rPr>
                    <w:t>核算年排放量</w:t>
                  </w:r>
                </w:p>
                <w:p w14:paraId="4F4BC4C2">
                  <w:pPr>
                    <w:spacing w:line="0" w:lineRule="atLeast"/>
                    <w:jc w:val="center"/>
                    <w:rPr>
                      <w:b/>
                      <w:color w:val="auto"/>
                    </w:rPr>
                  </w:pPr>
                  <w:r>
                    <w:rPr>
                      <w:rFonts w:hint="eastAsia"/>
                      <w:b/>
                      <w:color w:val="auto"/>
                    </w:rPr>
                    <w:t>（t/a）</w:t>
                  </w:r>
                </w:p>
              </w:tc>
            </w:tr>
            <w:tr w14:paraId="28DA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549" w:type="dxa"/>
                  <w:gridSpan w:val="6"/>
                </w:tcPr>
                <w:p w14:paraId="4098C3BA">
                  <w:pPr>
                    <w:spacing w:line="0" w:lineRule="atLeast"/>
                    <w:jc w:val="center"/>
                    <w:rPr>
                      <w:bCs/>
                      <w:color w:val="auto"/>
                    </w:rPr>
                  </w:pPr>
                  <w:r>
                    <w:rPr>
                      <w:rFonts w:hint="eastAsia"/>
                      <w:bCs/>
                      <w:color w:val="auto"/>
                    </w:rPr>
                    <w:t>一般排放口</w:t>
                  </w:r>
                </w:p>
              </w:tc>
            </w:tr>
            <w:tr w14:paraId="35C0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257" w:type="dxa"/>
                </w:tcPr>
                <w:p w14:paraId="4B75BF90">
                  <w:pPr>
                    <w:spacing w:line="0" w:lineRule="atLeast"/>
                    <w:jc w:val="center"/>
                    <w:rPr>
                      <w:bCs/>
                      <w:color w:val="auto"/>
                    </w:rPr>
                  </w:pPr>
                  <w:r>
                    <w:rPr>
                      <w:rFonts w:hint="eastAsia"/>
                      <w:bCs/>
                      <w:color w:val="auto"/>
                    </w:rPr>
                    <w:t>1</w:t>
                  </w:r>
                </w:p>
              </w:tc>
              <w:tc>
                <w:tcPr>
                  <w:tcW w:w="2257" w:type="dxa"/>
                </w:tcPr>
                <w:p w14:paraId="67B450C2">
                  <w:pPr>
                    <w:spacing w:line="0" w:lineRule="atLeast"/>
                    <w:jc w:val="center"/>
                    <w:rPr>
                      <w:bCs/>
                      <w:color w:val="auto"/>
                    </w:rPr>
                  </w:pPr>
                  <w:r>
                    <w:rPr>
                      <w:rFonts w:hint="eastAsia"/>
                      <w:bCs/>
                      <w:color w:val="auto"/>
                    </w:rPr>
                    <w:t>FQ-1</w:t>
                  </w:r>
                </w:p>
              </w:tc>
              <w:tc>
                <w:tcPr>
                  <w:tcW w:w="2258" w:type="dxa"/>
                </w:tcPr>
                <w:p w14:paraId="68F4920D">
                  <w:pPr>
                    <w:spacing w:line="0" w:lineRule="atLeast"/>
                    <w:jc w:val="center"/>
                    <w:rPr>
                      <w:bCs/>
                      <w:color w:val="auto"/>
                    </w:rPr>
                  </w:pPr>
                  <w:r>
                    <w:rPr>
                      <w:rFonts w:hint="eastAsia"/>
                      <w:color w:val="auto"/>
                    </w:rPr>
                    <w:t>非甲烷总烃</w:t>
                  </w:r>
                </w:p>
              </w:tc>
              <w:tc>
                <w:tcPr>
                  <w:tcW w:w="2258" w:type="dxa"/>
                  <w:vAlign w:val="center"/>
                </w:tcPr>
                <w:p w14:paraId="7CEB959E">
                  <w:pPr>
                    <w:spacing w:line="0" w:lineRule="atLeast"/>
                    <w:jc w:val="center"/>
                    <w:rPr>
                      <w:bCs/>
                      <w:color w:val="auto"/>
                    </w:rPr>
                  </w:pPr>
                  <w:r>
                    <w:rPr>
                      <w:rFonts w:hint="eastAsia"/>
                      <w:bCs/>
                      <w:color w:val="auto"/>
                    </w:rPr>
                    <w:t>2.917</w:t>
                  </w:r>
                </w:p>
              </w:tc>
              <w:tc>
                <w:tcPr>
                  <w:tcW w:w="2259" w:type="dxa"/>
                  <w:vAlign w:val="center"/>
                </w:tcPr>
                <w:p w14:paraId="0E06BF79">
                  <w:pPr>
                    <w:spacing w:line="0" w:lineRule="atLeast"/>
                    <w:jc w:val="center"/>
                    <w:rPr>
                      <w:bCs/>
                      <w:color w:val="auto"/>
                    </w:rPr>
                  </w:pPr>
                  <w:r>
                    <w:rPr>
                      <w:rFonts w:hint="eastAsia"/>
                      <w:bCs/>
                      <w:color w:val="auto"/>
                    </w:rPr>
                    <w:t>0.336</w:t>
                  </w:r>
                </w:p>
              </w:tc>
              <w:tc>
                <w:tcPr>
                  <w:tcW w:w="2260" w:type="dxa"/>
                  <w:vAlign w:val="center"/>
                </w:tcPr>
                <w:p w14:paraId="11CF88CB">
                  <w:pPr>
                    <w:spacing w:line="0" w:lineRule="atLeast"/>
                    <w:jc w:val="center"/>
                    <w:rPr>
                      <w:bCs/>
                      <w:color w:val="auto"/>
                    </w:rPr>
                  </w:pPr>
                  <w:r>
                    <w:rPr>
                      <w:rFonts w:hint="eastAsia"/>
                      <w:bCs/>
                      <w:color w:val="auto"/>
                    </w:rPr>
                    <w:t>0.14</w:t>
                  </w:r>
                </w:p>
              </w:tc>
            </w:tr>
            <w:tr w14:paraId="40FD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dxa"/>
                </w:tcPr>
                <w:p w14:paraId="1D83F0A5">
                  <w:pPr>
                    <w:spacing w:line="0" w:lineRule="atLeast"/>
                    <w:jc w:val="center"/>
                    <w:rPr>
                      <w:rFonts w:hint="eastAsia" w:eastAsia="宋体"/>
                      <w:bCs/>
                      <w:color w:val="auto"/>
                      <w:lang w:eastAsia="zh-CN"/>
                    </w:rPr>
                  </w:pPr>
                  <w:r>
                    <w:rPr>
                      <w:rFonts w:hint="eastAsia"/>
                      <w:bCs/>
                      <w:color w:val="auto"/>
                      <w:lang w:val="en-US" w:eastAsia="zh-CN"/>
                    </w:rPr>
                    <w:t>2</w:t>
                  </w:r>
                </w:p>
              </w:tc>
              <w:tc>
                <w:tcPr>
                  <w:tcW w:w="2257" w:type="dxa"/>
                </w:tcPr>
                <w:p w14:paraId="02C1A358">
                  <w:pPr>
                    <w:spacing w:line="0" w:lineRule="atLeast"/>
                    <w:jc w:val="center"/>
                    <w:rPr>
                      <w:bCs/>
                      <w:color w:val="auto"/>
                    </w:rPr>
                  </w:pPr>
                  <w:r>
                    <w:rPr>
                      <w:rFonts w:hint="eastAsia"/>
                      <w:bCs/>
                      <w:color w:val="auto"/>
                    </w:rPr>
                    <w:t>FQ-3</w:t>
                  </w:r>
                </w:p>
              </w:tc>
              <w:tc>
                <w:tcPr>
                  <w:tcW w:w="2258" w:type="dxa"/>
                </w:tcPr>
                <w:p w14:paraId="65F3B01B">
                  <w:pPr>
                    <w:spacing w:line="0" w:lineRule="atLeast"/>
                    <w:jc w:val="center"/>
                    <w:rPr>
                      <w:color w:val="auto"/>
                    </w:rPr>
                  </w:pPr>
                  <w:r>
                    <w:rPr>
                      <w:rFonts w:hint="eastAsia"/>
                      <w:color w:val="auto"/>
                    </w:rPr>
                    <w:t>颗粒物</w:t>
                  </w:r>
                </w:p>
              </w:tc>
              <w:tc>
                <w:tcPr>
                  <w:tcW w:w="2258" w:type="dxa"/>
                  <w:vAlign w:val="center"/>
                </w:tcPr>
                <w:p w14:paraId="126585EA">
                  <w:pPr>
                    <w:spacing w:line="0" w:lineRule="atLeast"/>
                    <w:jc w:val="center"/>
                    <w:rPr>
                      <w:bCs/>
                      <w:color w:val="auto"/>
                    </w:rPr>
                  </w:pPr>
                  <w:r>
                    <w:rPr>
                      <w:rFonts w:hint="eastAsia"/>
                      <w:bCs/>
                      <w:color w:val="auto"/>
                      <w:lang w:val="en-US" w:eastAsia="zh-CN"/>
                    </w:rPr>
                    <w:t>1.17</w:t>
                  </w:r>
                </w:p>
              </w:tc>
              <w:tc>
                <w:tcPr>
                  <w:tcW w:w="2259" w:type="dxa"/>
                  <w:vAlign w:val="center"/>
                </w:tcPr>
                <w:p w14:paraId="2EDDF319">
                  <w:pPr>
                    <w:spacing w:line="0" w:lineRule="atLeast"/>
                    <w:jc w:val="center"/>
                    <w:rPr>
                      <w:bCs/>
                      <w:color w:val="auto"/>
                    </w:rPr>
                  </w:pPr>
                  <w:r>
                    <w:rPr>
                      <w:rFonts w:hint="eastAsia"/>
                      <w:bCs/>
                      <w:color w:val="auto"/>
                      <w:lang w:val="en-US" w:eastAsia="zh-CN"/>
                    </w:rPr>
                    <w:t>0.003</w:t>
                  </w:r>
                </w:p>
              </w:tc>
              <w:tc>
                <w:tcPr>
                  <w:tcW w:w="2260" w:type="dxa"/>
                  <w:vAlign w:val="center"/>
                </w:tcPr>
                <w:p w14:paraId="7CD6BC55">
                  <w:pPr>
                    <w:spacing w:line="0" w:lineRule="atLeast"/>
                    <w:jc w:val="center"/>
                    <w:rPr>
                      <w:bCs/>
                      <w:color w:val="auto"/>
                    </w:rPr>
                  </w:pPr>
                  <w:r>
                    <w:rPr>
                      <w:rFonts w:hint="eastAsia"/>
                      <w:bCs/>
                      <w:color w:val="auto"/>
                    </w:rPr>
                    <w:t>0.00</w:t>
                  </w:r>
                  <w:r>
                    <w:rPr>
                      <w:rFonts w:hint="eastAsia"/>
                      <w:bCs/>
                      <w:color w:val="auto"/>
                      <w:lang w:val="en-US" w:eastAsia="zh-CN"/>
                    </w:rPr>
                    <w:t>7</w:t>
                  </w:r>
                </w:p>
              </w:tc>
            </w:tr>
            <w:tr w14:paraId="43B8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514" w:type="dxa"/>
                  <w:gridSpan w:val="2"/>
                  <w:vMerge w:val="restart"/>
                  <w:vAlign w:val="center"/>
                </w:tcPr>
                <w:p w14:paraId="40061B57">
                  <w:pPr>
                    <w:spacing w:line="0" w:lineRule="atLeast"/>
                    <w:jc w:val="center"/>
                    <w:rPr>
                      <w:bCs/>
                      <w:color w:val="auto"/>
                    </w:rPr>
                  </w:pPr>
                  <w:r>
                    <w:rPr>
                      <w:rFonts w:hint="eastAsia"/>
                      <w:bCs/>
                      <w:color w:val="auto"/>
                    </w:rPr>
                    <w:t>一般排放口合计</w:t>
                  </w:r>
                </w:p>
              </w:tc>
              <w:tc>
                <w:tcPr>
                  <w:tcW w:w="2258" w:type="dxa"/>
                </w:tcPr>
                <w:p w14:paraId="0BCFB607">
                  <w:pPr>
                    <w:spacing w:line="0" w:lineRule="atLeast"/>
                    <w:jc w:val="center"/>
                    <w:rPr>
                      <w:bCs/>
                      <w:color w:val="auto"/>
                    </w:rPr>
                  </w:pPr>
                  <w:r>
                    <w:rPr>
                      <w:rFonts w:hint="eastAsia"/>
                      <w:color w:val="auto"/>
                    </w:rPr>
                    <w:t>非甲烷总烃</w:t>
                  </w:r>
                </w:p>
              </w:tc>
              <w:tc>
                <w:tcPr>
                  <w:tcW w:w="2258" w:type="dxa"/>
                  <w:vAlign w:val="center"/>
                </w:tcPr>
                <w:p w14:paraId="548A1740">
                  <w:pPr>
                    <w:spacing w:line="0" w:lineRule="atLeast"/>
                    <w:jc w:val="center"/>
                    <w:rPr>
                      <w:bCs/>
                      <w:color w:val="auto"/>
                    </w:rPr>
                  </w:pPr>
                  <w:r>
                    <w:rPr>
                      <w:rFonts w:hint="eastAsia"/>
                      <w:bCs/>
                      <w:color w:val="auto"/>
                    </w:rPr>
                    <w:t>2.917</w:t>
                  </w:r>
                </w:p>
              </w:tc>
              <w:tc>
                <w:tcPr>
                  <w:tcW w:w="2259" w:type="dxa"/>
                  <w:vAlign w:val="center"/>
                </w:tcPr>
                <w:p w14:paraId="01812F6B">
                  <w:pPr>
                    <w:spacing w:line="0" w:lineRule="atLeast"/>
                    <w:jc w:val="center"/>
                    <w:rPr>
                      <w:bCs/>
                      <w:color w:val="auto"/>
                    </w:rPr>
                  </w:pPr>
                  <w:r>
                    <w:rPr>
                      <w:rFonts w:hint="eastAsia"/>
                      <w:bCs/>
                      <w:color w:val="auto"/>
                    </w:rPr>
                    <w:t>0.336</w:t>
                  </w:r>
                </w:p>
              </w:tc>
              <w:tc>
                <w:tcPr>
                  <w:tcW w:w="2260" w:type="dxa"/>
                  <w:vAlign w:val="center"/>
                </w:tcPr>
                <w:p w14:paraId="046128B5">
                  <w:pPr>
                    <w:spacing w:line="0" w:lineRule="atLeast"/>
                    <w:jc w:val="center"/>
                    <w:rPr>
                      <w:bCs/>
                      <w:color w:val="auto"/>
                    </w:rPr>
                  </w:pPr>
                  <w:r>
                    <w:rPr>
                      <w:rFonts w:hint="eastAsia"/>
                      <w:bCs/>
                      <w:color w:val="auto"/>
                    </w:rPr>
                    <w:t>0.14</w:t>
                  </w:r>
                </w:p>
              </w:tc>
            </w:tr>
            <w:tr w14:paraId="37DD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4514" w:type="dxa"/>
                  <w:gridSpan w:val="2"/>
                  <w:vMerge w:val="continue"/>
                </w:tcPr>
                <w:p w14:paraId="4EAFF070">
                  <w:pPr>
                    <w:spacing w:line="0" w:lineRule="atLeast"/>
                    <w:jc w:val="center"/>
                    <w:rPr>
                      <w:bCs/>
                      <w:color w:val="auto"/>
                    </w:rPr>
                  </w:pPr>
                </w:p>
              </w:tc>
              <w:tc>
                <w:tcPr>
                  <w:tcW w:w="2258" w:type="dxa"/>
                </w:tcPr>
                <w:p w14:paraId="52504105">
                  <w:pPr>
                    <w:spacing w:line="0" w:lineRule="atLeast"/>
                    <w:jc w:val="center"/>
                    <w:rPr>
                      <w:color w:val="auto"/>
                    </w:rPr>
                  </w:pPr>
                  <w:r>
                    <w:rPr>
                      <w:rFonts w:hint="eastAsia"/>
                      <w:color w:val="auto"/>
                    </w:rPr>
                    <w:t>颗粒物</w:t>
                  </w:r>
                </w:p>
              </w:tc>
              <w:tc>
                <w:tcPr>
                  <w:tcW w:w="2258" w:type="dxa"/>
                  <w:vAlign w:val="center"/>
                </w:tcPr>
                <w:p w14:paraId="45D9F906">
                  <w:pPr>
                    <w:spacing w:line="0" w:lineRule="atLeast"/>
                    <w:jc w:val="center"/>
                    <w:rPr>
                      <w:bCs/>
                      <w:color w:val="auto"/>
                    </w:rPr>
                  </w:pPr>
                  <w:r>
                    <w:rPr>
                      <w:rFonts w:hint="eastAsia"/>
                      <w:bCs/>
                      <w:color w:val="auto"/>
                      <w:lang w:val="en-US" w:eastAsia="zh-CN"/>
                    </w:rPr>
                    <w:t>1.17</w:t>
                  </w:r>
                </w:p>
              </w:tc>
              <w:tc>
                <w:tcPr>
                  <w:tcW w:w="2259" w:type="dxa"/>
                  <w:vAlign w:val="center"/>
                </w:tcPr>
                <w:p w14:paraId="5D2E8E82">
                  <w:pPr>
                    <w:spacing w:line="0" w:lineRule="atLeast"/>
                    <w:jc w:val="center"/>
                    <w:rPr>
                      <w:bCs/>
                      <w:color w:val="auto"/>
                    </w:rPr>
                  </w:pPr>
                  <w:r>
                    <w:rPr>
                      <w:rFonts w:hint="eastAsia"/>
                      <w:bCs/>
                      <w:color w:val="auto"/>
                      <w:lang w:val="en-US" w:eastAsia="zh-CN"/>
                    </w:rPr>
                    <w:t>0.003</w:t>
                  </w:r>
                </w:p>
              </w:tc>
              <w:tc>
                <w:tcPr>
                  <w:tcW w:w="2260" w:type="dxa"/>
                  <w:vAlign w:val="center"/>
                </w:tcPr>
                <w:p w14:paraId="6135F8C5">
                  <w:pPr>
                    <w:spacing w:line="0" w:lineRule="atLeast"/>
                    <w:jc w:val="center"/>
                    <w:rPr>
                      <w:bCs/>
                      <w:color w:val="auto"/>
                    </w:rPr>
                  </w:pPr>
                  <w:r>
                    <w:rPr>
                      <w:rFonts w:hint="eastAsia"/>
                      <w:bCs/>
                      <w:color w:val="auto"/>
                    </w:rPr>
                    <w:t>0.00</w:t>
                  </w:r>
                  <w:r>
                    <w:rPr>
                      <w:rFonts w:hint="eastAsia"/>
                      <w:bCs/>
                      <w:color w:val="auto"/>
                      <w:lang w:val="en-US" w:eastAsia="zh-CN"/>
                    </w:rPr>
                    <w:t>7</w:t>
                  </w:r>
                </w:p>
              </w:tc>
            </w:tr>
            <w:tr w14:paraId="19D3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9" w:type="dxa"/>
                  <w:gridSpan w:val="6"/>
                </w:tcPr>
                <w:p w14:paraId="3F637659">
                  <w:pPr>
                    <w:spacing w:line="0" w:lineRule="atLeast"/>
                    <w:jc w:val="center"/>
                    <w:rPr>
                      <w:bCs/>
                      <w:color w:val="auto"/>
                    </w:rPr>
                  </w:pPr>
                  <w:r>
                    <w:rPr>
                      <w:rFonts w:hint="eastAsia"/>
                      <w:bCs/>
                      <w:color w:val="auto"/>
                    </w:rPr>
                    <w:t>有组织排放合计</w:t>
                  </w:r>
                </w:p>
              </w:tc>
            </w:tr>
            <w:tr w14:paraId="7AF7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4" w:type="dxa"/>
                  <w:gridSpan w:val="2"/>
                  <w:vAlign w:val="center"/>
                </w:tcPr>
                <w:p w14:paraId="2E904ED9">
                  <w:pPr>
                    <w:spacing w:line="0" w:lineRule="atLeast"/>
                    <w:jc w:val="center"/>
                    <w:rPr>
                      <w:bCs/>
                      <w:color w:val="auto"/>
                    </w:rPr>
                  </w:pPr>
                  <w:r>
                    <w:rPr>
                      <w:rFonts w:hint="eastAsia"/>
                      <w:bCs/>
                      <w:color w:val="auto"/>
                    </w:rPr>
                    <w:t>本项目有组织排放量合计</w:t>
                  </w:r>
                </w:p>
              </w:tc>
              <w:tc>
                <w:tcPr>
                  <w:tcW w:w="2258" w:type="dxa"/>
                  <w:vAlign w:val="center"/>
                </w:tcPr>
                <w:p w14:paraId="1E85CDD8">
                  <w:pPr>
                    <w:spacing w:line="0" w:lineRule="atLeast"/>
                    <w:jc w:val="center"/>
                    <w:rPr>
                      <w:bCs/>
                      <w:color w:val="auto"/>
                    </w:rPr>
                  </w:pPr>
                  <w:r>
                    <w:rPr>
                      <w:rFonts w:hint="eastAsia"/>
                      <w:bCs/>
                      <w:color w:val="auto"/>
                    </w:rPr>
                    <w:t>非甲烷总烃</w:t>
                  </w:r>
                </w:p>
              </w:tc>
              <w:tc>
                <w:tcPr>
                  <w:tcW w:w="2258" w:type="dxa"/>
                  <w:vAlign w:val="center"/>
                </w:tcPr>
                <w:p w14:paraId="3B26CF99">
                  <w:pPr>
                    <w:spacing w:line="0" w:lineRule="atLeast"/>
                    <w:jc w:val="center"/>
                    <w:rPr>
                      <w:bCs/>
                      <w:color w:val="auto"/>
                    </w:rPr>
                  </w:pPr>
                  <w:r>
                    <w:rPr>
                      <w:rFonts w:hint="eastAsia"/>
                      <w:bCs/>
                      <w:color w:val="auto"/>
                    </w:rPr>
                    <w:t>2.917</w:t>
                  </w:r>
                </w:p>
              </w:tc>
              <w:tc>
                <w:tcPr>
                  <w:tcW w:w="2259" w:type="dxa"/>
                  <w:vAlign w:val="center"/>
                </w:tcPr>
                <w:p w14:paraId="415FF578">
                  <w:pPr>
                    <w:spacing w:line="0" w:lineRule="atLeast"/>
                    <w:jc w:val="center"/>
                    <w:rPr>
                      <w:bCs/>
                      <w:color w:val="auto"/>
                    </w:rPr>
                  </w:pPr>
                  <w:r>
                    <w:rPr>
                      <w:rFonts w:hint="eastAsia"/>
                      <w:bCs/>
                      <w:color w:val="auto"/>
                    </w:rPr>
                    <w:t>0.336</w:t>
                  </w:r>
                </w:p>
              </w:tc>
              <w:tc>
                <w:tcPr>
                  <w:tcW w:w="2260" w:type="dxa"/>
                </w:tcPr>
                <w:p w14:paraId="401B1B0D">
                  <w:pPr>
                    <w:spacing w:line="0" w:lineRule="atLeast"/>
                    <w:jc w:val="center"/>
                    <w:rPr>
                      <w:bCs/>
                      <w:color w:val="auto"/>
                    </w:rPr>
                  </w:pPr>
                  <w:r>
                    <w:rPr>
                      <w:rFonts w:hint="eastAsia"/>
                      <w:bCs/>
                      <w:color w:val="auto"/>
                    </w:rPr>
                    <w:t>0.14</w:t>
                  </w:r>
                </w:p>
              </w:tc>
            </w:tr>
            <w:tr w14:paraId="5020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4" w:type="dxa"/>
                  <w:gridSpan w:val="2"/>
                </w:tcPr>
                <w:p w14:paraId="02880B46">
                  <w:pPr>
                    <w:spacing w:line="0" w:lineRule="atLeast"/>
                    <w:jc w:val="center"/>
                    <w:rPr>
                      <w:bCs/>
                      <w:color w:val="auto"/>
                    </w:rPr>
                  </w:pPr>
                </w:p>
              </w:tc>
              <w:tc>
                <w:tcPr>
                  <w:tcW w:w="2258" w:type="dxa"/>
                  <w:vAlign w:val="center"/>
                </w:tcPr>
                <w:p w14:paraId="35C578A4">
                  <w:pPr>
                    <w:spacing w:line="0" w:lineRule="atLeast"/>
                    <w:jc w:val="center"/>
                    <w:rPr>
                      <w:color w:val="auto"/>
                    </w:rPr>
                  </w:pPr>
                  <w:r>
                    <w:rPr>
                      <w:rFonts w:hint="eastAsia"/>
                      <w:color w:val="auto"/>
                    </w:rPr>
                    <w:t>颗粒物</w:t>
                  </w:r>
                </w:p>
              </w:tc>
              <w:tc>
                <w:tcPr>
                  <w:tcW w:w="2258" w:type="dxa"/>
                  <w:vAlign w:val="center"/>
                </w:tcPr>
                <w:p w14:paraId="3593A324">
                  <w:pPr>
                    <w:spacing w:line="0" w:lineRule="atLeast"/>
                    <w:jc w:val="center"/>
                    <w:rPr>
                      <w:bCs/>
                      <w:color w:val="auto"/>
                    </w:rPr>
                  </w:pPr>
                  <w:r>
                    <w:rPr>
                      <w:rFonts w:hint="eastAsia"/>
                      <w:bCs/>
                      <w:color w:val="auto"/>
                      <w:lang w:val="en-US" w:eastAsia="zh-CN"/>
                    </w:rPr>
                    <w:t>1.17</w:t>
                  </w:r>
                </w:p>
              </w:tc>
              <w:tc>
                <w:tcPr>
                  <w:tcW w:w="2259" w:type="dxa"/>
                  <w:vAlign w:val="center"/>
                </w:tcPr>
                <w:p w14:paraId="088A7779">
                  <w:pPr>
                    <w:spacing w:line="0" w:lineRule="atLeast"/>
                    <w:jc w:val="center"/>
                    <w:rPr>
                      <w:bCs/>
                      <w:color w:val="auto"/>
                    </w:rPr>
                  </w:pPr>
                  <w:r>
                    <w:rPr>
                      <w:rFonts w:hint="eastAsia"/>
                      <w:bCs/>
                      <w:color w:val="auto"/>
                      <w:lang w:val="en-US" w:eastAsia="zh-CN"/>
                    </w:rPr>
                    <w:t>0.003</w:t>
                  </w:r>
                </w:p>
              </w:tc>
              <w:tc>
                <w:tcPr>
                  <w:tcW w:w="2260" w:type="dxa"/>
                  <w:vAlign w:val="center"/>
                </w:tcPr>
                <w:p w14:paraId="4AF13878">
                  <w:pPr>
                    <w:spacing w:line="0" w:lineRule="atLeast"/>
                    <w:jc w:val="center"/>
                    <w:rPr>
                      <w:bCs/>
                      <w:color w:val="auto"/>
                    </w:rPr>
                  </w:pPr>
                  <w:r>
                    <w:rPr>
                      <w:rFonts w:hint="eastAsia"/>
                      <w:bCs/>
                      <w:color w:val="auto"/>
                    </w:rPr>
                    <w:t>0.00</w:t>
                  </w:r>
                  <w:r>
                    <w:rPr>
                      <w:rFonts w:hint="eastAsia"/>
                      <w:bCs/>
                      <w:color w:val="auto"/>
                      <w:lang w:val="en-US" w:eastAsia="zh-CN"/>
                    </w:rPr>
                    <w:t>7</w:t>
                  </w:r>
                </w:p>
              </w:tc>
            </w:tr>
          </w:tbl>
          <w:p w14:paraId="70933A70">
            <w:pPr>
              <w:keepNext/>
              <w:keepLines/>
              <w:widowControl/>
              <w:overflowPunct w:val="0"/>
              <w:jc w:val="center"/>
              <w:rPr>
                <w:rFonts w:ascii="仿宋" w:hAnsi="仿宋" w:eastAsia="仿宋" w:cs="仿宋"/>
                <w:b/>
                <w:bCs/>
                <w:color w:val="auto"/>
                <w:kern w:val="0"/>
                <w:sz w:val="18"/>
                <w:szCs w:val="18"/>
                <w:lang w:bidi="ar"/>
              </w:rPr>
            </w:pPr>
            <w:r>
              <w:rPr>
                <w:rFonts w:hint="eastAsia"/>
                <w:b/>
                <w:bCs/>
                <w:color w:val="auto"/>
                <w:sz w:val="24"/>
                <w:szCs w:val="24"/>
              </w:rPr>
              <w:t>表4-6  大气污染物年排放量核算表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4221"/>
              <w:gridCol w:w="2737"/>
              <w:gridCol w:w="4221"/>
            </w:tblGrid>
            <w:tr w14:paraId="5B55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4" w:type="pct"/>
                  <w:tcBorders>
                    <w:tl2br w:val="nil"/>
                    <w:tr2bl w:val="nil"/>
                  </w:tcBorders>
                  <w:shd w:val="clear" w:color="auto" w:fill="auto"/>
                  <w:tcMar>
                    <w:top w:w="0" w:type="dxa"/>
                    <w:left w:w="57" w:type="dxa"/>
                    <w:bottom w:w="0" w:type="dxa"/>
                    <w:right w:w="57" w:type="dxa"/>
                  </w:tcMar>
                  <w:vAlign w:val="center"/>
                </w:tcPr>
                <w:p w14:paraId="0883FAA7">
                  <w:pPr>
                    <w:spacing w:line="0" w:lineRule="atLeast"/>
                    <w:jc w:val="center"/>
                    <w:rPr>
                      <w:b/>
                      <w:color w:val="auto"/>
                    </w:rPr>
                  </w:pPr>
                  <w:r>
                    <w:rPr>
                      <w:b/>
                      <w:color w:val="auto"/>
                    </w:rPr>
                    <w:t>序号</w:t>
                  </w:r>
                </w:p>
              </w:tc>
              <w:tc>
                <w:tcPr>
                  <w:tcW w:w="1572" w:type="pct"/>
                  <w:tcBorders>
                    <w:tl2br w:val="nil"/>
                    <w:tr2bl w:val="nil"/>
                  </w:tcBorders>
                  <w:shd w:val="clear" w:color="auto" w:fill="auto"/>
                  <w:tcMar>
                    <w:top w:w="0" w:type="dxa"/>
                    <w:left w:w="57" w:type="dxa"/>
                    <w:bottom w:w="0" w:type="dxa"/>
                    <w:right w:w="57" w:type="dxa"/>
                  </w:tcMar>
                  <w:vAlign w:val="center"/>
                </w:tcPr>
                <w:p w14:paraId="2537EC33">
                  <w:pPr>
                    <w:spacing w:line="0" w:lineRule="atLeast"/>
                    <w:jc w:val="center"/>
                    <w:rPr>
                      <w:b/>
                      <w:color w:val="auto"/>
                    </w:rPr>
                  </w:pPr>
                  <w:r>
                    <w:rPr>
                      <w:b/>
                      <w:color w:val="auto"/>
                    </w:rPr>
                    <w:t>排放形式</w:t>
                  </w:r>
                </w:p>
              </w:tc>
              <w:tc>
                <w:tcPr>
                  <w:tcW w:w="1019" w:type="pct"/>
                  <w:tcBorders>
                    <w:tl2br w:val="nil"/>
                    <w:tr2bl w:val="nil"/>
                  </w:tcBorders>
                  <w:shd w:val="clear" w:color="auto" w:fill="auto"/>
                  <w:tcMar>
                    <w:top w:w="0" w:type="dxa"/>
                    <w:left w:w="57" w:type="dxa"/>
                    <w:bottom w:w="0" w:type="dxa"/>
                    <w:right w:w="57" w:type="dxa"/>
                  </w:tcMar>
                  <w:vAlign w:val="center"/>
                </w:tcPr>
                <w:p w14:paraId="4BC22ED4">
                  <w:pPr>
                    <w:spacing w:line="0" w:lineRule="atLeast"/>
                    <w:jc w:val="center"/>
                    <w:rPr>
                      <w:b/>
                      <w:color w:val="auto"/>
                    </w:rPr>
                  </w:pPr>
                  <w:r>
                    <w:rPr>
                      <w:b/>
                      <w:color w:val="auto"/>
                    </w:rPr>
                    <w:t>污染物名称</w:t>
                  </w:r>
                </w:p>
              </w:tc>
              <w:tc>
                <w:tcPr>
                  <w:tcW w:w="1572" w:type="pct"/>
                  <w:tcBorders>
                    <w:tl2br w:val="nil"/>
                    <w:tr2bl w:val="nil"/>
                  </w:tcBorders>
                  <w:shd w:val="clear" w:color="auto" w:fill="auto"/>
                  <w:tcMar>
                    <w:top w:w="0" w:type="dxa"/>
                    <w:left w:w="57" w:type="dxa"/>
                    <w:bottom w:w="0" w:type="dxa"/>
                    <w:right w:w="57" w:type="dxa"/>
                  </w:tcMar>
                  <w:vAlign w:val="center"/>
                </w:tcPr>
                <w:p w14:paraId="02424802">
                  <w:pPr>
                    <w:spacing w:line="0" w:lineRule="atLeast"/>
                    <w:jc w:val="center"/>
                    <w:rPr>
                      <w:b/>
                      <w:color w:val="auto"/>
                    </w:rPr>
                  </w:pPr>
                  <w:r>
                    <w:rPr>
                      <w:b/>
                      <w:color w:val="auto"/>
                    </w:rPr>
                    <w:t>排放量（t/a）</w:t>
                  </w:r>
                </w:p>
              </w:tc>
            </w:tr>
            <w:tr w14:paraId="28F8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4" w:type="pct"/>
                  <w:tcBorders>
                    <w:tl2br w:val="nil"/>
                    <w:tr2bl w:val="nil"/>
                  </w:tcBorders>
                  <w:shd w:val="clear" w:color="auto" w:fill="auto"/>
                  <w:tcMar>
                    <w:top w:w="0" w:type="dxa"/>
                    <w:left w:w="57" w:type="dxa"/>
                    <w:bottom w:w="0" w:type="dxa"/>
                    <w:right w:w="57" w:type="dxa"/>
                  </w:tcMar>
                  <w:vAlign w:val="center"/>
                </w:tcPr>
                <w:p w14:paraId="320FD0FC">
                  <w:pPr>
                    <w:spacing w:line="0" w:lineRule="atLeast"/>
                    <w:jc w:val="center"/>
                    <w:rPr>
                      <w:bCs/>
                      <w:color w:val="auto"/>
                    </w:rPr>
                  </w:pPr>
                  <w:r>
                    <w:rPr>
                      <w:bCs/>
                      <w:color w:val="auto"/>
                    </w:rPr>
                    <w:t>1</w:t>
                  </w:r>
                </w:p>
              </w:tc>
              <w:tc>
                <w:tcPr>
                  <w:tcW w:w="1572" w:type="pct"/>
                  <w:vMerge w:val="restart"/>
                  <w:tcBorders>
                    <w:tl2br w:val="nil"/>
                    <w:tr2bl w:val="nil"/>
                  </w:tcBorders>
                  <w:shd w:val="clear" w:color="auto" w:fill="auto"/>
                  <w:tcMar>
                    <w:top w:w="0" w:type="dxa"/>
                    <w:left w:w="57" w:type="dxa"/>
                    <w:bottom w:w="0" w:type="dxa"/>
                    <w:right w:w="57" w:type="dxa"/>
                  </w:tcMar>
                  <w:vAlign w:val="center"/>
                </w:tcPr>
                <w:p w14:paraId="6D5308C5">
                  <w:pPr>
                    <w:spacing w:line="0" w:lineRule="atLeast"/>
                    <w:jc w:val="center"/>
                    <w:rPr>
                      <w:bCs/>
                      <w:color w:val="auto"/>
                    </w:rPr>
                  </w:pPr>
                  <w:r>
                    <w:rPr>
                      <w:bCs/>
                      <w:color w:val="auto"/>
                    </w:rPr>
                    <w:t>有组织</w:t>
                  </w:r>
                </w:p>
              </w:tc>
              <w:tc>
                <w:tcPr>
                  <w:tcW w:w="1019" w:type="pct"/>
                  <w:tcBorders>
                    <w:tl2br w:val="nil"/>
                    <w:tr2bl w:val="nil"/>
                  </w:tcBorders>
                  <w:shd w:val="clear" w:color="auto" w:fill="auto"/>
                  <w:tcMar>
                    <w:top w:w="0" w:type="dxa"/>
                    <w:left w:w="57" w:type="dxa"/>
                    <w:bottom w:w="0" w:type="dxa"/>
                    <w:right w:w="57" w:type="dxa"/>
                  </w:tcMar>
                  <w:vAlign w:val="center"/>
                </w:tcPr>
                <w:p w14:paraId="539CEBD8">
                  <w:pPr>
                    <w:spacing w:line="0" w:lineRule="atLeast"/>
                    <w:jc w:val="center"/>
                    <w:rPr>
                      <w:bCs/>
                      <w:color w:val="auto"/>
                    </w:rPr>
                  </w:pPr>
                  <w:r>
                    <w:rPr>
                      <w:rFonts w:hint="eastAsia"/>
                      <w:bCs/>
                      <w:color w:val="auto"/>
                    </w:rPr>
                    <w:t>非甲烷总烃</w:t>
                  </w:r>
                </w:p>
              </w:tc>
              <w:tc>
                <w:tcPr>
                  <w:tcW w:w="1572" w:type="pct"/>
                  <w:tcBorders>
                    <w:tl2br w:val="nil"/>
                    <w:tr2bl w:val="nil"/>
                  </w:tcBorders>
                  <w:shd w:val="clear" w:color="auto" w:fill="auto"/>
                  <w:tcMar>
                    <w:top w:w="0" w:type="dxa"/>
                    <w:left w:w="57" w:type="dxa"/>
                    <w:bottom w:w="0" w:type="dxa"/>
                    <w:right w:w="57" w:type="dxa"/>
                  </w:tcMar>
                </w:tcPr>
                <w:p w14:paraId="2CCEDC81">
                  <w:pPr>
                    <w:spacing w:line="0" w:lineRule="atLeast"/>
                    <w:jc w:val="center"/>
                    <w:rPr>
                      <w:color w:val="auto"/>
                    </w:rPr>
                  </w:pPr>
                  <w:r>
                    <w:rPr>
                      <w:rFonts w:hint="eastAsia"/>
                      <w:color w:val="auto"/>
                    </w:rPr>
                    <w:t>0.14</w:t>
                  </w:r>
                </w:p>
              </w:tc>
            </w:tr>
            <w:tr w14:paraId="08F4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4" w:type="pct"/>
                  <w:tcBorders>
                    <w:tl2br w:val="nil"/>
                    <w:tr2bl w:val="nil"/>
                  </w:tcBorders>
                  <w:shd w:val="clear" w:color="auto" w:fill="auto"/>
                  <w:tcMar>
                    <w:top w:w="0" w:type="dxa"/>
                    <w:left w:w="57" w:type="dxa"/>
                    <w:bottom w:w="0" w:type="dxa"/>
                    <w:right w:w="57" w:type="dxa"/>
                  </w:tcMar>
                  <w:vAlign w:val="center"/>
                </w:tcPr>
                <w:p w14:paraId="04408BAF">
                  <w:pPr>
                    <w:spacing w:line="0" w:lineRule="atLeast"/>
                    <w:jc w:val="center"/>
                    <w:rPr>
                      <w:rFonts w:hint="eastAsia" w:eastAsia="宋体"/>
                      <w:bCs/>
                      <w:color w:val="auto"/>
                      <w:lang w:eastAsia="zh-CN"/>
                    </w:rPr>
                  </w:pPr>
                  <w:r>
                    <w:rPr>
                      <w:rFonts w:hint="eastAsia"/>
                      <w:bCs/>
                      <w:color w:val="auto"/>
                      <w:lang w:val="en-US" w:eastAsia="zh-CN"/>
                    </w:rPr>
                    <w:t>2</w:t>
                  </w:r>
                </w:p>
              </w:tc>
              <w:tc>
                <w:tcPr>
                  <w:tcW w:w="1572" w:type="pct"/>
                  <w:vMerge w:val="continue"/>
                  <w:tcBorders>
                    <w:tl2br w:val="nil"/>
                    <w:tr2bl w:val="nil"/>
                  </w:tcBorders>
                  <w:shd w:val="clear" w:color="auto" w:fill="auto"/>
                  <w:tcMar>
                    <w:top w:w="0" w:type="dxa"/>
                    <w:left w:w="57" w:type="dxa"/>
                    <w:bottom w:w="0" w:type="dxa"/>
                    <w:right w:w="57" w:type="dxa"/>
                  </w:tcMar>
                  <w:vAlign w:val="center"/>
                </w:tcPr>
                <w:p w14:paraId="305112B3">
                  <w:pPr>
                    <w:spacing w:line="0" w:lineRule="atLeast"/>
                    <w:jc w:val="center"/>
                    <w:rPr>
                      <w:bCs/>
                      <w:color w:val="auto"/>
                    </w:rPr>
                  </w:pPr>
                </w:p>
              </w:tc>
              <w:tc>
                <w:tcPr>
                  <w:tcW w:w="1019" w:type="pct"/>
                  <w:tcBorders>
                    <w:tl2br w:val="nil"/>
                    <w:tr2bl w:val="nil"/>
                  </w:tcBorders>
                  <w:shd w:val="clear" w:color="auto" w:fill="auto"/>
                  <w:tcMar>
                    <w:top w:w="0" w:type="dxa"/>
                    <w:left w:w="57" w:type="dxa"/>
                    <w:bottom w:w="0" w:type="dxa"/>
                    <w:right w:w="57" w:type="dxa"/>
                  </w:tcMar>
                  <w:vAlign w:val="center"/>
                </w:tcPr>
                <w:p w14:paraId="46795E2C">
                  <w:pPr>
                    <w:spacing w:line="0" w:lineRule="atLeast"/>
                    <w:jc w:val="center"/>
                    <w:rPr>
                      <w:color w:val="auto"/>
                    </w:rPr>
                  </w:pPr>
                  <w:r>
                    <w:rPr>
                      <w:rFonts w:hint="eastAsia"/>
                      <w:color w:val="auto"/>
                    </w:rPr>
                    <w:t>颗粒物</w:t>
                  </w:r>
                </w:p>
              </w:tc>
              <w:tc>
                <w:tcPr>
                  <w:tcW w:w="1572" w:type="pct"/>
                  <w:tcBorders>
                    <w:tl2br w:val="nil"/>
                    <w:tr2bl w:val="nil"/>
                  </w:tcBorders>
                  <w:shd w:val="clear" w:color="auto" w:fill="auto"/>
                  <w:tcMar>
                    <w:top w:w="0" w:type="dxa"/>
                    <w:left w:w="57" w:type="dxa"/>
                    <w:bottom w:w="0" w:type="dxa"/>
                    <w:right w:w="57" w:type="dxa"/>
                  </w:tcMar>
                  <w:vAlign w:val="center"/>
                </w:tcPr>
                <w:p w14:paraId="62056EC4">
                  <w:pPr>
                    <w:spacing w:line="0" w:lineRule="atLeast"/>
                    <w:jc w:val="center"/>
                    <w:rPr>
                      <w:rFonts w:hint="eastAsia" w:eastAsia="宋体"/>
                      <w:color w:val="auto"/>
                      <w:lang w:eastAsia="zh-CN"/>
                    </w:rPr>
                  </w:pPr>
                  <w:r>
                    <w:rPr>
                      <w:rFonts w:hint="eastAsia"/>
                      <w:color w:val="auto"/>
                    </w:rPr>
                    <w:t>0.00</w:t>
                  </w:r>
                  <w:r>
                    <w:rPr>
                      <w:rFonts w:hint="eastAsia"/>
                      <w:color w:val="auto"/>
                      <w:lang w:val="en-US" w:eastAsia="zh-CN"/>
                    </w:rPr>
                    <w:t>7</w:t>
                  </w:r>
                </w:p>
              </w:tc>
            </w:tr>
            <w:tr w14:paraId="00A9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4" w:type="pct"/>
                  <w:tcBorders>
                    <w:tl2br w:val="nil"/>
                    <w:tr2bl w:val="nil"/>
                  </w:tcBorders>
                  <w:shd w:val="clear" w:color="auto" w:fill="auto"/>
                  <w:tcMar>
                    <w:top w:w="0" w:type="dxa"/>
                    <w:left w:w="57" w:type="dxa"/>
                    <w:bottom w:w="0" w:type="dxa"/>
                    <w:right w:w="57" w:type="dxa"/>
                  </w:tcMar>
                  <w:vAlign w:val="center"/>
                </w:tcPr>
                <w:p w14:paraId="3CC5D71E">
                  <w:pPr>
                    <w:spacing w:line="0" w:lineRule="atLeast"/>
                    <w:jc w:val="center"/>
                    <w:rPr>
                      <w:rFonts w:hint="eastAsia" w:eastAsia="宋体"/>
                      <w:bCs/>
                      <w:color w:val="auto"/>
                      <w:lang w:eastAsia="zh-CN"/>
                    </w:rPr>
                  </w:pPr>
                  <w:r>
                    <w:rPr>
                      <w:rFonts w:hint="eastAsia"/>
                      <w:bCs/>
                      <w:color w:val="auto"/>
                      <w:lang w:val="en-US" w:eastAsia="zh-CN"/>
                    </w:rPr>
                    <w:t>3</w:t>
                  </w:r>
                </w:p>
              </w:tc>
              <w:tc>
                <w:tcPr>
                  <w:tcW w:w="1572" w:type="pct"/>
                  <w:vMerge w:val="restart"/>
                  <w:tcBorders>
                    <w:tl2br w:val="nil"/>
                    <w:tr2bl w:val="nil"/>
                  </w:tcBorders>
                  <w:shd w:val="clear" w:color="auto" w:fill="auto"/>
                  <w:tcMar>
                    <w:top w:w="0" w:type="dxa"/>
                    <w:left w:w="57" w:type="dxa"/>
                    <w:bottom w:w="0" w:type="dxa"/>
                    <w:right w:w="57" w:type="dxa"/>
                  </w:tcMar>
                  <w:vAlign w:val="center"/>
                </w:tcPr>
                <w:p w14:paraId="41144C66">
                  <w:pPr>
                    <w:spacing w:line="0" w:lineRule="atLeast"/>
                    <w:jc w:val="center"/>
                    <w:rPr>
                      <w:bCs/>
                      <w:color w:val="auto"/>
                    </w:rPr>
                  </w:pPr>
                  <w:r>
                    <w:rPr>
                      <w:bCs/>
                      <w:color w:val="auto"/>
                    </w:rPr>
                    <w:t>无组织</w:t>
                  </w:r>
                </w:p>
              </w:tc>
              <w:tc>
                <w:tcPr>
                  <w:tcW w:w="1019" w:type="pct"/>
                  <w:tcBorders>
                    <w:tl2br w:val="nil"/>
                    <w:tr2bl w:val="nil"/>
                  </w:tcBorders>
                  <w:shd w:val="clear" w:color="auto" w:fill="auto"/>
                  <w:tcMar>
                    <w:top w:w="0" w:type="dxa"/>
                    <w:left w:w="57" w:type="dxa"/>
                    <w:bottom w:w="0" w:type="dxa"/>
                    <w:right w:w="57" w:type="dxa"/>
                  </w:tcMar>
                  <w:vAlign w:val="center"/>
                </w:tcPr>
                <w:p w14:paraId="60A39106">
                  <w:pPr>
                    <w:spacing w:line="0" w:lineRule="atLeast"/>
                    <w:jc w:val="center"/>
                    <w:rPr>
                      <w:bCs/>
                      <w:color w:val="auto"/>
                    </w:rPr>
                  </w:pPr>
                  <w:r>
                    <w:rPr>
                      <w:rFonts w:hint="eastAsia"/>
                      <w:bCs/>
                      <w:color w:val="auto"/>
                    </w:rPr>
                    <w:t>非甲烷总烃</w:t>
                  </w:r>
                </w:p>
              </w:tc>
              <w:tc>
                <w:tcPr>
                  <w:tcW w:w="1572" w:type="pct"/>
                  <w:tcBorders>
                    <w:tl2br w:val="nil"/>
                    <w:tr2bl w:val="nil"/>
                  </w:tcBorders>
                  <w:shd w:val="clear" w:color="auto" w:fill="auto"/>
                  <w:tcMar>
                    <w:top w:w="0" w:type="dxa"/>
                    <w:left w:w="57" w:type="dxa"/>
                    <w:bottom w:w="0" w:type="dxa"/>
                    <w:right w:w="57" w:type="dxa"/>
                  </w:tcMar>
                  <w:vAlign w:val="center"/>
                </w:tcPr>
                <w:p w14:paraId="3D84B0A3">
                  <w:pPr>
                    <w:spacing w:line="0" w:lineRule="atLeast"/>
                    <w:jc w:val="center"/>
                    <w:rPr>
                      <w:color w:val="auto"/>
                    </w:rPr>
                  </w:pPr>
                  <w:r>
                    <w:rPr>
                      <w:rFonts w:hint="eastAsia"/>
                      <w:color w:val="auto"/>
                    </w:rPr>
                    <w:t>0.15</w:t>
                  </w:r>
                </w:p>
              </w:tc>
            </w:tr>
            <w:tr w14:paraId="5B86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4" w:type="pct"/>
                  <w:tcBorders>
                    <w:tl2br w:val="nil"/>
                    <w:tr2bl w:val="nil"/>
                  </w:tcBorders>
                  <w:shd w:val="clear" w:color="auto" w:fill="auto"/>
                  <w:tcMar>
                    <w:top w:w="0" w:type="dxa"/>
                    <w:left w:w="57" w:type="dxa"/>
                    <w:bottom w:w="0" w:type="dxa"/>
                    <w:right w:w="57" w:type="dxa"/>
                  </w:tcMar>
                  <w:vAlign w:val="center"/>
                </w:tcPr>
                <w:p w14:paraId="756D47A4">
                  <w:pPr>
                    <w:spacing w:line="0" w:lineRule="atLeast"/>
                    <w:jc w:val="center"/>
                    <w:rPr>
                      <w:rFonts w:hint="eastAsia" w:eastAsia="宋体"/>
                      <w:bCs/>
                      <w:color w:val="auto"/>
                      <w:lang w:eastAsia="zh-CN"/>
                    </w:rPr>
                  </w:pPr>
                  <w:r>
                    <w:rPr>
                      <w:rFonts w:hint="eastAsia"/>
                      <w:bCs/>
                      <w:color w:val="auto"/>
                      <w:lang w:val="en-US" w:eastAsia="zh-CN"/>
                    </w:rPr>
                    <w:t>4</w:t>
                  </w:r>
                </w:p>
              </w:tc>
              <w:tc>
                <w:tcPr>
                  <w:tcW w:w="1572" w:type="pct"/>
                  <w:vMerge w:val="continue"/>
                  <w:tcBorders>
                    <w:tl2br w:val="nil"/>
                    <w:tr2bl w:val="nil"/>
                  </w:tcBorders>
                  <w:shd w:val="clear" w:color="auto" w:fill="auto"/>
                  <w:tcMar>
                    <w:top w:w="0" w:type="dxa"/>
                    <w:left w:w="57" w:type="dxa"/>
                    <w:bottom w:w="0" w:type="dxa"/>
                    <w:right w:w="57" w:type="dxa"/>
                  </w:tcMar>
                  <w:vAlign w:val="center"/>
                </w:tcPr>
                <w:p w14:paraId="14CF5413">
                  <w:pPr>
                    <w:spacing w:line="0" w:lineRule="atLeast"/>
                    <w:jc w:val="center"/>
                    <w:rPr>
                      <w:bCs/>
                      <w:color w:val="auto"/>
                    </w:rPr>
                  </w:pPr>
                </w:p>
              </w:tc>
              <w:tc>
                <w:tcPr>
                  <w:tcW w:w="1019" w:type="pct"/>
                  <w:tcBorders>
                    <w:tl2br w:val="nil"/>
                    <w:tr2bl w:val="nil"/>
                  </w:tcBorders>
                  <w:shd w:val="clear" w:color="auto" w:fill="auto"/>
                  <w:tcMar>
                    <w:top w:w="0" w:type="dxa"/>
                    <w:left w:w="57" w:type="dxa"/>
                    <w:bottom w:w="0" w:type="dxa"/>
                    <w:right w:w="57" w:type="dxa"/>
                  </w:tcMar>
                  <w:vAlign w:val="center"/>
                </w:tcPr>
                <w:p w14:paraId="08802FCC">
                  <w:pPr>
                    <w:spacing w:line="0" w:lineRule="atLeast"/>
                    <w:jc w:val="center"/>
                    <w:rPr>
                      <w:bCs/>
                      <w:color w:val="auto"/>
                    </w:rPr>
                  </w:pPr>
                  <w:r>
                    <w:rPr>
                      <w:rFonts w:hint="eastAsia"/>
                      <w:color w:val="auto"/>
                    </w:rPr>
                    <w:t>颗粒物</w:t>
                  </w:r>
                </w:p>
              </w:tc>
              <w:tc>
                <w:tcPr>
                  <w:tcW w:w="1572" w:type="pct"/>
                  <w:tcBorders>
                    <w:tl2br w:val="nil"/>
                    <w:tr2bl w:val="nil"/>
                  </w:tcBorders>
                  <w:shd w:val="clear" w:color="auto" w:fill="auto"/>
                  <w:tcMar>
                    <w:top w:w="0" w:type="dxa"/>
                    <w:left w:w="57" w:type="dxa"/>
                    <w:bottom w:w="0" w:type="dxa"/>
                    <w:right w:w="57" w:type="dxa"/>
                  </w:tcMar>
                  <w:vAlign w:val="center"/>
                </w:tcPr>
                <w:p w14:paraId="00CB19E6">
                  <w:pPr>
                    <w:spacing w:line="0" w:lineRule="atLeast"/>
                    <w:jc w:val="center"/>
                    <w:rPr>
                      <w:rFonts w:hint="eastAsia" w:eastAsia="宋体"/>
                      <w:color w:val="auto"/>
                      <w:lang w:eastAsia="zh-CN"/>
                    </w:rPr>
                  </w:pPr>
                  <w:r>
                    <w:rPr>
                      <w:rFonts w:hint="eastAsia"/>
                      <w:color w:val="auto"/>
                    </w:rPr>
                    <w:t>0.00</w:t>
                  </w:r>
                  <w:r>
                    <w:rPr>
                      <w:rFonts w:hint="eastAsia"/>
                      <w:color w:val="auto"/>
                      <w:lang w:val="en-US" w:eastAsia="zh-CN"/>
                    </w:rPr>
                    <w:t>3</w:t>
                  </w:r>
                </w:p>
              </w:tc>
            </w:tr>
            <w:tr w14:paraId="2EDB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4" w:type="pct"/>
                  <w:vMerge w:val="restart"/>
                  <w:tcBorders>
                    <w:tl2br w:val="nil"/>
                    <w:tr2bl w:val="nil"/>
                  </w:tcBorders>
                  <w:shd w:val="clear" w:color="auto" w:fill="auto"/>
                  <w:tcMar>
                    <w:top w:w="0" w:type="dxa"/>
                    <w:left w:w="57" w:type="dxa"/>
                    <w:bottom w:w="0" w:type="dxa"/>
                    <w:right w:w="57" w:type="dxa"/>
                  </w:tcMar>
                  <w:vAlign w:val="center"/>
                </w:tcPr>
                <w:p w14:paraId="1F778D06">
                  <w:pPr>
                    <w:spacing w:line="0" w:lineRule="atLeast"/>
                    <w:jc w:val="center"/>
                    <w:rPr>
                      <w:bCs/>
                      <w:color w:val="auto"/>
                    </w:rPr>
                  </w:pPr>
                  <w:r>
                    <w:rPr>
                      <w:bCs/>
                      <w:color w:val="auto"/>
                    </w:rPr>
                    <w:t>总排放量</w:t>
                  </w:r>
                </w:p>
              </w:tc>
              <w:tc>
                <w:tcPr>
                  <w:tcW w:w="1572" w:type="pct"/>
                  <w:tcBorders>
                    <w:tl2br w:val="nil"/>
                    <w:tr2bl w:val="nil"/>
                  </w:tcBorders>
                  <w:shd w:val="clear" w:color="auto" w:fill="auto"/>
                  <w:tcMar>
                    <w:top w:w="0" w:type="dxa"/>
                    <w:left w:w="57" w:type="dxa"/>
                    <w:bottom w:w="0" w:type="dxa"/>
                    <w:right w:w="57" w:type="dxa"/>
                  </w:tcMar>
                  <w:vAlign w:val="center"/>
                </w:tcPr>
                <w:p w14:paraId="16FCFD40">
                  <w:pPr>
                    <w:spacing w:line="0" w:lineRule="atLeast"/>
                    <w:jc w:val="center"/>
                    <w:rPr>
                      <w:bCs/>
                      <w:color w:val="auto"/>
                    </w:rPr>
                  </w:pPr>
                  <w:r>
                    <w:rPr>
                      <w:bCs/>
                      <w:color w:val="auto"/>
                    </w:rPr>
                    <w:t>非甲烷总烃（t/a）</w:t>
                  </w:r>
                </w:p>
              </w:tc>
              <w:tc>
                <w:tcPr>
                  <w:tcW w:w="2592" w:type="pct"/>
                  <w:gridSpan w:val="2"/>
                  <w:tcBorders>
                    <w:tl2br w:val="nil"/>
                    <w:tr2bl w:val="nil"/>
                  </w:tcBorders>
                  <w:shd w:val="clear" w:color="auto" w:fill="auto"/>
                  <w:tcMar>
                    <w:top w:w="0" w:type="dxa"/>
                    <w:left w:w="57" w:type="dxa"/>
                    <w:bottom w:w="0" w:type="dxa"/>
                    <w:right w:w="57" w:type="dxa"/>
                  </w:tcMar>
                  <w:vAlign w:val="center"/>
                </w:tcPr>
                <w:p w14:paraId="4858711E">
                  <w:pPr>
                    <w:spacing w:line="0" w:lineRule="atLeast"/>
                    <w:jc w:val="center"/>
                    <w:rPr>
                      <w:bCs/>
                      <w:color w:val="auto"/>
                    </w:rPr>
                  </w:pPr>
                  <w:r>
                    <w:rPr>
                      <w:rFonts w:hint="eastAsia"/>
                      <w:bCs/>
                      <w:color w:val="auto"/>
                    </w:rPr>
                    <w:t>0.29</w:t>
                  </w:r>
                </w:p>
              </w:tc>
            </w:tr>
            <w:tr w14:paraId="027A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4" w:type="pct"/>
                  <w:vMerge w:val="continue"/>
                  <w:tcBorders>
                    <w:tl2br w:val="nil"/>
                    <w:tr2bl w:val="nil"/>
                  </w:tcBorders>
                  <w:shd w:val="clear" w:color="auto" w:fill="auto"/>
                  <w:tcMar>
                    <w:top w:w="0" w:type="dxa"/>
                    <w:left w:w="57" w:type="dxa"/>
                    <w:bottom w:w="0" w:type="dxa"/>
                    <w:right w:w="57" w:type="dxa"/>
                  </w:tcMar>
                  <w:vAlign w:val="center"/>
                </w:tcPr>
                <w:p w14:paraId="613A803F">
                  <w:pPr>
                    <w:keepNext/>
                    <w:keepLines/>
                    <w:widowControl/>
                    <w:overflowPunct w:val="0"/>
                    <w:jc w:val="center"/>
                    <w:rPr>
                      <w:bCs/>
                      <w:color w:val="auto"/>
                    </w:rPr>
                  </w:pPr>
                </w:p>
              </w:tc>
              <w:tc>
                <w:tcPr>
                  <w:tcW w:w="1572" w:type="pct"/>
                  <w:tcBorders>
                    <w:tl2br w:val="nil"/>
                    <w:tr2bl w:val="nil"/>
                  </w:tcBorders>
                  <w:shd w:val="clear" w:color="auto" w:fill="auto"/>
                  <w:tcMar>
                    <w:top w:w="0" w:type="dxa"/>
                    <w:left w:w="57" w:type="dxa"/>
                    <w:bottom w:w="0" w:type="dxa"/>
                    <w:right w:w="57" w:type="dxa"/>
                  </w:tcMar>
                  <w:vAlign w:val="center"/>
                </w:tcPr>
                <w:p w14:paraId="2575A03F">
                  <w:pPr>
                    <w:keepNext/>
                    <w:keepLines/>
                    <w:widowControl/>
                    <w:overflowPunct w:val="0"/>
                    <w:jc w:val="center"/>
                    <w:rPr>
                      <w:bCs/>
                      <w:color w:val="auto"/>
                    </w:rPr>
                  </w:pPr>
                  <w:r>
                    <w:rPr>
                      <w:rFonts w:hint="eastAsia"/>
                      <w:bCs/>
                      <w:color w:val="auto"/>
                    </w:rPr>
                    <w:t>颗粒物</w:t>
                  </w:r>
                  <w:r>
                    <w:rPr>
                      <w:bCs/>
                      <w:color w:val="auto"/>
                    </w:rPr>
                    <w:t>（t/a）</w:t>
                  </w:r>
                </w:p>
              </w:tc>
              <w:tc>
                <w:tcPr>
                  <w:tcW w:w="2592" w:type="pct"/>
                  <w:gridSpan w:val="2"/>
                  <w:tcBorders>
                    <w:tl2br w:val="nil"/>
                    <w:tr2bl w:val="nil"/>
                  </w:tcBorders>
                  <w:shd w:val="clear" w:color="auto" w:fill="auto"/>
                  <w:tcMar>
                    <w:top w:w="0" w:type="dxa"/>
                    <w:left w:w="57" w:type="dxa"/>
                    <w:bottom w:w="0" w:type="dxa"/>
                    <w:right w:w="57" w:type="dxa"/>
                  </w:tcMar>
                  <w:vAlign w:val="center"/>
                </w:tcPr>
                <w:p w14:paraId="0457864E">
                  <w:pPr>
                    <w:keepNext/>
                    <w:keepLines/>
                    <w:widowControl/>
                    <w:overflowPunct w:val="0"/>
                    <w:jc w:val="center"/>
                    <w:rPr>
                      <w:rFonts w:hint="eastAsia" w:eastAsia="宋体"/>
                      <w:bCs/>
                      <w:color w:val="auto"/>
                      <w:lang w:eastAsia="zh-CN"/>
                    </w:rPr>
                  </w:pPr>
                  <w:r>
                    <w:rPr>
                      <w:rFonts w:hint="eastAsia"/>
                      <w:bCs/>
                      <w:color w:val="auto"/>
                    </w:rPr>
                    <w:t>0.0</w:t>
                  </w:r>
                  <w:r>
                    <w:rPr>
                      <w:rFonts w:hint="eastAsia"/>
                      <w:bCs/>
                      <w:color w:val="auto"/>
                      <w:lang w:val="en-US" w:eastAsia="zh-CN"/>
                    </w:rPr>
                    <w:t>1</w:t>
                  </w:r>
                </w:p>
              </w:tc>
            </w:tr>
          </w:tbl>
          <w:p w14:paraId="5413B367">
            <w:pPr>
              <w:pStyle w:val="32"/>
              <w:spacing w:before="120" w:line="360" w:lineRule="auto"/>
              <w:jc w:val="both"/>
              <w:rPr>
                <w:color w:val="auto"/>
              </w:rPr>
            </w:pPr>
          </w:p>
        </w:tc>
      </w:tr>
    </w:tbl>
    <w:p w14:paraId="51EC1B6B">
      <w:pPr>
        <w:pStyle w:val="3"/>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3"/>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9169"/>
      </w:tblGrid>
      <w:tr w14:paraId="40FB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2" w:hRule="atLeast"/>
          <w:jc w:val="center"/>
        </w:trPr>
        <w:tc>
          <w:tcPr>
            <w:tcW w:w="548" w:type="dxa"/>
          </w:tcPr>
          <w:p w14:paraId="1D35F4BC">
            <w:pPr>
              <w:pStyle w:val="3"/>
              <w:outlineLvl w:val="2"/>
              <w:rPr>
                <w:color w:val="auto"/>
                <w:sz w:val="24"/>
                <w:szCs w:val="24"/>
              </w:rPr>
            </w:pPr>
          </w:p>
          <w:p w14:paraId="2EDB449A">
            <w:pPr>
              <w:rPr>
                <w:color w:val="auto"/>
                <w:sz w:val="24"/>
                <w:szCs w:val="24"/>
              </w:rPr>
            </w:pPr>
          </w:p>
          <w:p w14:paraId="764BDC3F">
            <w:pPr>
              <w:pStyle w:val="3"/>
              <w:outlineLvl w:val="2"/>
              <w:rPr>
                <w:color w:val="auto"/>
                <w:sz w:val="24"/>
                <w:szCs w:val="24"/>
              </w:rPr>
            </w:pPr>
          </w:p>
        </w:tc>
        <w:tc>
          <w:tcPr>
            <w:tcW w:w="9169" w:type="dxa"/>
          </w:tcPr>
          <w:p w14:paraId="0CE883C8">
            <w:pPr>
              <w:spacing w:line="360" w:lineRule="auto"/>
              <w:ind w:firstLine="480" w:firstLineChars="200"/>
              <w:rPr>
                <w:bCs/>
                <w:color w:val="auto"/>
                <w:sz w:val="24"/>
              </w:rPr>
            </w:pPr>
            <w:r>
              <w:rPr>
                <w:rFonts w:hint="eastAsia"/>
                <w:bCs/>
                <w:color w:val="auto"/>
                <w:sz w:val="24"/>
              </w:rPr>
              <w:t>1.2废气治理措施可行性分析</w:t>
            </w:r>
          </w:p>
          <w:p w14:paraId="29F77F92">
            <w:pPr>
              <w:numPr>
                <w:ilvl w:val="0"/>
                <w:numId w:val="6"/>
              </w:numPr>
              <w:spacing w:line="360" w:lineRule="auto"/>
              <w:ind w:firstLine="480" w:firstLineChars="200"/>
              <w:rPr>
                <w:bCs/>
                <w:color w:val="auto"/>
                <w:sz w:val="24"/>
              </w:rPr>
            </w:pPr>
            <w:r>
              <w:rPr>
                <w:rFonts w:hint="eastAsia"/>
                <w:bCs/>
                <w:color w:val="auto"/>
                <w:sz w:val="24"/>
              </w:rPr>
              <w:t>废气处理技术可行性分析</w:t>
            </w:r>
          </w:p>
          <w:p w14:paraId="720AC2A9">
            <w:pPr>
              <w:spacing w:line="0" w:lineRule="atLeast"/>
              <w:jc w:val="center"/>
              <w:rPr>
                <w:rFonts w:ascii="仿宋" w:hAnsi="仿宋" w:eastAsia="仿宋" w:cs="仿宋"/>
                <w:b/>
                <w:bCs/>
                <w:color w:val="auto"/>
                <w:kern w:val="0"/>
                <w:sz w:val="18"/>
                <w:szCs w:val="18"/>
                <w:lang w:bidi="ar"/>
              </w:rPr>
            </w:pPr>
            <w:r>
              <w:rPr>
                <w:b/>
                <w:color w:val="auto"/>
                <w:sz w:val="24"/>
              </w:rPr>
              <w:t>表4-</w:t>
            </w:r>
            <w:r>
              <w:rPr>
                <w:rFonts w:hint="eastAsia"/>
                <w:b/>
                <w:color w:val="auto"/>
                <w:sz w:val="24"/>
              </w:rPr>
              <w:t xml:space="preserve">7  </w:t>
            </w:r>
            <w:r>
              <w:rPr>
                <w:b/>
                <w:color w:val="auto"/>
                <w:sz w:val="24"/>
              </w:rPr>
              <w:t>项目废气处理设施技术可行性分析一览表</w:t>
            </w:r>
          </w:p>
          <w:tbl>
            <w:tblPr>
              <w:tblStyle w:val="23"/>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097"/>
              <w:gridCol w:w="1099"/>
              <w:gridCol w:w="1099"/>
              <w:gridCol w:w="1099"/>
              <w:gridCol w:w="1099"/>
              <w:gridCol w:w="1099"/>
              <w:gridCol w:w="1099"/>
            </w:tblGrid>
            <w:tr w14:paraId="1DAE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Align w:val="center"/>
                </w:tcPr>
                <w:p w14:paraId="204DF6AB">
                  <w:pPr>
                    <w:spacing w:line="0" w:lineRule="atLeast"/>
                    <w:jc w:val="center"/>
                    <w:rPr>
                      <w:b/>
                      <w:color w:val="auto"/>
                    </w:rPr>
                  </w:pPr>
                  <w:r>
                    <w:rPr>
                      <w:rFonts w:hint="eastAsia"/>
                      <w:b/>
                      <w:color w:val="auto"/>
                    </w:rPr>
                    <w:t>产物环节/工序</w:t>
                  </w:r>
                </w:p>
              </w:tc>
              <w:tc>
                <w:tcPr>
                  <w:tcW w:w="1097" w:type="dxa"/>
                  <w:vAlign w:val="center"/>
                </w:tcPr>
                <w:p w14:paraId="6DBA48EB">
                  <w:pPr>
                    <w:spacing w:line="0" w:lineRule="atLeast"/>
                    <w:jc w:val="center"/>
                    <w:rPr>
                      <w:b/>
                      <w:color w:val="auto"/>
                    </w:rPr>
                  </w:pPr>
                  <w:r>
                    <w:rPr>
                      <w:rFonts w:hint="eastAsia"/>
                      <w:b/>
                      <w:color w:val="auto"/>
                    </w:rPr>
                    <w:t>污染因子</w:t>
                  </w:r>
                </w:p>
              </w:tc>
              <w:tc>
                <w:tcPr>
                  <w:tcW w:w="1099" w:type="dxa"/>
                  <w:vAlign w:val="center"/>
                </w:tcPr>
                <w:p w14:paraId="278DDCCA">
                  <w:pPr>
                    <w:spacing w:line="0" w:lineRule="atLeast"/>
                    <w:jc w:val="center"/>
                    <w:rPr>
                      <w:b/>
                      <w:color w:val="auto"/>
                    </w:rPr>
                  </w:pPr>
                  <w:r>
                    <w:rPr>
                      <w:rFonts w:hint="eastAsia"/>
                      <w:b/>
                      <w:color w:val="auto"/>
                    </w:rPr>
                    <w:t>治理措施</w:t>
                  </w:r>
                </w:p>
              </w:tc>
              <w:tc>
                <w:tcPr>
                  <w:tcW w:w="1099" w:type="dxa"/>
                  <w:vAlign w:val="center"/>
                </w:tcPr>
                <w:p w14:paraId="1C648E2D">
                  <w:pPr>
                    <w:spacing w:line="0" w:lineRule="atLeast"/>
                    <w:jc w:val="center"/>
                    <w:rPr>
                      <w:b/>
                      <w:color w:val="auto"/>
                    </w:rPr>
                  </w:pPr>
                  <w:r>
                    <w:rPr>
                      <w:rFonts w:hint="eastAsia"/>
                      <w:b/>
                      <w:color w:val="auto"/>
                    </w:rPr>
                    <w:t>处理能力</w:t>
                  </w:r>
                </w:p>
              </w:tc>
              <w:tc>
                <w:tcPr>
                  <w:tcW w:w="1099" w:type="dxa"/>
                  <w:vAlign w:val="center"/>
                </w:tcPr>
                <w:p w14:paraId="170662D0">
                  <w:pPr>
                    <w:spacing w:line="0" w:lineRule="atLeast"/>
                    <w:jc w:val="center"/>
                    <w:rPr>
                      <w:b/>
                      <w:color w:val="auto"/>
                    </w:rPr>
                  </w:pPr>
                  <w:r>
                    <w:rPr>
                      <w:rFonts w:hint="eastAsia"/>
                      <w:b/>
                      <w:color w:val="auto"/>
                    </w:rPr>
                    <w:t>收集效率</w:t>
                  </w:r>
                </w:p>
              </w:tc>
              <w:tc>
                <w:tcPr>
                  <w:tcW w:w="1099" w:type="dxa"/>
                  <w:vAlign w:val="center"/>
                </w:tcPr>
                <w:p w14:paraId="3C577011">
                  <w:pPr>
                    <w:spacing w:line="0" w:lineRule="atLeast"/>
                    <w:jc w:val="center"/>
                    <w:rPr>
                      <w:b/>
                      <w:color w:val="auto"/>
                    </w:rPr>
                  </w:pPr>
                  <w:r>
                    <w:rPr>
                      <w:rFonts w:hint="eastAsia"/>
                      <w:b/>
                      <w:color w:val="auto"/>
                    </w:rPr>
                    <w:t>处理效率</w:t>
                  </w:r>
                </w:p>
              </w:tc>
              <w:tc>
                <w:tcPr>
                  <w:tcW w:w="1099" w:type="dxa"/>
                  <w:vAlign w:val="center"/>
                </w:tcPr>
                <w:p w14:paraId="6A892B45">
                  <w:pPr>
                    <w:spacing w:line="0" w:lineRule="atLeast"/>
                    <w:jc w:val="center"/>
                    <w:rPr>
                      <w:b/>
                      <w:color w:val="auto"/>
                    </w:rPr>
                  </w:pPr>
                  <w:r>
                    <w:rPr>
                      <w:rFonts w:hint="eastAsia"/>
                      <w:b/>
                      <w:color w:val="auto"/>
                    </w:rPr>
                    <w:t>是否为可行技术</w:t>
                  </w:r>
                </w:p>
              </w:tc>
              <w:tc>
                <w:tcPr>
                  <w:tcW w:w="1099" w:type="dxa"/>
                  <w:vAlign w:val="center"/>
                </w:tcPr>
                <w:p w14:paraId="749F51F4">
                  <w:pPr>
                    <w:spacing w:line="0" w:lineRule="atLeast"/>
                    <w:jc w:val="center"/>
                    <w:rPr>
                      <w:b/>
                      <w:color w:val="auto"/>
                    </w:rPr>
                  </w:pPr>
                  <w:r>
                    <w:rPr>
                      <w:rFonts w:hint="eastAsia"/>
                      <w:b/>
                      <w:color w:val="auto"/>
                    </w:rPr>
                    <w:t>可行技术依据</w:t>
                  </w:r>
                </w:p>
              </w:tc>
            </w:tr>
            <w:tr w14:paraId="6F21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Align w:val="center"/>
                </w:tcPr>
                <w:p w14:paraId="7D43F3E5">
                  <w:pPr>
                    <w:spacing w:line="0" w:lineRule="atLeast"/>
                    <w:jc w:val="center"/>
                    <w:rPr>
                      <w:bCs/>
                      <w:color w:val="auto"/>
                    </w:rPr>
                  </w:pPr>
                  <w:r>
                    <w:rPr>
                      <w:rFonts w:hint="eastAsia"/>
                      <w:bCs/>
                      <w:color w:val="auto"/>
                    </w:rPr>
                    <w:t>清洗</w:t>
                  </w:r>
                </w:p>
              </w:tc>
              <w:tc>
                <w:tcPr>
                  <w:tcW w:w="1097" w:type="dxa"/>
                  <w:vAlign w:val="center"/>
                </w:tcPr>
                <w:p w14:paraId="58B0AFD6">
                  <w:pPr>
                    <w:spacing w:line="0" w:lineRule="atLeast"/>
                    <w:jc w:val="center"/>
                    <w:rPr>
                      <w:bCs/>
                      <w:color w:val="auto"/>
                    </w:rPr>
                  </w:pPr>
                  <w:r>
                    <w:rPr>
                      <w:rFonts w:hint="eastAsia"/>
                      <w:bCs/>
                      <w:color w:val="auto"/>
                    </w:rPr>
                    <w:t>非甲烷总烃</w:t>
                  </w:r>
                </w:p>
              </w:tc>
              <w:tc>
                <w:tcPr>
                  <w:tcW w:w="1099" w:type="dxa"/>
                  <w:vAlign w:val="center"/>
                </w:tcPr>
                <w:p w14:paraId="0E97EF11">
                  <w:pPr>
                    <w:spacing w:line="0" w:lineRule="atLeast"/>
                    <w:rPr>
                      <w:rFonts w:hint="eastAsia" w:eastAsia="宋体"/>
                      <w:bCs/>
                      <w:color w:val="auto"/>
                      <w:lang w:val="en-US" w:eastAsia="zh-CN"/>
                    </w:rPr>
                  </w:pPr>
                  <w:r>
                    <w:rPr>
                      <w:rFonts w:hint="eastAsia"/>
                      <w:bCs/>
                      <w:color w:val="auto"/>
                    </w:rPr>
                    <w:t>集气罩+软帘</w:t>
                  </w:r>
                  <w:r>
                    <w:rPr>
                      <w:rFonts w:hint="eastAsia"/>
                      <w:color w:val="auto"/>
                    </w:rPr>
                    <w:t>+</w:t>
                  </w:r>
                  <w:r>
                    <w:rPr>
                      <w:rFonts w:hint="eastAsia"/>
                      <w:color w:val="auto"/>
                      <w:lang w:val="en-US" w:eastAsia="zh-CN"/>
                    </w:rPr>
                    <w:t>1#</w:t>
                  </w:r>
                  <w:r>
                    <w:rPr>
                      <w:rFonts w:hint="eastAsia"/>
                      <w:color w:val="auto"/>
                    </w:rPr>
                    <w:t>二级活性炭吸附装置</w:t>
                  </w:r>
                </w:p>
              </w:tc>
              <w:tc>
                <w:tcPr>
                  <w:tcW w:w="1099" w:type="dxa"/>
                  <w:vAlign w:val="center"/>
                </w:tcPr>
                <w:p w14:paraId="483EB529">
                  <w:pPr>
                    <w:spacing w:line="0" w:lineRule="atLeast"/>
                    <w:jc w:val="center"/>
                    <w:rPr>
                      <w:bCs/>
                      <w:color w:val="auto"/>
                    </w:rPr>
                  </w:pPr>
                  <w:r>
                    <w:rPr>
                      <w:rFonts w:hint="eastAsia"/>
                      <w:bCs/>
                      <w:color w:val="auto"/>
                      <w:lang w:val="en-US" w:eastAsia="zh-CN"/>
                    </w:rPr>
                    <w:t>1</w:t>
                  </w:r>
                  <w:r>
                    <w:rPr>
                      <w:rFonts w:hint="eastAsia"/>
                      <w:bCs/>
                      <w:color w:val="auto"/>
                    </w:rPr>
                    <w:t>0000m</w:t>
                  </w:r>
                  <w:r>
                    <w:rPr>
                      <w:rFonts w:hint="eastAsia"/>
                      <w:bCs/>
                      <w:color w:val="auto"/>
                      <w:vertAlign w:val="superscript"/>
                    </w:rPr>
                    <w:t>3</w:t>
                  </w:r>
                  <w:r>
                    <w:rPr>
                      <w:rFonts w:hint="eastAsia"/>
                      <w:bCs/>
                      <w:color w:val="auto"/>
                    </w:rPr>
                    <w:t>/h</w:t>
                  </w:r>
                </w:p>
              </w:tc>
              <w:tc>
                <w:tcPr>
                  <w:tcW w:w="1099" w:type="dxa"/>
                  <w:vAlign w:val="center"/>
                </w:tcPr>
                <w:p w14:paraId="7030129B">
                  <w:pPr>
                    <w:spacing w:line="0" w:lineRule="atLeast"/>
                    <w:jc w:val="center"/>
                    <w:rPr>
                      <w:bCs/>
                      <w:color w:val="auto"/>
                    </w:rPr>
                  </w:pPr>
                  <w:r>
                    <w:rPr>
                      <w:rFonts w:hint="eastAsia"/>
                      <w:bCs/>
                      <w:color w:val="auto"/>
                    </w:rPr>
                    <w:t>90%</w:t>
                  </w:r>
                </w:p>
              </w:tc>
              <w:tc>
                <w:tcPr>
                  <w:tcW w:w="1099" w:type="dxa"/>
                  <w:vAlign w:val="center"/>
                </w:tcPr>
                <w:p w14:paraId="0EBA6D0E">
                  <w:pPr>
                    <w:spacing w:line="0" w:lineRule="atLeast"/>
                    <w:jc w:val="center"/>
                    <w:rPr>
                      <w:bCs/>
                      <w:color w:val="auto"/>
                    </w:rPr>
                  </w:pPr>
                  <w:r>
                    <w:rPr>
                      <w:rFonts w:hint="eastAsia"/>
                      <w:bCs/>
                      <w:color w:val="auto"/>
                    </w:rPr>
                    <w:t>90%</w:t>
                  </w:r>
                </w:p>
              </w:tc>
              <w:tc>
                <w:tcPr>
                  <w:tcW w:w="1099" w:type="dxa"/>
                  <w:vAlign w:val="center"/>
                </w:tcPr>
                <w:p w14:paraId="6161ACFE">
                  <w:pPr>
                    <w:spacing w:line="0" w:lineRule="atLeast"/>
                    <w:jc w:val="center"/>
                    <w:rPr>
                      <w:bCs/>
                      <w:color w:val="auto"/>
                    </w:rPr>
                  </w:pPr>
                  <w:r>
                    <w:rPr>
                      <w:rFonts w:hint="eastAsia"/>
                      <w:bCs/>
                      <w:color w:val="auto"/>
                    </w:rPr>
                    <w:t>是</w:t>
                  </w:r>
                </w:p>
              </w:tc>
              <w:tc>
                <w:tcPr>
                  <w:tcW w:w="1099" w:type="dxa"/>
                  <w:vMerge w:val="restart"/>
                  <w:vAlign w:val="center"/>
                </w:tcPr>
                <w:p w14:paraId="76F5195E">
                  <w:pPr>
                    <w:spacing w:line="0" w:lineRule="atLeast"/>
                    <w:jc w:val="center"/>
                    <w:rPr>
                      <w:bCs/>
                      <w:color w:val="auto"/>
                    </w:rPr>
                  </w:pPr>
                  <w:r>
                    <w:rPr>
                      <w:rFonts w:hint="eastAsia"/>
                      <w:bCs/>
                      <w:color w:val="auto"/>
                      <w:lang w:val="zh-CN"/>
                    </w:rPr>
                    <w:t>《排污许可证申请与核发技术规范</w:t>
                  </w:r>
                  <w:r>
                    <w:rPr>
                      <w:rFonts w:hint="eastAsia"/>
                      <w:bCs/>
                      <w:color w:val="auto"/>
                    </w:rPr>
                    <w:t>总则</w:t>
                  </w:r>
                  <w:r>
                    <w:rPr>
                      <w:rFonts w:hint="eastAsia"/>
                      <w:bCs/>
                      <w:color w:val="auto"/>
                      <w:lang w:val="zh-CN"/>
                    </w:rPr>
                    <w:t>》（</w:t>
                  </w:r>
                  <w:r>
                    <w:rPr>
                      <w:rFonts w:hint="eastAsia"/>
                      <w:bCs/>
                      <w:color w:val="auto"/>
                    </w:rPr>
                    <w:t>HJ942-2018</w:t>
                  </w:r>
                  <w:r>
                    <w:rPr>
                      <w:rFonts w:hint="eastAsia"/>
                      <w:bCs/>
                      <w:color w:val="auto"/>
                      <w:lang w:val="zh-CN"/>
                    </w:rPr>
                    <w:t>）</w:t>
                  </w:r>
                </w:p>
              </w:tc>
            </w:tr>
            <w:tr w14:paraId="70D6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Align w:val="center"/>
                </w:tcPr>
                <w:p w14:paraId="493717B0">
                  <w:pPr>
                    <w:spacing w:line="0" w:lineRule="atLeast"/>
                    <w:jc w:val="center"/>
                    <w:rPr>
                      <w:rFonts w:hint="eastAsia" w:eastAsia="宋体"/>
                      <w:bCs/>
                      <w:color w:val="auto"/>
                      <w:lang w:val="en-US" w:eastAsia="zh-CN"/>
                    </w:rPr>
                  </w:pPr>
                  <w:r>
                    <w:rPr>
                      <w:rFonts w:hint="eastAsia"/>
                      <w:bCs/>
                      <w:color w:val="auto"/>
                      <w:lang w:val="en-US" w:eastAsia="zh-CN"/>
                    </w:rPr>
                    <w:t>清洗</w:t>
                  </w:r>
                </w:p>
              </w:tc>
              <w:tc>
                <w:tcPr>
                  <w:tcW w:w="1097" w:type="dxa"/>
                  <w:vAlign w:val="center"/>
                </w:tcPr>
                <w:p w14:paraId="25D852D4">
                  <w:pPr>
                    <w:spacing w:line="0" w:lineRule="atLeast"/>
                    <w:jc w:val="center"/>
                    <w:rPr>
                      <w:rFonts w:hint="eastAsia"/>
                      <w:bCs/>
                      <w:color w:val="auto"/>
                    </w:rPr>
                  </w:pPr>
                  <w:r>
                    <w:rPr>
                      <w:rFonts w:hint="eastAsia"/>
                      <w:bCs/>
                      <w:color w:val="auto"/>
                    </w:rPr>
                    <w:t>非甲烷总烃</w:t>
                  </w:r>
                </w:p>
              </w:tc>
              <w:tc>
                <w:tcPr>
                  <w:tcW w:w="1099" w:type="dxa"/>
                  <w:vAlign w:val="center"/>
                </w:tcPr>
                <w:p w14:paraId="0AB72C79">
                  <w:pPr>
                    <w:spacing w:line="0" w:lineRule="atLeast"/>
                    <w:rPr>
                      <w:rFonts w:hint="eastAsia"/>
                      <w:bCs/>
                      <w:color w:val="auto"/>
                    </w:rPr>
                  </w:pPr>
                  <w:r>
                    <w:rPr>
                      <w:rFonts w:hint="eastAsia"/>
                      <w:bCs/>
                      <w:color w:val="auto"/>
                    </w:rPr>
                    <w:t>集气罩+软帘</w:t>
                  </w:r>
                  <w:r>
                    <w:rPr>
                      <w:rFonts w:hint="eastAsia"/>
                      <w:color w:val="auto"/>
                    </w:rPr>
                    <w:t>+</w:t>
                  </w:r>
                  <w:r>
                    <w:rPr>
                      <w:rFonts w:hint="eastAsia"/>
                      <w:color w:val="auto"/>
                      <w:lang w:val="en-US" w:eastAsia="zh-CN"/>
                    </w:rPr>
                    <w:t>2#</w:t>
                  </w:r>
                  <w:r>
                    <w:rPr>
                      <w:rFonts w:hint="eastAsia"/>
                      <w:color w:val="auto"/>
                    </w:rPr>
                    <w:t>二级活性炭吸附装置</w:t>
                  </w:r>
                </w:p>
              </w:tc>
              <w:tc>
                <w:tcPr>
                  <w:tcW w:w="1099" w:type="dxa"/>
                  <w:vAlign w:val="center"/>
                </w:tcPr>
                <w:p w14:paraId="738DA412">
                  <w:pPr>
                    <w:spacing w:line="0" w:lineRule="atLeast"/>
                    <w:jc w:val="center"/>
                    <w:rPr>
                      <w:rFonts w:hint="eastAsia"/>
                      <w:bCs/>
                      <w:color w:val="auto"/>
                    </w:rPr>
                  </w:pPr>
                  <w:r>
                    <w:rPr>
                      <w:rFonts w:hint="eastAsia"/>
                      <w:bCs/>
                      <w:color w:val="auto"/>
                      <w:lang w:val="en-US" w:eastAsia="zh-CN"/>
                    </w:rPr>
                    <w:t>1</w:t>
                  </w:r>
                  <w:r>
                    <w:rPr>
                      <w:rFonts w:hint="eastAsia"/>
                      <w:bCs/>
                      <w:color w:val="auto"/>
                    </w:rPr>
                    <w:t>0000m</w:t>
                  </w:r>
                  <w:r>
                    <w:rPr>
                      <w:rFonts w:hint="eastAsia"/>
                      <w:bCs/>
                      <w:color w:val="auto"/>
                      <w:vertAlign w:val="superscript"/>
                    </w:rPr>
                    <w:t>3</w:t>
                  </w:r>
                  <w:r>
                    <w:rPr>
                      <w:rFonts w:hint="eastAsia"/>
                      <w:bCs/>
                      <w:color w:val="auto"/>
                    </w:rPr>
                    <w:t>/h</w:t>
                  </w:r>
                </w:p>
              </w:tc>
              <w:tc>
                <w:tcPr>
                  <w:tcW w:w="1099" w:type="dxa"/>
                  <w:vAlign w:val="center"/>
                </w:tcPr>
                <w:p w14:paraId="7F29A7A7">
                  <w:pPr>
                    <w:spacing w:line="0" w:lineRule="atLeast"/>
                    <w:jc w:val="center"/>
                    <w:rPr>
                      <w:rFonts w:hint="eastAsia"/>
                      <w:bCs/>
                      <w:color w:val="auto"/>
                    </w:rPr>
                  </w:pPr>
                  <w:r>
                    <w:rPr>
                      <w:rFonts w:hint="eastAsia"/>
                      <w:bCs/>
                      <w:color w:val="auto"/>
                    </w:rPr>
                    <w:t>90%</w:t>
                  </w:r>
                </w:p>
              </w:tc>
              <w:tc>
                <w:tcPr>
                  <w:tcW w:w="1099" w:type="dxa"/>
                  <w:vAlign w:val="center"/>
                </w:tcPr>
                <w:p w14:paraId="5093BF7D">
                  <w:pPr>
                    <w:spacing w:line="0" w:lineRule="atLeast"/>
                    <w:jc w:val="center"/>
                    <w:rPr>
                      <w:rFonts w:hint="eastAsia"/>
                      <w:bCs/>
                      <w:color w:val="auto"/>
                    </w:rPr>
                  </w:pPr>
                  <w:r>
                    <w:rPr>
                      <w:rFonts w:hint="eastAsia"/>
                      <w:bCs/>
                      <w:color w:val="auto"/>
                    </w:rPr>
                    <w:t>90%</w:t>
                  </w:r>
                </w:p>
              </w:tc>
              <w:tc>
                <w:tcPr>
                  <w:tcW w:w="1099" w:type="dxa"/>
                  <w:vAlign w:val="center"/>
                </w:tcPr>
                <w:p w14:paraId="062A5D11">
                  <w:pPr>
                    <w:spacing w:line="0" w:lineRule="atLeast"/>
                    <w:jc w:val="center"/>
                    <w:rPr>
                      <w:rFonts w:hint="eastAsia"/>
                      <w:bCs/>
                      <w:color w:val="auto"/>
                    </w:rPr>
                  </w:pPr>
                  <w:r>
                    <w:rPr>
                      <w:rFonts w:hint="eastAsia"/>
                      <w:bCs/>
                      <w:color w:val="auto"/>
                    </w:rPr>
                    <w:t>是</w:t>
                  </w:r>
                </w:p>
              </w:tc>
              <w:tc>
                <w:tcPr>
                  <w:tcW w:w="1099" w:type="dxa"/>
                  <w:vMerge w:val="continue"/>
                  <w:vAlign w:val="center"/>
                </w:tcPr>
                <w:p w14:paraId="6A8F2650">
                  <w:pPr>
                    <w:spacing w:line="0" w:lineRule="atLeast"/>
                    <w:jc w:val="center"/>
                    <w:rPr>
                      <w:rFonts w:hint="eastAsia"/>
                      <w:bCs/>
                      <w:color w:val="auto"/>
                      <w:lang w:val="zh-CN"/>
                    </w:rPr>
                  </w:pPr>
                </w:p>
              </w:tc>
            </w:tr>
            <w:tr w14:paraId="2470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Align w:val="center"/>
                </w:tcPr>
                <w:p w14:paraId="0DBF0E86">
                  <w:pPr>
                    <w:spacing w:line="0" w:lineRule="atLeast"/>
                    <w:jc w:val="center"/>
                    <w:rPr>
                      <w:bCs/>
                      <w:color w:val="auto"/>
                    </w:rPr>
                  </w:pPr>
                  <w:r>
                    <w:rPr>
                      <w:rFonts w:hint="eastAsia"/>
                      <w:bCs/>
                      <w:color w:val="auto"/>
                    </w:rPr>
                    <w:t>食堂</w:t>
                  </w:r>
                </w:p>
              </w:tc>
              <w:tc>
                <w:tcPr>
                  <w:tcW w:w="1097" w:type="dxa"/>
                  <w:vAlign w:val="center"/>
                </w:tcPr>
                <w:p w14:paraId="228626E1">
                  <w:pPr>
                    <w:spacing w:line="0" w:lineRule="atLeast"/>
                    <w:jc w:val="center"/>
                    <w:rPr>
                      <w:rFonts w:hint="default" w:eastAsia="宋体"/>
                      <w:bCs/>
                      <w:color w:val="auto"/>
                      <w:lang w:val="en-US" w:eastAsia="zh-CN"/>
                    </w:rPr>
                  </w:pPr>
                  <w:r>
                    <w:rPr>
                      <w:rFonts w:hint="eastAsia"/>
                      <w:bCs/>
                      <w:color w:val="auto"/>
                      <w:lang w:val="en-US" w:eastAsia="zh-CN"/>
                    </w:rPr>
                    <w:t>油烟</w:t>
                  </w:r>
                </w:p>
              </w:tc>
              <w:tc>
                <w:tcPr>
                  <w:tcW w:w="1099" w:type="dxa"/>
                  <w:vAlign w:val="center"/>
                </w:tcPr>
                <w:p w14:paraId="6A52B26C">
                  <w:pPr>
                    <w:spacing w:line="0" w:lineRule="atLeast"/>
                    <w:rPr>
                      <w:bCs/>
                      <w:color w:val="auto"/>
                    </w:rPr>
                  </w:pPr>
                  <w:r>
                    <w:rPr>
                      <w:rFonts w:hint="eastAsia"/>
                      <w:bCs/>
                      <w:color w:val="auto"/>
                    </w:rPr>
                    <w:t>油烟净化装置</w:t>
                  </w:r>
                </w:p>
              </w:tc>
              <w:tc>
                <w:tcPr>
                  <w:tcW w:w="1099" w:type="dxa"/>
                  <w:vAlign w:val="center"/>
                </w:tcPr>
                <w:p w14:paraId="6B97A412">
                  <w:pPr>
                    <w:spacing w:line="0" w:lineRule="atLeast"/>
                    <w:jc w:val="center"/>
                    <w:rPr>
                      <w:bCs/>
                      <w:color w:val="auto"/>
                    </w:rPr>
                  </w:pPr>
                  <w:r>
                    <w:rPr>
                      <w:rFonts w:hint="eastAsia"/>
                      <w:bCs/>
                      <w:color w:val="auto"/>
                    </w:rPr>
                    <w:t>5000m</w:t>
                  </w:r>
                  <w:r>
                    <w:rPr>
                      <w:rFonts w:hint="eastAsia"/>
                      <w:bCs/>
                      <w:color w:val="auto"/>
                      <w:vertAlign w:val="superscript"/>
                    </w:rPr>
                    <w:t>3</w:t>
                  </w:r>
                  <w:r>
                    <w:rPr>
                      <w:rFonts w:hint="eastAsia"/>
                      <w:bCs/>
                      <w:color w:val="auto"/>
                    </w:rPr>
                    <w:t>/h</w:t>
                  </w:r>
                </w:p>
              </w:tc>
              <w:tc>
                <w:tcPr>
                  <w:tcW w:w="1099" w:type="dxa"/>
                  <w:vAlign w:val="center"/>
                </w:tcPr>
                <w:p w14:paraId="4918F5BE">
                  <w:pPr>
                    <w:spacing w:line="0" w:lineRule="atLeast"/>
                    <w:jc w:val="center"/>
                    <w:rPr>
                      <w:bCs/>
                      <w:color w:val="auto"/>
                    </w:rPr>
                  </w:pPr>
                  <w:r>
                    <w:rPr>
                      <w:rFonts w:hint="eastAsia"/>
                      <w:bCs/>
                      <w:color w:val="auto"/>
                    </w:rPr>
                    <w:t>/</w:t>
                  </w:r>
                </w:p>
              </w:tc>
              <w:tc>
                <w:tcPr>
                  <w:tcW w:w="1099" w:type="dxa"/>
                  <w:vAlign w:val="center"/>
                </w:tcPr>
                <w:p w14:paraId="0191E273">
                  <w:pPr>
                    <w:spacing w:line="0" w:lineRule="atLeast"/>
                    <w:jc w:val="center"/>
                    <w:rPr>
                      <w:bCs/>
                      <w:color w:val="auto"/>
                    </w:rPr>
                  </w:pPr>
                  <w:r>
                    <w:rPr>
                      <w:rFonts w:hint="eastAsia"/>
                      <w:bCs/>
                      <w:color w:val="auto"/>
                    </w:rPr>
                    <w:t>75%</w:t>
                  </w:r>
                </w:p>
              </w:tc>
              <w:tc>
                <w:tcPr>
                  <w:tcW w:w="1099" w:type="dxa"/>
                  <w:vAlign w:val="center"/>
                </w:tcPr>
                <w:p w14:paraId="65339EF9">
                  <w:pPr>
                    <w:spacing w:line="0" w:lineRule="atLeast"/>
                    <w:jc w:val="center"/>
                    <w:rPr>
                      <w:bCs/>
                      <w:color w:val="auto"/>
                    </w:rPr>
                  </w:pPr>
                  <w:r>
                    <w:rPr>
                      <w:rFonts w:hint="eastAsia"/>
                      <w:bCs/>
                      <w:color w:val="auto"/>
                    </w:rPr>
                    <w:t>是</w:t>
                  </w:r>
                </w:p>
              </w:tc>
              <w:tc>
                <w:tcPr>
                  <w:tcW w:w="1099" w:type="dxa"/>
                  <w:vMerge w:val="continue"/>
                  <w:vAlign w:val="center"/>
                </w:tcPr>
                <w:p w14:paraId="34FAA87D">
                  <w:pPr>
                    <w:spacing w:line="0" w:lineRule="atLeast"/>
                    <w:jc w:val="center"/>
                    <w:rPr>
                      <w:bCs/>
                      <w:color w:val="auto"/>
                      <w:lang w:val="zh-CN"/>
                    </w:rPr>
                  </w:pPr>
                </w:p>
              </w:tc>
            </w:tr>
            <w:tr w14:paraId="2D42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Align w:val="center"/>
                </w:tcPr>
                <w:p w14:paraId="24D8D66F">
                  <w:pPr>
                    <w:spacing w:line="0" w:lineRule="atLeast"/>
                    <w:jc w:val="center"/>
                    <w:rPr>
                      <w:bCs/>
                      <w:color w:val="auto"/>
                    </w:rPr>
                  </w:pPr>
                  <w:r>
                    <w:rPr>
                      <w:rFonts w:hint="eastAsia"/>
                      <w:bCs/>
                      <w:color w:val="auto"/>
                    </w:rPr>
                    <w:t>焊接</w:t>
                  </w:r>
                </w:p>
              </w:tc>
              <w:tc>
                <w:tcPr>
                  <w:tcW w:w="1097" w:type="dxa"/>
                  <w:vAlign w:val="center"/>
                </w:tcPr>
                <w:p w14:paraId="1F759126">
                  <w:pPr>
                    <w:spacing w:line="0" w:lineRule="atLeast"/>
                    <w:jc w:val="center"/>
                    <w:rPr>
                      <w:bCs/>
                      <w:color w:val="auto"/>
                    </w:rPr>
                  </w:pPr>
                  <w:r>
                    <w:rPr>
                      <w:rFonts w:hint="eastAsia"/>
                      <w:bCs/>
                      <w:color w:val="auto"/>
                    </w:rPr>
                    <w:t>颗粒物</w:t>
                  </w:r>
                </w:p>
              </w:tc>
              <w:tc>
                <w:tcPr>
                  <w:tcW w:w="1099" w:type="dxa"/>
                  <w:vAlign w:val="center"/>
                </w:tcPr>
                <w:p w14:paraId="36107403">
                  <w:pPr>
                    <w:spacing w:line="0" w:lineRule="atLeast"/>
                    <w:rPr>
                      <w:bCs/>
                      <w:color w:val="auto"/>
                    </w:rPr>
                  </w:pPr>
                  <w:r>
                    <w:rPr>
                      <w:rFonts w:hint="eastAsia"/>
                      <w:bCs/>
                      <w:color w:val="auto"/>
                    </w:rPr>
                    <w:t>焊烟净化装置</w:t>
                  </w:r>
                </w:p>
              </w:tc>
              <w:tc>
                <w:tcPr>
                  <w:tcW w:w="1099" w:type="dxa"/>
                  <w:vAlign w:val="center"/>
                </w:tcPr>
                <w:p w14:paraId="212CEB15">
                  <w:pPr>
                    <w:spacing w:line="0" w:lineRule="atLeast"/>
                    <w:jc w:val="center"/>
                    <w:rPr>
                      <w:bCs/>
                      <w:color w:val="auto"/>
                    </w:rPr>
                  </w:pPr>
                  <w:r>
                    <w:rPr>
                      <w:rFonts w:hint="eastAsia"/>
                      <w:bCs/>
                      <w:color w:val="auto"/>
                    </w:rPr>
                    <w:t>2500m</w:t>
                  </w:r>
                  <w:r>
                    <w:rPr>
                      <w:rFonts w:hint="eastAsia"/>
                      <w:bCs/>
                      <w:color w:val="auto"/>
                      <w:vertAlign w:val="superscript"/>
                    </w:rPr>
                    <w:t>3</w:t>
                  </w:r>
                  <w:r>
                    <w:rPr>
                      <w:rFonts w:hint="eastAsia"/>
                      <w:bCs/>
                      <w:color w:val="auto"/>
                    </w:rPr>
                    <w:t>/h</w:t>
                  </w:r>
                </w:p>
              </w:tc>
              <w:tc>
                <w:tcPr>
                  <w:tcW w:w="1099" w:type="dxa"/>
                  <w:vAlign w:val="center"/>
                </w:tcPr>
                <w:p w14:paraId="5AFAAB00">
                  <w:pPr>
                    <w:spacing w:line="0" w:lineRule="atLeast"/>
                    <w:jc w:val="center"/>
                    <w:rPr>
                      <w:bCs/>
                      <w:color w:val="auto"/>
                    </w:rPr>
                  </w:pPr>
                  <w:r>
                    <w:rPr>
                      <w:rFonts w:hint="eastAsia"/>
                      <w:bCs/>
                      <w:color w:val="auto"/>
                    </w:rPr>
                    <w:t>90%</w:t>
                  </w:r>
                </w:p>
              </w:tc>
              <w:tc>
                <w:tcPr>
                  <w:tcW w:w="1099" w:type="dxa"/>
                  <w:vAlign w:val="center"/>
                </w:tcPr>
                <w:p w14:paraId="34406C11">
                  <w:pPr>
                    <w:spacing w:line="0" w:lineRule="atLeast"/>
                    <w:jc w:val="center"/>
                    <w:rPr>
                      <w:bCs/>
                      <w:color w:val="auto"/>
                    </w:rPr>
                  </w:pPr>
                  <w:r>
                    <w:rPr>
                      <w:rFonts w:hint="eastAsia"/>
                      <w:bCs/>
                      <w:color w:val="auto"/>
                    </w:rPr>
                    <w:t>75%</w:t>
                  </w:r>
                </w:p>
              </w:tc>
              <w:tc>
                <w:tcPr>
                  <w:tcW w:w="1099" w:type="dxa"/>
                  <w:vAlign w:val="center"/>
                </w:tcPr>
                <w:p w14:paraId="4A591416">
                  <w:pPr>
                    <w:spacing w:line="0" w:lineRule="atLeast"/>
                    <w:jc w:val="center"/>
                    <w:rPr>
                      <w:bCs/>
                      <w:color w:val="auto"/>
                    </w:rPr>
                  </w:pPr>
                  <w:r>
                    <w:rPr>
                      <w:rFonts w:hint="eastAsia"/>
                      <w:bCs/>
                      <w:color w:val="auto"/>
                    </w:rPr>
                    <w:t>是</w:t>
                  </w:r>
                </w:p>
              </w:tc>
              <w:tc>
                <w:tcPr>
                  <w:tcW w:w="1099" w:type="dxa"/>
                  <w:vMerge w:val="continue"/>
                  <w:vAlign w:val="center"/>
                </w:tcPr>
                <w:p w14:paraId="14D3B77D">
                  <w:pPr>
                    <w:spacing w:line="0" w:lineRule="atLeast"/>
                    <w:jc w:val="center"/>
                    <w:rPr>
                      <w:bCs/>
                      <w:color w:val="auto"/>
                      <w:lang w:val="zh-CN"/>
                    </w:rPr>
                  </w:pPr>
                </w:p>
              </w:tc>
            </w:tr>
          </w:tbl>
          <w:p w14:paraId="60D3E716">
            <w:pPr>
              <w:numPr>
                <w:ilvl w:val="0"/>
                <w:numId w:val="6"/>
              </w:numPr>
              <w:spacing w:line="360" w:lineRule="auto"/>
              <w:ind w:firstLine="480" w:firstLineChars="200"/>
              <w:rPr>
                <w:b/>
                <w:bCs/>
                <w:color w:val="auto"/>
                <w:sz w:val="24"/>
                <w:szCs w:val="24"/>
              </w:rPr>
            </w:pPr>
            <w:r>
              <w:rPr>
                <w:rFonts w:hint="eastAsia"/>
                <w:bCs/>
                <w:color w:val="auto"/>
                <w:sz w:val="24"/>
              </w:rPr>
              <w:t>废气收集治理设施图</w:t>
            </w:r>
          </w:p>
          <w:p w14:paraId="72FDD637">
            <w:pPr>
              <w:pStyle w:val="3"/>
              <w:jc w:val="center"/>
              <w:outlineLvl w:val="2"/>
              <w:rPr>
                <w:b/>
                <w:bCs/>
                <w:color w:val="auto"/>
                <w:sz w:val="24"/>
                <w:szCs w:val="24"/>
              </w:rPr>
            </w:pPr>
            <w:r>
              <w:rPr>
                <w:b/>
                <w:bCs/>
                <w:color w:val="auto"/>
                <w:sz w:val="24"/>
                <w:szCs w:val="24"/>
              </w:rPr>
              <w:object>
                <v:shape id="_x0000_i1028" o:spt="75" type="#_x0000_t75" style="height:215.85pt;width:352pt;" o:ole="t" filled="f" o:preferrelative="t" stroked="f" coordsize="21600,21600">
                  <v:path/>
                  <v:fill on="f" focussize="0,0"/>
                  <v:stroke on="f"/>
                  <v:imagedata r:id="rId18" croptop="7043f" cropbottom="5710f" o:title=""/>
                  <o:lock v:ext="edit" aspectratio="f"/>
                  <w10:wrap type="none"/>
                  <w10:anchorlock/>
                </v:shape>
                <o:OLEObject Type="Embed" ProgID="Visio.Drawing.15" ShapeID="_x0000_i1028" DrawAspect="Content" ObjectID="_1468075728" r:id="rId17">
                  <o:LockedField>false</o:LockedField>
                </o:OLEObject>
              </w:object>
            </w:r>
          </w:p>
          <w:p w14:paraId="6A2481FB">
            <w:pPr>
              <w:pStyle w:val="3"/>
              <w:jc w:val="center"/>
              <w:outlineLvl w:val="2"/>
              <w:rPr>
                <w:b/>
                <w:bCs/>
                <w:color w:val="auto"/>
                <w:sz w:val="24"/>
                <w:szCs w:val="24"/>
              </w:rPr>
            </w:pPr>
            <w:r>
              <w:rPr>
                <w:rFonts w:hint="eastAsia"/>
                <w:b/>
                <w:bCs/>
                <w:color w:val="auto"/>
                <w:sz w:val="24"/>
                <w:szCs w:val="24"/>
              </w:rPr>
              <w:t>图4-1  本项目废气处理工艺</w:t>
            </w:r>
          </w:p>
          <w:p w14:paraId="2601DA3A">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1.2.1有组织废气治理措施可行性分析</w:t>
            </w:r>
          </w:p>
          <w:p w14:paraId="55123739">
            <w:pPr>
              <w:spacing w:line="360" w:lineRule="auto"/>
              <w:ind w:firstLine="480" w:firstLineChars="200"/>
              <w:rPr>
                <w:rFonts w:hAnsi="宋体" w:cs="宋体"/>
                <w:color w:val="auto"/>
                <w:kern w:val="0"/>
                <w:sz w:val="24"/>
              </w:rPr>
            </w:pPr>
            <w:r>
              <w:rPr>
                <w:rFonts w:hAnsi="宋体" w:cs="宋体"/>
                <w:color w:val="auto"/>
                <w:kern w:val="0"/>
                <w:sz w:val="24"/>
              </w:rPr>
              <w:t>①</w:t>
            </w:r>
            <w:r>
              <w:rPr>
                <w:rFonts w:hint="eastAsia" w:hAnsi="宋体" w:cs="宋体"/>
                <w:color w:val="auto"/>
                <w:kern w:val="0"/>
                <w:sz w:val="24"/>
              </w:rPr>
              <w:t>工艺可行性</w:t>
            </w:r>
          </w:p>
          <w:p w14:paraId="7C6BE499">
            <w:pPr>
              <w:numPr>
                <w:ilvl w:val="0"/>
                <w:numId w:val="7"/>
              </w:numPr>
              <w:spacing w:line="360" w:lineRule="auto"/>
              <w:ind w:firstLine="480" w:firstLineChars="200"/>
              <w:rPr>
                <w:color w:val="auto"/>
                <w:sz w:val="24"/>
                <w:szCs w:val="24"/>
              </w:rPr>
            </w:pPr>
            <w:r>
              <w:rPr>
                <w:rFonts w:hint="eastAsia"/>
                <w:color w:val="auto"/>
                <w:sz w:val="24"/>
                <w:szCs w:val="24"/>
              </w:rPr>
              <w:t>焊烟净化装置</w:t>
            </w:r>
          </w:p>
          <w:p w14:paraId="6C475B5F">
            <w:pPr>
              <w:pStyle w:val="8"/>
              <w:ind w:firstLine="480" w:firstLineChars="200"/>
              <w:rPr>
                <w:color w:val="auto"/>
                <w:kern w:val="2"/>
                <w:sz w:val="24"/>
                <w:szCs w:val="24"/>
              </w:rPr>
            </w:pPr>
            <w:r>
              <w:rPr>
                <w:color w:val="auto"/>
                <w:kern w:val="2"/>
                <w:sz w:val="24"/>
                <w:szCs w:val="24"/>
              </w:rPr>
              <w:t>通过强大的吸力将焊接区域产生的烟尘吸入净化器内部。净化器内部设有多层过滤系统，包括初效过滤网、中效过滤棉等，能够逐级去除烟尘中的大小颗粒、有害气体及异味等污染物。经过过滤处理后的干净空气通过风机排出室外</w:t>
            </w:r>
            <w:r>
              <w:rPr>
                <w:rFonts w:hint="eastAsia"/>
                <w:color w:val="auto"/>
                <w:kern w:val="2"/>
                <w:sz w:val="24"/>
                <w:szCs w:val="24"/>
              </w:rPr>
              <w:t>。</w:t>
            </w:r>
          </w:p>
          <w:p w14:paraId="21FB164D">
            <w:pPr>
              <w:spacing w:line="360" w:lineRule="auto"/>
              <w:ind w:firstLine="480" w:firstLineChars="200"/>
              <w:rPr>
                <w:color w:val="auto"/>
                <w:sz w:val="24"/>
                <w:szCs w:val="24"/>
              </w:rPr>
            </w:pPr>
            <w:r>
              <w:rPr>
                <w:rFonts w:hint="eastAsia"/>
                <w:color w:val="auto"/>
                <w:sz w:val="24"/>
                <w:szCs w:val="24"/>
              </w:rPr>
              <w:t>（2）活性炭吸附装置</w:t>
            </w:r>
          </w:p>
          <w:p w14:paraId="3DFED360">
            <w:pPr>
              <w:pStyle w:val="3"/>
              <w:spacing w:line="360" w:lineRule="auto"/>
              <w:ind w:firstLine="480" w:firstLineChars="200"/>
              <w:outlineLvl w:val="2"/>
              <w:rPr>
                <w:color w:val="auto"/>
                <w:sz w:val="24"/>
                <w:szCs w:val="24"/>
              </w:rPr>
            </w:pPr>
            <w:r>
              <w:rPr>
                <w:rFonts w:hint="eastAsia"/>
                <w:color w:val="auto"/>
                <w:sz w:val="24"/>
                <w:szCs w:val="24"/>
              </w:rPr>
              <w:t>活性炭是一种非常优良的吸附剂，它是利用木炭、各种果壳和优质煤等作为原料，通过物理和化学的方法对原料进行破碎、过筛、催化剂活化、漂洗、烘干和筛选等一系列工序加工制造而成。活性炭具有物理吸附和化学吸附的双重特性，可以有选择的吸附气相、液相中的各种物质，以达到脱色精制、消毒除臭和去污提纯等目的。活性炭吸附法就是利用活性炭作为物理吸附剂，把固化过程中产生的有害物质成分，在固相表面进行浓缩，从而使废气得到净化治理。这个吸附过程是在固相—气相间界面发生的物理过程。</w:t>
            </w:r>
          </w:p>
          <w:p w14:paraId="2A4D0D83">
            <w:pPr>
              <w:pStyle w:val="3"/>
              <w:ind w:firstLine="480" w:firstLineChars="200"/>
              <w:outlineLvl w:val="2"/>
              <w:rPr>
                <w:color w:val="auto"/>
                <w:sz w:val="24"/>
                <w:szCs w:val="24"/>
              </w:rPr>
            </w:pPr>
            <w:r>
              <w:rPr>
                <w:rFonts w:hint="eastAsia"/>
                <w:color w:val="auto"/>
                <w:sz w:val="24"/>
                <w:szCs w:val="24"/>
              </w:rPr>
              <w:t>随着活性炭的吸附过程，阻力随之缓慢增加，当活性炭吸附饱和时，阻力达到最大值，此后的净化效率基本失去。为此，活性炭吸附装置在进出风口处设置一套差压测量系统，对该装置进出口的废气压力差进行检测并显示，及时更换活性炭。工程实践表明，二级活性炭吸附处理装置对非甲烷总烃的去除率可达90%以上，本报告取保守值90%。</w:t>
            </w:r>
          </w:p>
          <w:p w14:paraId="74FD5A31">
            <w:pPr>
              <w:tabs>
                <w:tab w:val="left" w:pos="5142"/>
              </w:tabs>
              <w:spacing w:line="360" w:lineRule="auto"/>
              <w:ind w:firstLine="480" w:firstLineChars="200"/>
              <w:jc w:val="left"/>
              <w:rPr>
                <w:color w:val="auto"/>
                <w:kern w:val="0"/>
                <w:sz w:val="24"/>
                <w:lang w:val="zh-CN"/>
              </w:rPr>
            </w:pPr>
            <w:r>
              <w:rPr>
                <w:color w:val="auto"/>
                <w:kern w:val="0"/>
                <w:sz w:val="24"/>
                <w:lang w:val="zh-CN"/>
              </w:rPr>
              <w:t>依据《吸附法工业有机废气治理工程技术规范》（HJ2026-2013）要求，活性炭吸附装置一般设计要求如下：</w:t>
            </w:r>
          </w:p>
          <w:p w14:paraId="6DA90A72">
            <w:pPr>
              <w:spacing w:line="360" w:lineRule="auto"/>
              <w:ind w:firstLine="480"/>
              <w:rPr>
                <w:color w:val="auto"/>
                <w:sz w:val="24"/>
              </w:rPr>
            </w:pPr>
            <w:r>
              <w:rPr>
                <w:rFonts w:eastAsia="Times New Roman"/>
                <w:color w:val="auto"/>
                <w:sz w:val="24"/>
                <w:lang w:val="zh-CN"/>
              </w:rPr>
              <w:t>设计箱体尺寸：V=箱体长度*箱体宽度*箱体高度=</w:t>
            </w:r>
            <w:r>
              <w:rPr>
                <w:rFonts w:hint="eastAsia"/>
                <w:color w:val="auto"/>
                <w:sz w:val="24"/>
              </w:rPr>
              <w:t>4.6</w:t>
            </w:r>
            <w:r>
              <w:rPr>
                <w:rFonts w:eastAsia="Times New Roman"/>
                <w:color w:val="auto"/>
                <w:sz w:val="24"/>
                <w:lang w:val="zh-CN"/>
              </w:rPr>
              <w:t>*</w:t>
            </w:r>
            <w:r>
              <w:rPr>
                <w:rFonts w:hint="eastAsia"/>
                <w:color w:val="auto"/>
                <w:sz w:val="24"/>
              </w:rPr>
              <w:t>1</w:t>
            </w:r>
            <w:r>
              <w:rPr>
                <w:rFonts w:eastAsia="Times New Roman"/>
                <w:color w:val="auto"/>
                <w:sz w:val="24"/>
                <w:lang w:val="zh-CN"/>
              </w:rPr>
              <w:t>*</w:t>
            </w:r>
            <w:r>
              <w:rPr>
                <w:rFonts w:hint="eastAsia"/>
                <w:color w:val="auto"/>
                <w:sz w:val="24"/>
              </w:rPr>
              <w:t>1</w:t>
            </w:r>
            <w:r>
              <w:rPr>
                <w:rFonts w:eastAsia="Times New Roman"/>
                <w:color w:val="auto"/>
                <w:sz w:val="24"/>
                <w:lang w:val="zh-CN"/>
              </w:rPr>
              <w:t>=</w:t>
            </w:r>
            <w:r>
              <w:rPr>
                <w:rFonts w:hint="eastAsia"/>
                <w:color w:val="auto"/>
                <w:sz w:val="24"/>
              </w:rPr>
              <w:t>4.6</w:t>
            </w:r>
            <w:r>
              <w:rPr>
                <w:rFonts w:eastAsia="Times New Roman"/>
                <w:color w:val="auto"/>
                <w:sz w:val="24"/>
                <w:lang w:val="zh-CN"/>
              </w:rPr>
              <w:t>m</w:t>
            </w:r>
            <w:r>
              <w:rPr>
                <w:rFonts w:eastAsia="Times New Roman"/>
                <w:color w:val="auto"/>
                <w:sz w:val="24"/>
                <w:vertAlign w:val="superscript"/>
                <w:lang w:val="zh-CN"/>
              </w:rPr>
              <w:t>3</w:t>
            </w:r>
          </w:p>
          <w:p w14:paraId="486DBE97">
            <w:pPr>
              <w:spacing w:line="360" w:lineRule="auto"/>
              <w:ind w:firstLine="480"/>
              <w:rPr>
                <w:rFonts w:eastAsia="Times New Roman"/>
                <w:color w:val="auto"/>
                <w:sz w:val="24"/>
                <w:vertAlign w:val="superscript"/>
                <w:lang w:val="zh-CN"/>
              </w:rPr>
            </w:pPr>
            <w:r>
              <w:rPr>
                <w:rFonts w:eastAsia="Times New Roman"/>
                <w:color w:val="auto"/>
                <w:sz w:val="24"/>
                <w:lang w:val="zh-CN"/>
              </w:rPr>
              <w:t>过滤截面积S=箱体长度*箱体宽度=</w:t>
            </w:r>
            <w:r>
              <w:rPr>
                <w:rFonts w:hint="eastAsia"/>
                <w:color w:val="auto"/>
                <w:sz w:val="24"/>
              </w:rPr>
              <w:t>4.6</w:t>
            </w:r>
            <w:r>
              <w:rPr>
                <w:rFonts w:eastAsia="Times New Roman"/>
                <w:color w:val="auto"/>
                <w:sz w:val="24"/>
                <w:lang w:val="zh-CN"/>
              </w:rPr>
              <w:t>*</w:t>
            </w:r>
            <w:r>
              <w:rPr>
                <w:rFonts w:hint="eastAsia"/>
                <w:color w:val="auto"/>
                <w:sz w:val="24"/>
              </w:rPr>
              <w:t>1</w:t>
            </w:r>
            <w:r>
              <w:rPr>
                <w:rFonts w:eastAsia="Times New Roman"/>
                <w:color w:val="auto"/>
                <w:sz w:val="24"/>
                <w:lang w:val="zh-CN"/>
              </w:rPr>
              <w:t>=</w:t>
            </w:r>
            <w:r>
              <w:rPr>
                <w:rFonts w:hint="eastAsia"/>
                <w:color w:val="auto"/>
                <w:sz w:val="24"/>
              </w:rPr>
              <w:t>4.6</w:t>
            </w:r>
            <w:r>
              <w:rPr>
                <w:rFonts w:eastAsia="Times New Roman"/>
                <w:color w:val="auto"/>
                <w:sz w:val="24"/>
                <w:lang w:val="zh-CN"/>
              </w:rPr>
              <w:t>m</w:t>
            </w:r>
            <w:r>
              <w:rPr>
                <w:rFonts w:eastAsia="Times New Roman"/>
                <w:color w:val="auto"/>
                <w:sz w:val="24"/>
                <w:vertAlign w:val="superscript"/>
                <w:lang w:val="zh-CN"/>
              </w:rPr>
              <w:t>2</w:t>
            </w:r>
          </w:p>
          <w:p w14:paraId="215522AD">
            <w:pPr>
              <w:spacing w:line="360" w:lineRule="auto"/>
              <w:ind w:firstLine="480"/>
              <w:rPr>
                <w:rFonts w:eastAsia="Times New Roman"/>
                <w:color w:val="auto"/>
                <w:sz w:val="24"/>
                <w:lang w:val="zh-CN"/>
              </w:rPr>
            </w:pPr>
            <w:r>
              <w:rPr>
                <w:rFonts w:eastAsia="Times New Roman"/>
                <w:color w:val="auto"/>
                <w:sz w:val="24"/>
                <w:lang w:val="zh-CN"/>
              </w:rPr>
              <w:t>实际截面风速：V=</w:t>
            </w:r>
            <w:r>
              <w:rPr>
                <w:rFonts w:hint="eastAsia"/>
                <w:color w:val="auto"/>
                <w:sz w:val="24"/>
              </w:rPr>
              <w:t>100</w:t>
            </w:r>
            <w:r>
              <w:rPr>
                <w:rFonts w:eastAsia="Times New Roman"/>
                <w:color w:val="auto"/>
                <w:sz w:val="24"/>
                <w:lang w:val="zh-CN"/>
              </w:rPr>
              <w:t>00/（3600</w:t>
            </w:r>
            <w:r>
              <w:rPr>
                <w:rFonts w:hint="eastAsia"/>
                <w:color w:val="auto"/>
                <w:sz w:val="24"/>
              </w:rPr>
              <w:t>*4.6</w:t>
            </w:r>
            <w:r>
              <w:rPr>
                <w:rFonts w:eastAsia="Times New Roman"/>
                <w:color w:val="auto"/>
                <w:sz w:val="24"/>
                <w:lang w:val="zh-CN"/>
              </w:rPr>
              <w:t>）=</w:t>
            </w:r>
            <w:r>
              <w:rPr>
                <w:rFonts w:hint="eastAsia"/>
                <w:color w:val="auto"/>
                <w:sz w:val="24"/>
              </w:rPr>
              <w:t>0.6</w:t>
            </w:r>
            <w:r>
              <w:rPr>
                <w:rFonts w:eastAsia="Times New Roman"/>
                <w:color w:val="auto"/>
                <w:sz w:val="24"/>
                <w:lang w:val="zh-CN"/>
              </w:rPr>
              <w:t>m/s</w:t>
            </w:r>
          </w:p>
          <w:p w14:paraId="33E2E8DD">
            <w:pPr>
              <w:pStyle w:val="8"/>
              <w:spacing w:before="0" w:after="0"/>
              <w:ind w:firstLine="480" w:firstLineChars="200"/>
              <w:rPr>
                <w:rFonts w:eastAsia="Times New Roman"/>
                <w:color w:val="auto"/>
                <w:sz w:val="24"/>
                <w:szCs w:val="24"/>
                <w:lang w:val="zh-CN"/>
              </w:rPr>
            </w:pPr>
            <w:r>
              <w:rPr>
                <w:rFonts w:eastAsia="Times New Roman"/>
                <w:color w:val="auto"/>
                <w:sz w:val="24"/>
                <w:szCs w:val="24"/>
                <w:lang w:val="zh-CN"/>
              </w:rPr>
              <w:t>停留时间：t=箱体</w:t>
            </w:r>
            <w:r>
              <w:rPr>
                <w:rFonts w:hint="eastAsia"/>
                <w:color w:val="auto"/>
                <w:sz w:val="24"/>
                <w:szCs w:val="24"/>
              </w:rPr>
              <w:t>高</w:t>
            </w:r>
            <w:r>
              <w:rPr>
                <w:rFonts w:eastAsia="Times New Roman"/>
                <w:color w:val="auto"/>
                <w:sz w:val="24"/>
                <w:szCs w:val="24"/>
                <w:lang w:val="zh-CN"/>
              </w:rPr>
              <w:t>度/实际截面风速=</w:t>
            </w:r>
            <w:r>
              <w:rPr>
                <w:rFonts w:hint="eastAsia"/>
                <w:color w:val="auto"/>
                <w:sz w:val="24"/>
                <w:szCs w:val="24"/>
              </w:rPr>
              <w:t>1</w:t>
            </w:r>
            <w:r>
              <w:rPr>
                <w:rFonts w:eastAsia="Times New Roman"/>
                <w:color w:val="auto"/>
                <w:sz w:val="24"/>
                <w:szCs w:val="24"/>
                <w:lang w:val="zh-CN"/>
              </w:rPr>
              <w:t>/</w:t>
            </w:r>
            <w:r>
              <w:rPr>
                <w:rFonts w:hint="eastAsia"/>
                <w:color w:val="auto"/>
                <w:sz w:val="24"/>
                <w:szCs w:val="24"/>
              </w:rPr>
              <w:t>0.6</w:t>
            </w:r>
            <w:r>
              <w:rPr>
                <w:rFonts w:eastAsia="Times New Roman"/>
                <w:color w:val="auto"/>
                <w:sz w:val="24"/>
                <w:szCs w:val="24"/>
                <w:lang w:val="zh-CN"/>
              </w:rPr>
              <w:t>=</w:t>
            </w:r>
            <w:r>
              <w:rPr>
                <w:rFonts w:hint="eastAsia"/>
                <w:color w:val="auto"/>
                <w:sz w:val="24"/>
                <w:szCs w:val="24"/>
              </w:rPr>
              <w:t>1.7</w:t>
            </w:r>
            <w:r>
              <w:rPr>
                <w:rFonts w:eastAsia="Times New Roman"/>
                <w:color w:val="auto"/>
                <w:sz w:val="24"/>
                <w:szCs w:val="24"/>
                <w:lang w:val="zh-CN"/>
              </w:rPr>
              <w:t>s</w:t>
            </w:r>
          </w:p>
          <w:p w14:paraId="17CBE634">
            <w:pPr>
              <w:autoSpaceDE w:val="0"/>
              <w:autoSpaceDN w:val="0"/>
              <w:adjustRightInd w:val="0"/>
              <w:spacing w:line="0" w:lineRule="atLeast"/>
              <w:jc w:val="center"/>
              <w:rPr>
                <w:rFonts w:hAnsi="宋体"/>
                <w:b/>
                <w:color w:val="auto"/>
                <w:sz w:val="24"/>
                <w:szCs w:val="22"/>
              </w:rPr>
            </w:pPr>
            <w:r>
              <w:rPr>
                <w:rFonts w:hint="eastAsia" w:hAnsi="宋体"/>
                <w:b/>
                <w:color w:val="auto"/>
                <w:sz w:val="24"/>
                <w:szCs w:val="22"/>
                <w:lang w:val="zh-CN"/>
              </w:rPr>
              <w:t>表</w:t>
            </w:r>
            <w:r>
              <w:rPr>
                <w:rFonts w:hint="eastAsia" w:hAnsi="宋体"/>
                <w:b/>
                <w:color w:val="auto"/>
                <w:sz w:val="24"/>
                <w:szCs w:val="22"/>
              </w:rPr>
              <w:t>4-8  本项目废气处理装置参数一览表</w:t>
            </w:r>
          </w:p>
          <w:tbl>
            <w:tblPr>
              <w:tblStyle w:val="22"/>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2948"/>
              <w:gridCol w:w="2950"/>
            </w:tblGrid>
            <w:tr w14:paraId="10C7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dxa"/>
                </w:tcPr>
                <w:p w14:paraId="261D768A">
                  <w:pPr>
                    <w:pStyle w:val="11"/>
                    <w:numPr>
                      <w:ilvl w:val="0"/>
                      <w:numId w:val="0"/>
                    </w:numPr>
                    <w:jc w:val="center"/>
                    <w:rPr>
                      <w:b/>
                      <w:bCs/>
                      <w:color w:val="auto"/>
                    </w:rPr>
                  </w:pPr>
                  <w:r>
                    <w:rPr>
                      <w:rFonts w:hint="eastAsia"/>
                      <w:b/>
                      <w:bCs/>
                      <w:color w:val="auto"/>
                    </w:rPr>
                    <w:t>装置名称</w:t>
                  </w:r>
                </w:p>
              </w:tc>
              <w:tc>
                <w:tcPr>
                  <w:tcW w:w="2948" w:type="dxa"/>
                </w:tcPr>
                <w:p w14:paraId="776043DE">
                  <w:pPr>
                    <w:pStyle w:val="11"/>
                    <w:numPr>
                      <w:ilvl w:val="0"/>
                      <w:numId w:val="0"/>
                    </w:numPr>
                    <w:jc w:val="center"/>
                    <w:rPr>
                      <w:b/>
                      <w:bCs/>
                      <w:color w:val="auto"/>
                    </w:rPr>
                  </w:pPr>
                  <w:r>
                    <w:rPr>
                      <w:rFonts w:hint="eastAsia"/>
                      <w:b/>
                      <w:bCs/>
                      <w:color w:val="auto"/>
                    </w:rPr>
                    <w:t>项目</w:t>
                  </w:r>
                </w:p>
              </w:tc>
              <w:tc>
                <w:tcPr>
                  <w:tcW w:w="2950" w:type="dxa"/>
                </w:tcPr>
                <w:p w14:paraId="5A57E924">
                  <w:pPr>
                    <w:pStyle w:val="11"/>
                    <w:numPr>
                      <w:ilvl w:val="0"/>
                      <w:numId w:val="0"/>
                    </w:numPr>
                    <w:jc w:val="center"/>
                    <w:rPr>
                      <w:b/>
                      <w:bCs/>
                      <w:color w:val="auto"/>
                    </w:rPr>
                  </w:pPr>
                  <w:r>
                    <w:rPr>
                      <w:rFonts w:hint="eastAsia"/>
                      <w:b/>
                      <w:bCs/>
                      <w:color w:val="auto"/>
                    </w:rPr>
                    <w:t>技术指标</w:t>
                  </w:r>
                </w:p>
              </w:tc>
            </w:tr>
            <w:tr w14:paraId="7741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946" w:type="dxa"/>
                  <w:vMerge w:val="restart"/>
                  <w:vAlign w:val="center"/>
                </w:tcPr>
                <w:p w14:paraId="4F096902">
                  <w:pPr>
                    <w:pStyle w:val="11"/>
                    <w:numPr>
                      <w:ilvl w:val="0"/>
                      <w:numId w:val="0"/>
                    </w:numPr>
                    <w:jc w:val="center"/>
                    <w:rPr>
                      <w:color w:val="auto"/>
                    </w:rPr>
                  </w:pPr>
                  <w:r>
                    <w:rPr>
                      <w:rFonts w:hint="eastAsia"/>
                      <w:color w:val="auto"/>
                    </w:rPr>
                    <w:t>1#二级活性炭箱体</w:t>
                  </w:r>
                </w:p>
              </w:tc>
              <w:tc>
                <w:tcPr>
                  <w:tcW w:w="2948" w:type="dxa"/>
                  <w:vAlign w:val="center"/>
                </w:tcPr>
                <w:p w14:paraId="5EA38A52">
                  <w:pPr>
                    <w:pStyle w:val="11"/>
                    <w:numPr>
                      <w:ilvl w:val="0"/>
                      <w:numId w:val="0"/>
                    </w:numPr>
                    <w:jc w:val="center"/>
                    <w:rPr>
                      <w:color w:val="auto"/>
                    </w:rPr>
                  </w:pPr>
                  <w:r>
                    <w:rPr>
                      <w:rFonts w:hint="eastAsia"/>
                      <w:color w:val="auto"/>
                    </w:rPr>
                    <w:t>风机风量</w:t>
                  </w:r>
                </w:p>
              </w:tc>
              <w:tc>
                <w:tcPr>
                  <w:tcW w:w="2950" w:type="dxa"/>
                  <w:vAlign w:val="center"/>
                </w:tcPr>
                <w:p w14:paraId="130ED971">
                  <w:pPr>
                    <w:pStyle w:val="11"/>
                    <w:numPr>
                      <w:ilvl w:val="0"/>
                      <w:numId w:val="0"/>
                    </w:numPr>
                    <w:jc w:val="center"/>
                    <w:rPr>
                      <w:color w:val="auto"/>
                    </w:rPr>
                  </w:pPr>
                  <w:r>
                    <w:rPr>
                      <w:rFonts w:hint="eastAsia"/>
                      <w:color w:val="auto"/>
                    </w:rPr>
                    <w:t>Q=10000m</w:t>
                  </w:r>
                  <w:r>
                    <w:rPr>
                      <w:rFonts w:hint="eastAsia"/>
                      <w:color w:val="auto"/>
                      <w:vertAlign w:val="superscript"/>
                    </w:rPr>
                    <w:t>3</w:t>
                  </w:r>
                  <w:r>
                    <w:rPr>
                      <w:rFonts w:hint="eastAsia"/>
                      <w:color w:val="auto"/>
                    </w:rPr>
                    <w:t>/h</w:t>
                  </w:r>
                </w:p>
              </w:tc>
            </w:tr>
            <w:tr w14:paraId="0898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dxa"/>
                  <w:vMerge w:val="continue"/>
                </w:tcPr>
                <w:p w14:paraId="7E61BAC9">
                  <w:pPr>
                    <w:pStyle w:val="11"/>
                    <w:numPr>
                      <w:ilvl w:val="0"/>
                      <w:numId w:val="0"/>
                    </w:numPr>
                    <w:rPr>
                      <w:color w:val="auto"/>
                    </w:rPr>
                  </w:pPr>
                </w:p>
              </w:tc>
              <w:tc>
                <w:tcPr>
                  <w:tcW w:w="2948" w:type="dxa"/>
                  <w:vAlign w:val="center"/>
                </w:tcPr>
                <w:p w14:paraId="412375FC">
                  <w:pPr>
                    <w:pStyle w:val="11"/>
                    <w:numPr>
                      <w:ilvl w:val="0"/>
                      <w:numId w:val="0"/>
                    </w:numPr>
                    <w:jc w:val="center"/>
                    <w:rPr>
                      <w:color w:val="auto"/>
                    </w:rPr>
                  </w:pPr>
                  <w:r>
                    <w:rPr>
                      <w:rFonts w:hint="eastAsia"/>
                      <w:color w:val="auto"/>
                    </w:rPr>
                    <w:t>设备主体尺寸</w:t>
                  </w:r>
                </w:p>
              </w:tc>
              <w:tc>
                <w:tcPr>
                  <w:tcW w:w="2950" w:type="dxa"/>
                  <w:vAlign w:val="center"/>
                </w:tcPr>
                <w:p w14:paraId="7F2936B8">
                  <w:pPr>
                    <w:pStyle w:val="11"/>
                    <w:numPr>
                      <w:ilvl w:val="0"/>
                      <w:numId w:val="0"/>
                    </w:numPr>
                    <w:jc w:val="center"/>
                    <w:rPr>
                      <w:color w:val="auto"/>
                    </w:rPr>
                  </w:pPr>
                  <w:r>
                    <w:rPr>
                      <w:rFonts w:hint="eastAsia"/>
                      <w:color w:val="auto"/>
                    </w:rPr>
                    <w:t>2300</w:t>
                  </w:r>
                  <w:r>
                    <w:rPr>
                      <w:rFonts w:eastAsia="Times New Roman"/>
                      <w:color w:val="auto"/>
                      <w:lang w:val="zh-CN"/>
                    </w:rPr>
                    <w:t>*</w:t>
                  </w:r>
                  <w:r>
                    <w:rPr>
                      <w:rFonts w:hint="eastAsia"/>
                      <w:color w:val="auto"/>
                    </w:rPr>
                    <w:t>1000</w:t>
                  </w:r>
                  <w:r>
                    <w:rPr>
                      <w:rFonts w:eastAsia="Times New Roman"/>
                      <w:color w:val="auto"/>
                      <w:lang w:val="zh-CN"/>
                    </w:rPr>
                    <w:t>*</w:t>
                  </w:r>
                  <w:r>
                    <w:rPr>
                      <w:rFonts w:hint="eastAsia"/>
                      <w:color w:val="auto"/>
                    </w:rPr>
                    <w:t>1000mm*2</w:t>
                  </w:r>
                </w:p>
              </w:tc>
            </w:tr>
            <w:tr w14:paraId="35D2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946" w:type="dxa"/>
                  <w:vMerge w:val="continue"/>
                </w:tcPr>
                <w:p w14:paraId="08475A72">
                  <w:pPr>
                    <w:pStyle w:val="11"/>
                    <w:numPr>
                      <w:ilvl w:val="0"/>
                      <w:numId w:val="0"/>
                    </w:numPr>
                    <w:rPr>
                      <w:color w:val="auto"/>
                    </w:rPr>
                  </w:pPr>
                </w:p>
              </w:tc>
              <w:tc>
                <w:tcPr>
                  <w:tcW w:w="2948" w:type="dxa"/>
                  <w:vAlign w:val="center"/>
                </w:tcPr>
                <w:p w14:paraId="70C37CFB">
                  <w:pPr>
                    <w:pStyle w:val="11"/>
                    <w:numPr>
                      <w:ilvl w:val="0"/>
                      <w:numId w:val="0"/>
                    </w:numPr>
                    <w:jc w:val="center"/>
                    <w:rPr>
                      <w:color w:val="auto"/>
                    </w:rPr>
                  </w:pPr>
                  <w:r>
                    <w:rPr>
                      <w:rFonts w:hint="eastAsia"/>
                      <w:color w:val="auto"/>
                    </w:rPr>
                    <w:t>过滤截面积</w:t>
                  </w:r>
                </w:p>
              </w:tc>
              <w:tc>
                <w:tcPr>
                  <w:tcW w:w="2950" w:type="dxa"/>
                  <w:vAlign w:val="center"/>
                </w:tcPr>
                <w:p w14:paraId="08339B3E">
                  <w:pPr>
                    <w:pStyle w:val="11"/>
                    <w:numPr>
                      <w:ilvl w:val="0"/>
                      <w:numId w:val="0"/>
                    </w:numPr>
                    <w:jc w:val="center"/>
                    <w:rPr>
                      <w:color w:val="auto"/>
                    </w:rPr>
                  </w:pPr>
                  <w:r>
                    <w:rPr>
                      <w:rFonts w:hint="eastAsia"/>
                      <w:color w:val="auto"/>
                    </w:rPr>
                    <w:t>2.3</w:t>
                  </w:r>
                  <w:r>
                    <w:rPr>
                      <w:rFonts w:eastAsia="Times New Roman"/>
                      <w:color w:val="auto"/>
                      <w:lang w:val="zh-CN"/>
                    </w:rPr>
                    <w:t>m</w:t>
                  </w:r>
                  <w:r>
                    <w:rPr>
                      <w:rFonts w:eastAsia="Times New Roman"/>
                      <w:color w:val="auto"/>
                      <w:vertAlign w:val="superscript"/>
                      <w:lang w:val="zh-CN"/>
                    </w:rPr>
                    <w:t>2</w:t>
                  </w:r>
                </w:p>
              </w:tc>
            </w:tr>
            <w:tr w14:paraId="3A07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946" w:type="dxa"/>
                  <w:vMerge w:val="continue"/>
                </w:tcPr>
                <w:p w14:paraId="7E39AB7D">
                  <w:pPr>
                    <w:pStyle w:val="11"/>
                    <w:numPr>
                      <w:ilvl w:val="0"/>
                      <w:numId w:val="0"/>
                    </w:numPr>
                    <w:rPr>
                      <w:color w:val="auto"/>
                    </w:rPr>
                  </w:pPr>
                </w:p>
              </w:tc>
              <w:tc>
                <w:tcPr>
                  <w:tcW w:w="2948" w:type="dxa"/>
                  <w:vAlign w:val="center"/>
                </w:tcPr>
                <w:p w14:paraId="342579A3">
                  <w:pPr>
                    <w:pStyle w:val="11"/>
                    <w:numPr>
                      <w:ilvl w:val="0"/>
                      <w:numId w:val="0"/>
                    </w:numPr>
                    <w:jc w:val="center"/>
                    <w:rPr>
                      <w:color w:val="auto"/>
                    </w:rPr>
                  </w:pPr>
                  <w:r>
                    <w:rPr>
                      <w:rFonts w:hint="eastAsia"/>
                      <w:color w:val="auto"/>
                    </w:rPr>
                    <w:t>实际截面风速</w:t>
                  </w:r>
                </w:p>
              </w:tc>
              <w:tc>
                <w:tcPr>
                  <w:tcW w:w="2950" w:type="dxa"/>
                  <w:vAlign w:val="center"/>
                </w:tcPr>
                <w:p w14:paraId="37661DCD">
                  <w:pPr>
                    <w:pStyle w:val="11"/>
                    <w:numPr>
                      <w:ilvl w:val="0"/>
                      <w:numId w:val="0"/>
                    </w:numPr>
                    <w:jc w:val="center"/>
                    <w:rPr>
                      <w:color w:val="auto"/>
                    </w:rPr>
                  </w:pPr>
                  <w:r>
                    <w:rPr>
                      <w:rFonts w:hint="eastAsia"/>
                      <w:color w:val="auto"/>
                    </w:rPr>
                    <w:t>0.6</w:t>
                  </w:r>
                  <w:r>
                    <w:rPr>
                      <w:rFonts w:eastAsia="Times New Roman"/>
                      <w:color w:val="auto"/>
                      <w:lang w:val="zh-CN"/>
                    </w:rPr>
                    <w:t>m/s</w:t>
                  </w:r>
                </w:p>
              </w:tc>
            </w:tr>
            <w:tr w14:paraId="504D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dxa"/>
                  <w:vMerge w:val="continue"/>
                </w:tcPr>
                <w:p w14:paraId="1DADE17F">
                  <w:pPr>
                    <w:pStyle w:val="11"/>
                    <w:numPr>
                      <w:ilvl w:val="0"/>
                      <w:numId w:val="0"/>
                    </w:numPr>
                    <w:rPr>
                      <w:color w:val="auto"/>
                    </w:rPr>
                  </w:pPr>
                </w:p>
              </w:tc>
              <w:tc>
                <w:tcPr>
                  <w:tcW w:w="2948" w:type="dxa"/>
                  <w:vAlign w:val="center"/>
                </w:tcPr>
                <w:p w14:paraId="385519C9">
                  <w:pPr>
                    <w:pStyle w:val="11"/>
                    <w:numPr>
                      <w:ilvl w:val="0"/>
                      <w:numId w:val="0"/>
                    </w:numPr>
                    <w:jc w:val="center"/>
                    <w:rPr>
                      <w:color w:val="auto"/>
                    </w:rPr>
                  </w:pPr>
                  <w:r>
                    <w:rPr>
                      <w:rFonts w:hint="eastAsia"/>
                      <w:color w:val="auto"/>
                    </w:rPr>
                    <w:t>停留时间</w:t>
                  </w:r>
                </w:p>
              </w:tc>
              <w:tc>
                <w:tcPr>
                  <w:tcW w:w="2950" w:type="dxa"/>
                  <w:vAlign w:val="center"/>
                </w:tcPr>
                <w:p w14:paraId="172FF616">
                  <w:pPr>
                    <w:pStyle w:val="11"/>
                    <w:numPr>
                      <w:ilvl w:val="0"/>
                      <w:numId w:val="0"/>
                    </w:numPr>
                    <w:jc w:val="center"/>
                    <w:rPr>
                      <w:color w:val="auto"/>
                    </w:rPr>
                  </w:pPr>
                  <w:r>
                    <w:rPr>
                      <w:rFonts w:hint="eastAsia"/>
                      <w:color w:val="auto"/>
                    </w:rPr>
                    <w:t>1.7</w:t>
                  </w:r>
                  <w:r>
                    <w:rPr>
                      <w:rFonts w:eastAsia="Times New Roman"/>
                      <w:color w:val="auto"/>
                      <w:lang w:val="zh-CN"/>
                    </w:rPr>
                    <w:t>s</w:t>
                  </w:r>
                </w:p>
              </w:tc>
            </w:tr>
            <w:tr w14:paraId="5E3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6" w:type="dxa"/>
                  <w:vMerge w:val="continue"/>
                </w:tcPr>
                <w:p w14:paraId="15177BF9">
                  <w:pPr>
                    <w:pStyle w:val="11"/>
                    <w:numPr>
                      <w:ilvl w:val="0"/>
                      <w:numId w:val="0"/>
                    </w:numPr>
                    <w:rPr>
                      <w:color w:val="auto"/>
                    </w:rPr>
                  </w:pPr>
                </w:p>
              </w:tc>
              <w:tc>
                <w:tcPr>
                  <w:tcW w:w="2948" w:type="dxa"/>
                  <w:vAlign w:val="center"/>
                </w:tcPr>
                <w:p w14:paraId="385C6394">
                  <w:pPr>
                    <w:pStyle w:val="11"/>
                    <w:numPr>
                      <w:ilvl w:val="0"/>
                      <w:numId w:val="0"/>
                    </w:numPr>
                    <w:jc w:val="center"/>
                    <w:rPr>
                      <w:color w:val="auto"/>
                    </w:rPr>
                  </w:pPr>
                  <w:r>
                    <w:rPr>
                      <w:rFonts w:hint="eastAsia"/>
                      <w:color w:val="auto"/>
                    </w:rPr>
                    <w:t>活性炭密度</w:t>
                  </w:r>
                </w:p>
              </w:tc>
              <w:tc>
                <w:tcPr>
                  <w:tcW w:w="2950" w:type="dxa"/>
                  <w:vAlign w:val="center"/>
                </w:tcPr>
                <w:p w14:paraId="27A8F3C3">
                  <w:pPr>
                    <w:pStyle w:val="11"/>
                    <w:numPr>
                      <w:ilvl w:val="0"/>
                      <w:numId w:val="0"/>
                    </w:numPr>
                    <w:jc w:val="center"/>
                    <w:rPr>
                      <w:color w:val="auto"/>
                    </w:rPr>
                  </w:pPr>
                  <w:r>
                    <w:rPr>
                      <w:rFonts w:hint="eastAsia"/>
                      <w:color w:val="auto"/>
                    </w:rPr>
                    <w:t>0.45-0.65g/cm</w:t>
                  </w:r>
                  <w:r>
                    <w:rPr>
                      <w:rFonts w:hint="eastAsia"/>
                      <w:color w:val="auto"/>
                      <w:vertAlign w:val="superscript"/>
                    </w:rPr>
                    <w:t>3</w:t>
                  </w:r>
                </w:p>
              </w:tc>
            </w:tr>
            <w:tr w14:paraId="4785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946" w:type="dxa"/>
                  <w:vMerge w:val="continue"/>
                </w:tcPr>
                <w:p w14:paraId="3A5F2C40">
                  <w:pPr>
                    <w:pStyle w:val="11"/>
                    <w:numPr>
                      <w:ilvl w:val="0"/>
                      <w:numId w:val="0"/>
                    </w:numPr>
                    <w:rPr>
                      <w:color w:val="auto"/>
                    </w:rPr>
                  </w:pPr>
                </w:p>
              </w:tc>
              <w:tc>
                <w:tcPr>
                  <w:tcW w:w="2948" w:type="dxa"/>
                  <w:vAlign w:val="center"/>
                </w:tcPr>
                <w:p w14:paraId="55CA72F9">
                  <w:pPr>
                    <w:pStyle w:val="11"/>
                    <w:numPr>
                      <w:ilvl w:val="0"/>
                      <w:numId w:val="0"/>
                    </w:numPr>
                    <w:jc w:val="center"/>
                    <w:rPr>
                      <w:color w:val="auto"/>
                    </w:rPr>
                  </w:pPr>
                  <w:r>
                    <w:rPr>
                      <w:rFonts w:hint="eastAsia"/>
                      <w:color w:val="auto"/>
                    </w:rPr>
                    <w:t>活性炭吸附碘值</w:t>
                  </w:r>
                </w:p>
              </w:tc>
              <w:tc>
                <w:tcPr>
                  <w:tcW w:w="2950" w:type="dxa"/>
                  <w:vAlign w:val="center"/>
                </w:tcPr>
                <w:p w14:paraId="167F54AC">
                  <w:pPr>
                    <w:pStyle w:val="11"/>
                    <w:numPr>
                      <w:ilvl w:val="0"/>
                      <w:numId w:val="0"/>
                    </w:numPr>
                    <w:jc w:val="center"/>
                    <w:rPr>
                      <w:color w:val="auto"/>
                    </w:rPr>
                  </w:pPr>
                  <w:r>
                    <w:rPr>
                      <w:rFonts w:hint="eastAsia"/>
                      <w:color w:val="auto"/>
                    </w:rPr>
                    <w:t>800mg/g</w:t>
                  </w:r>
                </w:p>
              </w:tc>
            </w:tr>
          </w:tbl>
          <w:p w14:paraId="212B88E4">
            <w:pPr>
              <w:pStyle w:val="8"/>
              <w:spacing w:before="0" w:after="0"/>
              <w:ind w:firstLine="480" w:firstLineChars="200"/>
              <w:rPr>
                <w:rFonts w:hAnsi="宋体"/>
                <w:color w:val="auto"/>
                <w:sz w:val="24"/>
                <w:szCs w:val="24"/>
              </w:rPr>
            </w:pPr>
            <w:r>
              <w:rPr>
                <w:rFonts w:hint="eastAsia" w:hAnsi="宋体"/>
                <w:color w:val="auto"/>
                <w:sz w:val="24"/>
                <w:szCs w:val="24"/>
              </w:rPr>
              <w:t>注：2#二级活性炭箱体与1#二级活性炭箱体尺寸一致。</w:t>
            </w:r>
          </w:p>
          <w:p w14:paraId="5C7F1D7C">
            <w:pPr>
              <w:pStyle w:val="8"/>
              <w:spacing w:before="0" w:after="0"/>
              <w:ind w:firstLine="480" w:firstLineChars="200"/>
              <w:rPr>
                <w:rFonts w:hAnsi="宋体"/>
                <w:color w:val="auto"/>
                <w:sz w:val="24"/>
                <w:szCs w:val="24"/>
              </w:rPr>
            </w:pPr>
            <w:r>
              <w:rPr>
                <w:rFonts w:hint="eastAsia" w:hAnsi="宋体"/>
                <w:color w:val="auto"/>
                <w:sz w:val="24"/>
                <w:szCs w:val="24"/>
              </w:rPr>
              <w:t>根据江苏省生态环境厅发布的《省生态环境厅关于将排污单位活性炭使用更换纳入排污许可管理的通知》附件中的公式计算活性炭更换周期：</w:t>
            </w:r>
          </w:p>
          <w:p w14:paraId="5BBE80C0">
            <w:pPr>
              <w:pStyle w:val="11"/>
              <w:numPr>
                <w:ilvl w:val="0"/>
                <w:numId w:val="0"/>
              </w:numPr>
              <w:spacing w:line="360" w:lineRule="auto"/>
              <w:ind w:firstLine="480" w:firstLineChars="200"/>
              <w:rPr>
                <w:color w:val="auto"/>
                <w:sz w:val="24"/>
              </w:rPr>
            </w:pPr>
            <w:r>
              <w:rPr>
                <w:rFonts w:hint="eastAsia"/>
                <w:color w:val="auto"/>
                <w:sz w:val="24"/>
              </w:rPr>
              <w:t>T=m×s÷（c×10</w:t>
            </w:r>
            <w:r>
              <w:rPr>
                <w:rFonts w:hint="eastAsia"/>
                <w:color w:val="auto"/>
                <w:sz w:val="24"/>
                <w:vertAlign w:val="superscript"/>
              </w:rPr>
              <w:t>-6</w:t>
            </w:r>
            <w:r>
              <w:rPr>
                <w:rFonts w:hint="eastAsia"/>
                <w:color w:val="auto"/>
                <w:sz w:val="24"/>
              </w:rPr>
              <w:t>×Q×t）</w:t>
            </w:r>
          </w:p>
          <w:p w14:paraId="6E9BDAC8">
            <w:pPr>
              <w:pStyle w:val="11"/>
              <w:numPr>
                <w:ilvl w:val="0"/>
                <w:numId w:val="0"/>
              </w:numPr>
              <w:spacing w:line="360" w:lineRule="auto"/>
              <w:ind w:firstLine="480" w:firstLineChars="200"/>
              <w:rPr>
                <w:color w:val="auto"/>
                <w:sz w:val="24"/>
              </w:rPr>
            </w:pPr>
            <w:r>
              <w:rPr>
                <w:rFonts w:hint="eastAsia"/>
                <w:color w:val="auto"/>
                <w:sz w:val="24"/>
              </w:rPr>
              <w:t>式中：</w:t>
            </w:r>
          </w:p>
          <w:p w14:paraId="3D474A02">
            <w:pPr>
              <w:pStyle w:val="11"/>
              <w:numPr>
                <w:ilvl w:val="0"/>
                <w:numId w:val="0"/>
              </w:numPr>
              <w:spacing w:line="360" w:lineRule="auto"/>
              <w:ind w:firstLine="480" w:firstLineChars="200"/>
              <w:rPr>
                <w:color w:val="auto"/>
                <w:sz w:val="24"/>
              </w:rPr>
            </w:pPr>
            <w:r>
              <w:rPr>
                <w:rFonts w:hint="eastAsia"/>
                <w:color w:val="auto"/>
                <w:sz w:val="24"/>
              </w:rPr>
              <w:t>T—更换周期，天；</w:t>
            </w:r>
          </w:p>
          <w:p w14:paraId="74CBB76B">
            <w:pPr>
              <w:pStyle w:val="11"/>
              <w:numPr>
                <w:ilvl w:val="0"/>
                <w:numId w:val="0"/>
              </w:numPr>
              <w:spacing w:line="360" w:lineRule="auto"/>
              <w:ind w:firstLine="480" w:firstLineChars="200"/>
              <w:rPr>
                <w:color w:val="auto"/>
                <w:sz w:val="24"/>
              </w:rPr>
            </w:pPr>
            <w:r>
              <w:rPr>
                <w:rFonts w:hint="eastAsia"/>
                <w:color w:val="auto"/>
                <w:sz w:val="24"/>
              </w:rPr>
              <w:t>m—活性炭的用量，kg；</w:t>
            </w:r>
          </w:p>
          <w:p w14:paraId="65B70B44">
            <w:pPr>
              <w:pStyle w:val="11"/>
              <w:numPr>
                <w:ilvl w:val="0"/>
                <w:numId w:val="0"/>
              </w:numPr>
              <w:spacing w:line="360" w:lineRule="auto"/>
              <w:ind w:firstLine="480" w:firstLineChars="200"/>
              <w:rPr>
                <w:color w:val="auto"/>
                <w:sz w:val="24"/>
              </w:rPr>
            </w:pPr>
            <w:r>
              <w:rPr>
                <w:rFonts w:hint="eastAsia"/>
                <w:color w:val="auto"/>
                <w:sz w:val="24"/>
              </w:rPr>
              <w:t>s—动态吸附量，%；</w:t>
            </w:r>
          </w:p>
          <w:p w14:paraId="789122AB">
            <w:pPr>
              <w:pStyle w:val="11"/>
              <w:numPr>
                <w:ilvl w:val="0"/>
                <w:numId w:val="0"/>
              </w:numPr>
              <w:spacing w:line="360" w:lineRule="auto"/>
              <w:ind w:firstLine="480" w:firstLineChars="200"/>
              <w:rPr>
                <w:color w:val="auto"/>
                <w:sz w:val="24"/>
              </w:rPr>
            </w:pPr>
            <w:r>
              <w:rPr>
                <w:rFonts w:hint="eastAsia"/>
                <w:color w:val="auto"/>
                <w:sz w:val="24"/>
              </w:rPr>
              <w:t>c—活性炭削减的VOCs浓度，mg/m</w:t>
            </w:r>
            <w:r>
              <w:rPr>
                <w:rFonts w:hint="eastAsia"/>
                <w:color w:val="auto"/>
                <w:sz w:val="24"/>
                <w:vertAlign w:val="superscript"/>
              </w:rPr>
              <w:t>3</w:t>
            </w:r>
            <w:r>
              <w:rPr>
                <w:rFonts w:hint="eastAsia"/>
                <w:color w:val="auto"/>
                <w:sz w:val="24"/>
              </w:rPr>
              <w:t>；</w:t>
            </w:r>
          </w:p>
          <w:p w14:paraId="38A593AC">
            <w:pPr>
              <w:pStyle w:val="11"/>
              <w:numPr>
                <w:ilvl w:val="0"/>
                <w:numId w:val="0"/>
              </w:numPr>
              <w:spacing w:line="360" w:lineRule="auto"/>
              <w:ind w:firstLine="480" w:firstLineChars="200"/>
              <w:rPr>
                <w:color w:val="auto"/>
                <w:sz w:val="24"/>
              </w:rPr>
            </w:pPr>
            <w:r>
              <w:rPr>
                <w:rFonts w:hint="eastAsia"/>
                <w:color w:val="auto"/>
                <w:sz w:val="24"/>
              </w:rPr>
              <w:t>Q—风量，单位m</w:t>
            </w:r>
            <w:r>
              <w:rPr>
                <w:rFonts w:hint="eastAsia"/>
                <w:color w:val="auto"/>
                <w:sz w:val="24"/>
                <w:vertAlign w:val="superscript"/>
              </w:rPr>
              <w:t>3</w:t>
            </w:r>
            <w:r>
              <w:rPr>
                <w:rFonts w:hint="eastAsia"/>
                <w:color w:val="auto"/>
                <w:sz w:val="24"/>
              </w:rPr>
              <w:t>/h；</w:t>
            </w:r>
          </w:p>
          <w:p w14:paraId="1A22E863">
            <w:pPr>
              <w:pStyle w:val="11"/>
              <w:numPr>
                <w:ilvl w:val="0"/>
                <w:numId w:val="0"/>
              </w:numPr>
              <w:spacing w:line="360" w:lineRule="auto"/>
              <w:ind w:firstLine="480" w:firstLineChars="200"/>
              <w:rPr>
                <w:color w:val="auto"/>
                <w:sz w:val="24"/>
              </w:rPr>
            </w:pPr>
            <w:r>
              <w:rPr>
                <w:rFonts w:hint="eastAsia"/>
                <w:color w:val="auto"/>
                <w:sz w:val="24"/>
              </w:rPr>
              <w:t>t—运行时间，单位h/d。</w:t>
            </w:r>
          </w:p>
          <w:p w14:paraId="0C1AD9C6">
            <w:pPr>
              <w:spacing w:line="0" w:lineRule="atLeast"/>
              <w:ind w:firstLine="482"/>
              <w:jc w:val="center"/>
              <w:rPr>
                <w:b/>
                <w:bCs/>
                <w:color w:val="auto"/>
                <w:kern w:val="0"/>
                <w:sz w:val="24"/>
              </w:rPr>
            </w:pPr>
            <w:r>
              <w:rPr>
                <w:rFonts w:hAnsi="宋体"/>
                <w:b/>
                <w:bCs/>
                <w:color w:val="auto"/>
                <w:kern w:val="0"/>
                <w:sz w:val="24"/>
              </w:rPr>
              <w:t>表</w:t>
            </w:r>
            <w:r>
              <w:rPr>
                <w:rFonts w:hint="eastAsia"/>
                <w:b/>
                <w:bCs/>
                <w:color w:val="auto"/>
                <w:kern w:val="0"/>
                <w:sz w:val="24"/>
              </w:rPr>
              <w:t>4</w:t>
            </w:r>
            <w:r>
              <w:rPr>
                <w:b/>
                <w:bCs/>
                <w:color w:val="auto"/>
                <w:kern w:val="0"/>
                <w:sz w:val="24"/>
              </w:rPr>
              <w:t>-</w:t>
            </w:r>
            <w:r>
              <w:rPr>
                <w:rFonts w:hint="eastAsia"/>
                <w:b/>
                <w:bCs/>
                <w:color w:val="auto"/>
                <w:kern w:val="0"/>
                <w:sz w:val="24"/>
              </w:rPr>
              <w:t xml:space="preserve">9  </w:t>
            </w:r>
            <w:r>
              <w:rPr>
                <w:rFonts w:hint="eastAsia" w:hAnsi="宋体"/>
                <w:b/>
                <w:bCs/>
                <w:color w:val="auto"/>
                <w:kern w:val="0"/>
                <w:sz w:val="24"/>
              </w:rPr>
              <w:t>活性炭更换周期</w:t>
            </w:r>
            <w:r>
              <w:rPr>
                <w:rFonts w:hAnsi="宋体"/>
                <w:b/>
                <w:bCs/>
                <w:color w:val="auto"/>
                <w:kern w:val="0"/>
                <w:sz w:val="24"/>
              </w:rPr>
              <w:t>一览表</w:t>
            </w:r>
          </w:p>
          <w:tbl>
            <w:tblPr>
              <w:tblStyle w:val="22"/>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5"/>
              <w:gridCol w:w="1150"/>
              <w:gridCol w:w="1211"/>
              <w:gridCol w:w="1363"/>
              <w:gridCol w:w="1356"/>
              <w:gridCol w:w="980"/>
              <w:gridCol w:w="997"/>
              <w:gridCol w:w="1344"/>
            </w:tblGrid>
            <w:tr w14:paraId="5B7D4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9" w:type="pct"/>
                  <w:tcBorders>
                    <w:top w:val="single" w:color="000000" w:sz="4" w:space="0"/>
                    <w:left w:val="single" w:color="000000" w:sz="4" w:space="0"/>
                    <w:bottom w:val="single" w:color="000000" w:sz="4" w:space="0"/>
                    <w:right w:val="single" w:color="000000" w:sz="4" w:space="0"/>
                  </w:tcBorders>
                  <w:vAlign w:val="center"/>
                </w:tcPr>
                <w:p w14:paraId="1DC641D5">
                  <w:pPr>
                    <w:spacing w:line="0" w:lineRule="atLeast"/>
                    <w:jc w:val="center"/>
                    <w:rPr>
                      <w:b/>
                      <w:color w:val="auto"/>
                    </w:rPr>
                  </w:pPr>
                  <w:r>
                    <w:rPr>
                      <w:rFonts w:hAnsi="宋体"/>
                      <w:b/>
                      <w:color w:val="auto"/>
                    </w:rPr>
                    <w:t>序号</w:t>
                  </w:r>
                </w:p>
              </w:tc>
              <w:tc>
                <w:tcPr>
                  <w:tcW w:w="643" w:type="pct"/>
                  <w:tcBorders>
                    <w:top w:val="single" w:color="000000" w:sz="4" w:space="0"/>
                    <w:left w:val="single" w:color="000000" w:sz="4" w:space="0"/>
                    <w:bottom w:val="single" w:color="000000" w:sz="4" w:space="0"/>
                    <w:right w:val="single" w:color="000000" w:sz="4" w:space="0"/>
                  </w:tcBorders>
                  <w:vAlign w:val="center"/>
                </w:tcPr>
                <w:p w14:paraId="41AE4FAB">
                  <w:pPr>
                    <w:spacing w:line="0" w:lineRule="atLeast"/>
                    <w:jc w:val="center"/>
                    <w:rPr>
                      <w:rFonts w:hAnsi="宋体"/>
                      <w:b/>
                      <w:color w:val="auto"/>
                    </w:rPr>
                  </w:pPr>
                  <w:r>
                    <w:rPr>
                      <w:rFonts w:hint="eastAsia" w:hAnsi="宋体"/>
                      <w:b/>
                      <w:color w:val="auto"/>
                    </w:rPr>
                    <w:t>装置名称</w:t>
                  </w:r>
                </w:p>
              </w:tc>
              <w:tc>
                <w:tcPr>
                  <w:tcW w:w="677" w:type="pct"/>
                  <w:tcBorders>
                    <w:top w:val="single" w:color="000000" w:sz="4" w:space="0"/>
                    <w:left w:val="single" w:color="000000" w:sz="4" w:space="0"/>
                    <w:bottom w:val="single" w:color="000000" w:sz="4" w:space="0"/>
                    <w:right w:val="single" w:color="000000" w:sz="4" w:space="0"/>
                  </w:tcBorders>
                  <w:vAlign w:val="center"/>
                </w:tcPr>
                <w:p w14:paraId="2D5BAE68">
                  <w:pPr>
                    <w:spacing w:line="0" w:lineRule="atLeast"/>
                    <w:jc w:val="center"/>
                    <w:rPr>
                      <w:b/>
                      <w:color w:val="auto"/>
                    </w:rPr>
                  </w:pPr>
                  <w:r>
                    <w:rPr>
                      <w:rFonts w:hint="eastAsia" w:hAnsi="宋体"/>
                      <w:b/>
                      <w:color w:val="auto"/>
                    </w:rPr>
                    <w:t>活性炭用量（kg)</w:t>
                  </w:r>
                </w:p>
              </w:tc>
              <w:tc>
                <w:tcPr>
                  <w:tcW w:w="762" w:type="pct"/>
                  <w:tcBorders>
                    <w:top w:val="single" w:color="000000" w:sz="4" w:space="0"/>
                    <w:left w:val="single" w:color="000000" w:sz="4" w:space="0"/>
                    <w:bottom w:val="single" w:color="000000" w:sz="4" w:space="0"/>
                    <w:right w:val="single" w:color="000000" w:sz="4" w:space="0"/>
                  </w:tcBorders>
                  <w:vAlign w:val="center"/>
                </w:tcPr>
                <w:p w14:paraId="1F3AC0C9">
                  <w:pPr>
                    <w:spacing w:line="0" w:lineRule="atLeast"/>
                    <w:jc w:val="center"/>
                    <w:rPr>
                      <w:b/>
                      <w:color w:val="auto"/>
                    </w:rPr>
                  </w:pPr>
                  <w:r>
                    <w:rPr>
                      <w:rFonts w:hint="eastAsia"/>
                      <w:b/>
                      <w:color w:val="auto"/>
                    </w:rPr>
                    <w:t>动态吸附量（%）</w:t>
                  </w:r>
                </w:p>
              </w:tc>
              <w:tc>
                <w:tcPr>
                  <w:tcW w:w="758" w:type="pct"/>
                  <w:tcBorders>
                    <w:top w:val="single" w:color="000000" w:sz="4" w:space="0"/>
                    <w:left w:val="single" w:color="000000" w:sz="4" w:space="0"/>
                    <w:bottom w:val="single" w:color="000000" w:sz="4" w:space="0"/>
                    <w:right w:val="single" w:color="000000" w:sz="4" w:space="0"/>
                  </w:tcBorders>
                  <w:vAlign w:val="center"/>
                </w:tcPr>
                <w:p w14:paraId="1B879FED">
                  <w:pPr>
                    <w:spacing w:line="0" w:lineRule="atLeast"/>
                    <w:jc w:val="center"/>
                    <w:rPr>
                      <w:b/>
                      <w:color w:val="auto"/>
                    </w:rPr>
                  </w:pPr>
                  <w:r>
                    <w:rPr>
                      <w:rFonts w:hint="eastAsia" w:hAnsi="宋体"/>
                      <w:b/>
                      <w:color w:val="auto"/>
                    </w:rPr>
                    <w:t>活性炭削减VOCs的浓度（mg/m</w:t>
                  </w:r>
                  <w:r>
                    <w:rPr>
                      <w:rFonts w:hint="eastAsia" w:hAnsi="宋体"/>
                      <w:b/>
                      <w:color w:val="auto"/>
                      <w:vertAlign w:val="superscript"/>
                    </w:rPr>
                    <w:t>3</w:t>
                  </w:r>
                  <w:r>
                    <w:rPr>
                      <w:rFonts w:hint="eastAsia" w:hAnsi="宋体"/>
                      <w:b/>
                      <w:color w:val="auto"/>
                    </w:rPr>
                    <w:t>)</w:t>
                  </w:r>
                </w:p>
              </w:tc>
              <w:tc>
                <w:tcPr>
                  <w:tcW w:w="548" w:type="pct"/>
                  <w:tcBorders>
                    <w:top w:val="single" w:color="000000" w:sz="4" w:space="0"/>
                    <w:left w:val="single" w:color="000000" w:sz="4" w:space="0"/>
                    <w:bottom w:val="single" w:color="000000" w:sz="4" w:space="0"/>
                    <w:right w:val="single" w:color="000000" w:sz="4" w:space="0"/>
                  </w:tcBorders>
                  <w:vAlign w:val="center"/>
                </w:tcPr>
                <w:p w14:paraId="07818DF2">
                  <w:pPr>
                    <w:spacing w:line="0" w:lineRule="atLeast"/>
                    <w:jc w:val="center"/>
                    <w:rPr>
                      <w:b/>
                      <w:color w:val="auto"/>
                    </w:rPr>
                  </w:pPr>
                  <w:r>
                    <w:rPr>
                      <w:rFonts w:hint="eastAsia"/>
                      <w:b/>
                      <w:color w:val="auto"/>
                    </w:rPr>
                    <w:t>风量</w:t>
                  </w:r>
                  <w:r>
                    <w:rPr>
                      <w:rFonts w:hint="eastAsia" w:hAnsi="宋体"/>
                      <w:b/>
                      <w:color w:val="auto"/>
                    </w:rPr>
                    <w:t>（m</w:t>
                  </w:r>
                  <w:r>
                    <w:rPr>
                      <w:rFonts w:hint="eastAsia" w:hAnsi="宋体"/>
                      <w:b/>
                      <w:color w:val="auto"/>
                      <w:vertAlign w:val="superscript"/>
                    </w:rPr>
                    <w:t>3</w:t>
                  </w:r>
                  <w:r>
                    <w:rPr>
                      <w:rFonts w:hint="eastAsia" w:hAnsi="宋体"/>
                      <w:b/>
                      <w:color w:val="auto"/>
                    </w:rPr>
                    <w:t>/h)</w:t>
                  </w:r>
                </w:p>
              </w:tc>
              <w:tc>
                <w:tcPr>
                  <w:tcW w:w="557" w:type="pct"/>
                  <w:tcBorders>
                    <w:top w:val="single" w:color="000000" w:sz="4" w:space="0"/>
                    <w:left w:val="single" w:color="000000" w:sz="4" w:space="0"/>
                    <w:bottom w:val="single" w:color="000000" w:sz="4" w:space="0"/>
                    <w:right w:val="single" w:color="000000" w:sz="4" w:space="0"/>
                  </w:tcBorders>
                  <w:vAlign w:val="center"/>
                </w:tcPr>
                <w:p w14:paraId="0946522D">
                  <w:pPr>
                    <w:spacing w:line="0" w:lineRule="atLeast"/>
                    <w:jc w:val="center"/>
                    <w:rPr>
                      <w:b/>
                      <w:color w:val="auto"/>
                    </w:rPr>
                  </w:pPr>
                  <w:r>
                    <w:rPr>
                      <w:rFonts w:hint="eastAsia" w:hAnsi="宋体"/>
                      <w:b/>
                      <w:color w:val="auto"/>
                    </w:rPr>
                    <w:t>运行</w:t>
                  </w:r>
                  <w:r>
                    <w:rPr>
                      <w:rFonts w:hAnsi="宋体"/>
                      <w:b/>
                      <w:color w:val="auto"/>
                    </w:rPr>
                    <w:t>时间（</w:t>
                  </w:r>
                  <w:r>
                    <w:rPr>
                      <w:rFonts w:hint="eastAsia" w:hAnsi="宋体"/>
                      <w:b/>
                      <w:color w:val="auto"/>
                    </w:rPr>
                    <w:t>h</w:t>
                  </w:r>
                  <w:r>
                    <w:rPr>
                      <w:b/>
                      <w:color w:val="auto"/>
                    </w:rPr>
                    <w:t>/</w:t>
                  </w:r>
                  <w:r>
                    <w:rPr>
                      <w:rFonts w:hint="eastAsia" w:hAnsi="宋体"/>
                      <w:b/>
                      <w:color w:val="auto"/>
                    </w:rPr>
                    <w:t>d</w:t>
                  </w:r>
                  <w:r>
                    <w:rPr>
                      <w:rFonts w:hAnsi="宋体"/>
                      <w:b/>
                      <w:color w:val="auto"/>
                    </w:rPr>
                    <w:t>）</w:t>
                  </w:r>
                </w:p>
              </w:tc>
              <w:tc>
                <w:tcPr>
                  <w:tcW w:w="752" w:type="pct"/>
                  <w:tcBorders>
                    <w:top w:val="single" w:color="000000" w:sz="4" w:space="0"/>
                    <w:left w:val="single" w:color="000000" w:sz="4" w:space="0"/>
                    <w:bottom w:val="single" w:color="000000" w:sz="4" w:space="0"/>
                    <w:right w:val="single" w:color="000000" w:sz="4" w:space="0"/>
                  </w:tcBorders>
                  <w:vAlign w:val="center"/>
                </w:tcPr>
                <w:p w14:paraId="3486CA6D">
                  <w:pPr>
                    <w:spacing w:line="0" w:lineRule="atLeast"/>
                    <w:jc w:val="center"/>
                    <w:rPr>
                      <w:b/>
                      <w:color w:val="auto"/>
                    </w:rPr>
                  </w:pPr>
                  <w:r>
                    <w:rPr>
                      <w:rFonts w:hAnsi="宋体"/>
                      <w:b/>
                      <w:color w:val="auto"/>
                    </w:rPr>
                    <w:t>更换周期（</w:t>
                  </w:r>
                  <w:r>
                    <w:rPr>
                      <w:rFonts w:hint="eastAsia" w:hAnsi="宋体"/>
                      <w:b/>
                      <w:color w:val="auto"/>
                    </w:rPr>
                    <w:t>天</w:t>
                  </w:r>
                  <w:r>
                    <w:rPr>
                      <w:rFonts w:hAnsi="宋体"/>
                      <w:b/>
                      <w:color w:val="auto"/>
                    </w:rPr>
                    <w:t>）</w:t>
                  </w:r>
                </w:p>
              </w:tc>
            </w:tr>
            <w:tr w14:paraId="2856F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9" w:type="pct"/>
                  <w:tcBorders>
                    <w:top w:val="single" w:color="000000" w:sz="4" w:space="0"/>
                    <w:left w:val="single" w:color="000000" w:sz="4" w:space="0"/>
                    <w:bottom w:val="single" w:color="000000" w:sz="4" w:space="0"/>
                    <w:right w:val="single" w:color="000000" w:sz="4" w:space="0"/>
                  </w:tcBorders>
                  <w:vAlign w:val="center"/>
                </w:tcPr>
                <w:p w14:paraId="5C0DE143">
                  <w:pPr>
                    <w:spacing w:line="0" w:lineRule="atLeast"/>
                    <w:jc w:val="center"/>
                    <w:rPr>
                      <w:rFonts w:hAnsi="宋体"/>
                      <w:bCs/>
                      <w:color w:val="auto"/>
                    </w:rPr>
                  </w:pPr>
                  <w:r>
                    <w:rPr>
                      <w:rFonts w:hint="eastAsia" w:hAnsi="宋体"/>
                      <w:bCs/>
                      <w:color w:val="auto"/>
                    </w:rPr>
                    <w:t>1</w:t>
                  </w:r>
                </w:p>
              </w:tc>
              <w:tc>
                <w:tcPr>
                  <w:tcW w:w="643" w:type="pct"/>
                  <w:tcBorders>
                    <w:top w:val="single" w:color="000000" w:sz="4" w:space="0"/>
                    <w:left w:val="single" w:color="000000" w:sz="4" w:space="0"/>
                    <w:bottom w:val="single" w:color="000000" w:sz="4" w:space="0"/>
                    <w:right w:val="single" w:color="000000" w:sz="4" w:space="0"/>
                  </w:tcBorders>
                  <w:vAlign w:val="center"/>
                </w:tcPr>
                <w:p w14:paraId="2E897720">
                  <w:pPr>
                    <w:pStyle w:val="11"/>
                    <w:numPr>
                      <w:ilvl w:val="0"/>
                      <w:numId w:val="0"/>
                    </w:numPr>
                    <w:jc w:val="center"/>
                    <w:rPr>
                      <w:color w:val="auto"/>
                    </w:rPr>
                  </w:pPr>
                  <w:r>
                    <w:rPr>
                      <w:rFonts w:hint="eastAsia"/>
                      <w:color w:val="auto"/>
                    </w:rPr>
                    <w:t>1#活性炭箱体</w:t>
                  </w:r>
                </w:p>
              </w:tc>
              <w:tc>
                <w:tcPr>
                  <w:tcW w:w="677" w:type="pct"/>
                  <w:tcBorders>
                    <w:top w:val="single" w:color="000000" w:sz="4" w:space="0"/>
                    <w:left w:val="single" w:color="000000" w:sz="4" w:space="0"/>
                    <w:bottom w:val="single" w:color="000000" w:sz="4" w:space="0"/>
                    <w:right w:val="single" w:color="000000" w:sz="4" w:space="0"/>
                  </w:tcBorders>
                  <w:vAlign w:val="center"/>
                </w:tcPr>
                <w:p w14:paraId="524E462E">
                  <w:pPr>
                    <w:spacing w:line="0" w:lineRule="atLeast"/>
                    <w:jc w:val="center"/>
                    <w:rPr>
                      <w:rFonts w:hAnsi="宋体"/>
                      <w:bCs/>
                      <w:color w:val="auto"/>
                    </w:rPr>
                  </w:pPr>
                  <w:r>
                    <w:rPr>
                      <w:rFonts w:hint="eastAsia" w:hAnsi="宋体"/>
                      <w:bCs/>
                      <w:color w:val="auto"/>
                    </w:rPr>
                    <w:t>630</w:t>
                  </w:r>
                </w:p>
              </w:tc>
              <w:tc>
                <w:tcPr>
                  <w:tcW w:w="762" w:type="pct"/>
                  <w:tcBorders>
                    <w:top w:val="single" w:color="000000" w:sz="4" w:space="0"/>
                    <w:left w:val="single" w:color="000000" w:sz="4" w:space="0"/>
                    <w:bottom w:val="single" w:color="000000" w:sz="4" w:space="0"/>
                    <w:right w:val="single" w:color="000000" w:sz="4" w:space="0"/>
                  </w:tcBorders>
                  <w:vAlign w:val="center"/>
                </w:tcPr>
                <w:p w14:paraId="428ABC63">
                  <w:pPr>
                    <w:spacing w:line="0" w:lineRule="atLeast"/>
                    <w:jc w:val="center"/>
                    <w:rPr>
                      <w:bCs/>
                      <w:color w:val="auto"/>
                    </w:rPr>
                  </w:pPr>
                  <w:r>
                    <w:rPr>
                      <w:rFonts w:hint="eastAsia"/>
                      <w:bCs/>
                      <w:color w:val="auto"/>
                    </w:rPr>
                    <w:t>10%</w:t>
                  </w:r>
                </w:p>
              </w:tc>
              <w:tc>
                <w:tcPr>
                  <w:tcW w:w="758" w:type="pct"/>
                  <w:tcBorders>
                    <w:top w:val="single" w:color="000000" w:sz="4" w:space="0"/>
                    <w:left w:val="single" w:color="000000" w:sz="4" w:space="0"/>
                    <w:bottom w:val="single" w:color="000000" w:sz="4" w:space="0"/>
                    <w:right w:val="single" w:color="000000" w:sz="4" w:space="0"/>
                  </w:tcBorders>
                  <w:vAlign w:val="center"/>
                </w:tcPr>
                <w:p w14:paraId="1F078105">
                  <w:pPr>
                    <w:spacing w:line="0" w:lineRule="atLeast"/>
                    <w:jc w:val="center"/>
                    <w:rPr>
                      <w:rFonts w:hAnsi="宋体"/>
                      <w:bCs/>
                      <w:color w:val="auto"/>
                    </w:rPr>
                  </w:pPr>
                  <w:r>
                    <w:rPr>
                      <w:rFonts w:hint="eastAsia" w:hAnsi="宋体"/>
                      <w:bCs/>
                      <w:color w:val="auto"/>
                    </w:rPr>
                    <w:t>13.18</w:t>
                  </w:r>
                </w:p>
              </w:tc>
              <w:tc>
                <w:tcPr>
                  <w:tcW w:w="548" w:type="pct"/>
                  <w:tcBorders>
                    <w:top w:val="single" w:color="000000" w:sz="4" w:space="0"/>
                    <w:left w:val="single" w:color="000000" w:sz="4" w:space="0"/>
                    <w:bottom w:val="single" w:color="000000" w:sz="4" w:space="0"/>
                    <w:right w:val="single" w:color="000000" w:sz="4" w:space="0"/>
                  </w:tcBorders>
                  <w:vAlign w:val="center"/>
                </w:tcPr>
                <w:p w14:paraId="144974B8">
                  <w:pPr>
                    <w:spacing w:line="0" w:lineRule="atLeast"/>
                    <w:jc w:val="center"/>
                    <w:rPr>
                      <w:bCs/>
                      <w:color w:val="auto"/>
                    </w:rPr>
                  </w:pPr>
                  <w:r>
                    <w:rPr>
                      <w:rFonts w:hint="eastAsia"/>
                      <w:bCs/>
                      <w:color w:val="auto"/>
                    </w:rPr>
                    <w:t>10000</w:t>
                  </w:r>
                </w:p>
              </w:tc>
              <w:tc>
                <w:tcPr>
                  <w:tcW w:w="557" w:type="pct"/>
                  <w:tcBorders>
                    <w:top w:val="single" w:color="000000" w:sz="4" w:space="0"/>
                    <w:left w:val="single" w:color="000000" w:sz="4" w:space="0"/>
                    <w:bottom w:val="single" w:color="000000" w:sz="4" w:space="0"/>
                    <w:right w:val="single" w:color="000000" w:sz="4" w:space="0"/>
                  </w:tcBorders>
                  <w:vAlign w:val="center"/>
                </w:tcPr>
                <w:p w14:paraId="26742A41">
                  <w:pPr>
                    <w:spacing w:line="0" w:lineRule="atLeast"/>
                    <w:jc w:val="center"/>
                    <w:rPr>
                      <w:rFonts w:hAnsi="宋体"/>
                      <w:bCs/>
                      <w:color w:val="auto"/>
                    </w:rPr>
                  </w:pPr>
                  <w:r>
                    <w:rPr>
                      <w:rFonts w:hint="eastAsia" w:hAnsi="宋体"/>
                      <w:bCs/>
                      <w:color w:val="auto"/>
                    </w:rPr>
                    <w:t>8</w:t>
                  </w:r>
                </w:p>
              </w:tc>
              <w:tc>
                <w:tcPr>
                  <w:tcW w:w="752" w:type="pct"/>
                  <w:tcBorders>
                    <w:top w:val="single" w:color="000000" w:sz="4" w:space="0"/>
                    <w:left w:val="single" w:color="000000" w:sz="4" w:space="0"/>
                    <w:bottom w:val="single" w:color="000000" w:sz="4" w:space="0"/>
                    <w:right w:val="single" w:color="000000" w:sz="4" w:space="0"/>
                  </w:tcBorders>
                  <w:vAlign w:val="center"/>
                </w:tcPr>
                <w:p w14:paraId="1B8CBFAE">
                  <w:pPr>
                    <w:spacing w:line="0" w:lineRule="atLeast"/>
                    <w:jc w:val="center"/>
                    <w:rPr>
                      <w:rFonts w:hAnsi="宋体"/>
                      <w:bCs/>
                      <w:color w:val="auto"/>
                    </w:rPr>
                  </w:pPr>
                  <w:r>
                    <w:rPr>
                      <w:rFonts w:hint="eastAsia" w:hAnsi="宋体"/>
                      <w:bCs/>
                      <w:color w:val="auto"/>
                    </w:rPr>
                    <w:t>60</w:t>
                  </w:r>
                </w:p>
              </w:tc>
            </w:tr>
            <w:tr w14:paraId="10AD4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99" w:type="pct"/>
                  <w:tcBorders>
                    <w:top w:val="single" w:color="000000" w:sz="4" w:space="0"/>
                    <w:left w:val="single" w:color="000000" w:sz="4" w:space="0"/>
                    <w:bottom w:val="single" w:color="000000" w:sz="4" w:space="0"/>
                    <w:right w:val="single" w:color="000000" w:sz="4" w:space="0"/>
                  </w:tcBorders>
                  <w:vAlign w:val="center"/>
                </w:tcPr>
                <w:p w14:paraId="562DD6C0">
                  <w:pPr>
                    <w:spacing w:line="0" w:lineRule="atLeast"/>
                    <w:jc w:val="center"/>
                    <w:rPr>
                      <w:rFonts w:hAnsi="宋体"/>
                      <w:bCs/>
                      <w:color w:val="auto"/>
                    </w:rPr>
                  </w:pPr>
                  <w:r>
                    <w:rPr>
                      <w:rFonts w:hint="eastAsia" w:hAnsi="宋体"/>
                      <w:bCs/>
                      <w:color w:val="auto"/>
                    </w:rPr>
                    <w:t>2</w:t>
                  </w:r>
                </w:p>
              </w:tc>
              <w:tc>
                <w:tcPr>
                  <w:tcW w:w="643" w:type="pct"/>
                  <w:tcBorders>
                    <w:top w:val="single" w:color="000000" w:sz="4" w:space="0"/>
                    <w:left w:val="single" w:color="000000" w:sz="4" w:space="0"/>
                    <w:bottom w:val="single" w:color="000000" w:sz="4" w:space="0"/>
                    <w:right w:val="single" w:color="000000" w:sz="4" w:space="0"/>
                  </w:tcBorders>
                  <w:vAlign w:val="center"/>
                </w:tcPr>
                <w:p w14:paraId="38691041">
                  <w:pPr>
                    <w:pStyle w:val="11"/>
                    <w:numPr>
                      <w:ilvl w:val="0"/>
                      <w:numId w:val="0"/>
                    </w:numPr>
                    <w:jc w:val="center"/>
                    <w:rPr>
                      <w:color w:val="auto"/>
                    </w:rPr>
                  </w:pPr>
                  <w:r>
                    <w:rPr>
                      <w:rFonts w:hint="eastAsia"/>
                      <w:color w:val="auto"/>
                    </w:rPr>
                    <w:t>2#活性炭箱体</w:t>
                  </w:r>
                </w:p>
              </w:tc>
              <w:tc>
                <w:tcPr>
                  <w:tcW w:w="677" w:type="pct"/>
                  <w:tcBorders>
                    <w:top w:val="single" w:color="000000" w:sz="4" w:space="0"/>
                    <w:left w:val="single" w:color="000000" w:sz="4" w:space="0"/>
                    <w:bottom w:val="single" w:color="000000" w:sz="4" w:space="0"/>
                    <w:right w:val="single" w:color="000000" w:sz="4" w:space="0"/>
                  </w:tcBorders>
                  <w:vAlign w:val="center"/>
                </w:tcPr>
                <w:p w14:paraId="716840B0">
                  <w:pPr>
                    <w:spacing w:line="0" w:lineRule="atLeast"/>
                    <w:jc w:val="center"/>
                    <w:rPr>
                      <w:rFonts w:hAnsi="宋体"/>
                      <w:bCs/>
                      <w:color w:val="auto"/>
                    </w:rPr>
                  </w:pPr>
                  <w:r>
                    <w:rPr>
                      <w:rFonts w:hint="eastAsia" w:hAnsi="宋体"/>
                      <w:bCs/>
                      <w:color w:val="auto"/>
                    </w:rPr>
                    <w:t>630</w:t>
                  </w:r>
                </w:p>
              </w:tc>
              <w:tc>
                <w:tcPr>
                  <w:tcW w:w="762" w:type="pct"/>
                  <w:tcBorders>
                    <w:top w:val="single" w:color="000000" w:sz="4" w:space="0"/>
                    <w:left w:val="single" w:color="000000" w:sz="4" w:space="0"/>
                    <w:bottom w:val="single" w:color="000000" w:sz="4" w:space="0"/>
                    <w:right w:val="single" w:color="000000" w:sz="4" w:space="0"/>
                  </w:tcBorders>
                  <w:vAlign w:val="center"/>
                </w:tcPr>
                <w:p w14:paraId="632C5F82">
                  <w:pPr>
                    <w:spacing w:line="0" w:lineRule="atLeast"/>
                    <w:jc w:val="center"/>
                    <w:rPr>
                      <w:bCs/>
                      <w:color w:val="auto"/>
                    </w:rPr>
                  </w:pPr>
                  <w:r>
                    <w:rPr>
                      <w:rFonts w:hint="eastAsia"/>
                      <w:bCs/>
                      <w:color w:val="auto"/>
                    </w:rPr>
                    <w:t>10%</w:t>
                  </w:r>
                </w:p>
              </w:tc>
              <w:tc>
                <w:tcPr>
                  <w:tcW w:w="758" w:type="pct"/>
                  <w:tcBorders>
                    <w:top w:val="single" w:color="000000" w:sz="4" w:space="0"/>
                    <w:left w:val="single" w:color="000000" w:sz="4" w:space="0"/>
                    <w:bottom w:val="single" w:color="000000" w:sz="4" w:space="0"/>
                    <w:right w:val="single" w:color="000000" w:sz="4" w:space="0"/>
                  </w:tcBorders>
                  <w:vAlign w:val="center"/>
                </w:tcPr>
                <w:p w14:paraId="2A7F2B07">
                  <w:pPr>
                    <w:spacing w:line="0" w:lineRule="atLeast"/>
                    <w:jc w:val="center"/>
                    <w:rPr>
                      <w:rFonts w:hAnsi="宋体"/>
                      <w:bCs/>
                      <w:color w:val="auto"/>
                    </w:rPr>
                  </w:pPr>
                  <w:r>
                    <w:rPr>
                      <w:rFonts w:hint="eastAsia" w:hAnsi="宋体"/>
                      <w:bCs/>
                      <w:color w:val="auto"/>
                    </w:rPr>
                    <w:t>13.18</w:t>
                  </w:r>
                </w:p>
              </w:tc>
              <w:tc>
                <w:tcPr>
                  <w:tcW w:w="548" w:type="pct"/>
                  <w:tcBorders>
                    <w:top w:val="single" w:color="000000" w:sz="4" w:space="0"/>
                    <w:left w:val="single" w:color="000000" w:sz="4" w:space="0"/>
                    <w:bottom w:val="single" w:color="000000" w:sz="4" w:space="0"/>
                    <w:right w:val="single" w:color="000000" w:sz="4" w:space="0"/>
                  </w:tcBorders>
                  <w:vAlign w:val="center"/>
                </w:tcPr>
                <w:p w14:paraId="7AE5DE28">
                  <w:pPr>
                    <w:spacing w:line="0" w:lineRule="atLeast"/>
                    <w:jc w:val="center"/>
                    <w:rPr>
                      <w:bCs/>
                      <w:color w:val="auto"/>
                    </w:rPr>
                  </w:pPr>
                  <w:r>
                    <w:rPr>
                      <w:rFonts w:hint="eastAsia"/>
                      <w:bCs/>
                      <w:color w:val="auto"/>
                    </w:rPr>
                    <w:t>10000</w:t>
                  </w:r>
                </w:p>
              </w:tc>
              <w:tc>
                <w:tcPr>
                  <w:tcW w:w="557" w:type="pct"/>
                  <w:tcBorders>
                    <w:top w:val="single" w:color="000000" w:sz="4" w:space="0"/>
                    <w:left w:val="single" w:color="000000" w:sz="4" w:space="0"/>
                    <w:bottom w:val="single" w:color="000000" w:sz="4" w:space="0"/>
                    <w:right w:val="single" w:color="000000" w:sz="4" w:space="0"/>
                  </w:tcBorders>
                  <w:vAlign w:val="center"/>
                </w:tcPr>
                <w:p w14:paraId="7B1E5D1D">
                  <w:pPr>
                    <w:spacing w:line="0" w:lineRule="atLeast"/>
                    <w:jc w:val="center"/>
                    <w:rPr>
                      <w:rFonts w:hAnsi="宋体"/>
                      <w:bCs/>
                      <w:color w:val="auto"/>
                    </w:rPr>
                  </w:pPr>
                  <w:r>
                    <w:rPr>
                      <w:rFonts w:hint="eastAsia" w:hAnsi="宋体"/>
                      <w:bCs/>
                      <w:color w:val="auto"/>
                    </w:rPr>
                    <w:t>8</w:t>
                  </w:r>
                </w:p>
              </w:tc>
              <w:tc>
                <w:tcPr>
                  <w:tcW w:w="752" w:type="pct"/>
                  <w:tcBorders>
                    <w:top w:val="single" w:color="000000" w:sz="4" w:space="0"/>
                    <w:left w:val="single" w:color="000000" w:sz="4" w:space="0"/>
                    <w:bottom w:val="single" w:color="000000" w:sz="4" w:space="0"/>
                    <w:right w:val="single" w:color="000000" w:sz="4" w:space="0"/>
                  </w:tcBorders>
                  <w:vAlign w:val="center"/>
                </w:tcPr>
                <w:p w14:paraId="58353738">
                  <w:pPr>
                    <w:spacing w:line="0" w:lineRule="atLeast"/>
                    <w:jc w:val="center"/>
                    <w:rPr>
                      <w:rFonts w:hAnsi="宋体"/>
                      <w:bCs/>
                      <w:color w:val="auto"/>
                    </w:rPr>
                  </w:pPr>
                  <w:r>
                    <w:rPr>
                      <w:rFonts w:hint="eastAsia" w:hAnsi="宋体"/>
                      <w:bCs/>
                      <w:color w:val="auto"/>
                    </w:rPr>
                    <w:t>60</w:t>
                  </w:r>
                </w:p>
              </w:tc>
            </w:tr>
          </w:tbl>
          <w:p w14:paraId="4D4B01B1">
            <w:pPr>
              <w:pStyle w:val="8"/>
              <w:spacing w:before="0" w:after="0"/>
              <w:ind w:firstLine="480" w:firstLineChars="200"/>
              <w:rPr>
                <w:rFonts w:hAnsi="宋体"/>
                <w:color w:val="auto"/>
                <w:sz w:val="24"/>
                <w:szCs w:val="24"/>
                <w:lang w:val="zh-CN"/>
              </w:rPr>
            </w:pPr>
            <w:r>
              <w:rPr>
                <w:rFonts w:hAnsi="宋体"/>
                <w:color w:val="auto"/>
                <w:sz w:val="24"/>
                <w:szCs w:val="24"/>
                <w:lang w:val="zh-CN"/>
              </w:rPr>
              <w:t>根据计算所得，本项目</w:t>
            </w:r>
            <w:r>
              <w:rPr>
                <w:rFonts w:hint="eastAsia" w:hAnsi="宋体"/>
                <w:color w:val="auto"/>
                <w:sz w:val="24"/>
                <w:szCs w:val="24"/>
              </w:rPr>
              <w:t>1#、2#</w:t>
            </w:r>
            <w:r>
              <w:rPr>
                <w:rFonts w:hAnsi="宋体"/>
                <w:color w:val="auto"/>
                <w:sz w:val="24"/>
                <w:szCs w:val="24"/>
                <w:lang w:val="zh-CN"/>
              </w:rPr>
              <w:t>活性炭</w:t>
            </w:r>
            <w:r>
              <w:rPr>
                <w:rFonts w:hint="eastAsia" w:hAnsi="宋体"/>
                <w:color w:val="auto"/>
                <w:sz w:val="24"/>
                <w:szCs w:val="24"/>
                <w:lang w:val="zh-CN"/>
              </w:rPr>
              <w:t>箱体</w:t>
            </w:r>
            <w:r>
              <w:rPr>
                <w:rFonts w:hint="eastAsia" w:hAnsi="宋体"/>
                <w:color w:val="auto"/>
                <w:sz w:val="24"/>
                <w:szCs w:val="24"/>
              </w:rPr>
              <w:t>每2月更换一次。</w:t>
            </w:r>
          </w:p>
          <w:p w14:paraId="3913E65D">
            <w:pPr>
              <w:pStyle w:val="8"/>
              <w:spacing w:before="0" w:after="0"/>
              <w:ind w:firstLine="480" w:firstLineChars="200"/>
              <w:rPr>
                <w:rFonts w:eastAsia="Times New Roman"/>
                <w:color w:val="auto"/>
                <w:sz w:val="24"/>
                <w:szCs w:val="24"/>
                <w:lang w:val="zh-CN"/>
              </w:rPr>
            </w:pPr>
            <w:r>
              <w:rPr>
                <w:rFonts w:hAnsi="宋体"/>
                <w:color w:val="auto"/>
                <w:sz w:val="24"/>
                <w:szCs w:val="24"/>
                <w:lang w:val="zh-CN"/>
              </w:rPr>
              <w:t>由以上分析可知</w:t>
            </w:r>
            <w:r>
              <w:rPr>
                <w:rFonts w:hint="eastAsia" w:hAnsi="宋体"/>
                <w:color w:val="auto"/>
                <w:sz w:val="24"/>
                <w:szCs w:val="24"/>
                <w:lang w:val="zh-CN"/>
              </w:rPr>
              <w:t>，</w:t>
            </w:r>
            <w:r>
              <w:rPr>
                <w:rFonts w:hAnsi="宋体"/>
                <w:color w:val="auto"/>
                <w:sz w:val="24"/>
                <w:szCs w:val="24"/>
                <w:lang w:val="zh-CN"/>
              </w:rPr>
              <w:t>本项目采用二级活性炭吸收技术处理本项目产生的非甲烷总烃为可行技术，建设单位委托设计单位进行废气处理设施的设计时，应严格按照《吸附法工业有机废气治理工程技术规范》（HJ2026-2013）的要求进行设计，可确保废气去除效率达到90%。</w:t>
            </w:r>
          </w:p>
          <w:p w14:paraId="5040CDDF">
            <w:pPr>
              <w:spacing w:line="360" w:lineRule="auto"/>
              <w:ind w:firstLine="480" w:firstLineChars="200"/>
              <w:rPr>
                <w:rFonts w:ascii="宋体" w:hAnsi="宋体" w:cs="宋体"/>
                <w:color w:val="auto"/>
                <w:sz w:val="24"/>
                <w:szCs w:val="24"/>
              </w:rPr>
            </w:pPr>
            <w:r>
              <w:rPr>
                <w:rFonts w:hAnsi="宋体" w:cs="宋体"/>
                <w:color w:val="auto"/>
                <w:kern w:val="0"/>
                <w:sz w:val="24"/>
              </w:rPr>
              <w:fldChar w:fldCharType="begin"/>
            </w:r>
            <w:r>
              <w:rPr>
                <w:rFonts w:hAnsi="宋体" w:cs="宋体"/>
                <w:color w:val="auto"/>
                <w:kern w:val="0"/>
                <w:sz w:val="24"/>
              </w:rPr>
              <w:instrText xml:space="preserve"> = 2 \* GB3 \* MERGEFORMAT </w:instrText>
            </w:r>
            <w:r>
              <w:rPr>
                <w:rFonts w:hAnsi="宋体" w:cs="宋体"/>
                <w:color w:val="auto"/>
                <w:kern w:val="0"/>
                <w:sz w:val="24"/>
              </w:rPr>
              <w:fldChar w:fldCharType="separate"/>
            </w:r>
            <w:r>
              <w:rPr>
                <w:rFonts w:hAnsi="宋体" w:cs="宋体"/>
                <w:color w:val="auto"/>
                <w:kern w:val="0"/>
                <w:sz w:val="24"/>
              </w:rPr>
              <w:t>②</w:t>
            </w:r>
            <w:r>
              <w:rPr>
                <w:rFonts w:hAnsi="宋体" w:cs="宋体"/>
                <w:color w:val="auto"/>
                <w:kern w:val="0"/>
                <w:sz w:val="24"/>
              </w:rPr>
              <w:fldChar w:fldCharType="end"/>
            </w:r>
            <w:r>
              <w:rPr>
                <w:rFonts w:hint="eastAsia" w:hAnsi="宋体" w:cs="宋体"/>
                <w:color w:val="auto"/>
                <w:kern w:val="0"/>
                <w:sz w:val="24"/>
              </w:rPr>
              <w:t>收集效率可行性</w:t>
            </w:r>
          </w:p>
          <w:p w14:paraId="0F49E03C">
            <w:pPr>
              <w:spacing w:line="360" w:lineRule="auto"/>
              <w:ind w:firstLine="480"/>
              <w:rPr>
                <w:color w:val="auto"/>
                <w:sz w:val="24"/>
                <w:szCs w:val="24"/>
                <w:lang w:val="zh-CN"/>
              </w:rPr>
            </w:pPr>
            <w:r>
              <w:rPr>
                <w:rFonts w:hint="eastAsia"/>
                <w:color w:val="auto"/>
                <w:sz w:val="24"/>
                <w:szCs w:val="24"/>
              </w:rPr>
              <w:t>A.</w:t>
            </w:r>
            <w:r>
              <w:rPr>
                <w:color w:val="auto"/>
                <w:sz w:val="24"/>
                <w:szCs w:val="24"/>
                <w:lang w:val="zh-CN"/>
              </w:rPr>
              <w:t>外部吸气罩排风量计算：</w:t>
            </w:r>
          </w:p>
          <w:p w14:paraId="1DC2405D">
            <w:pPr>
              <w:spacing w:line="360" w:lineRule="auto"/>
              <w:ind w:firstLine="480"/>
              <w:rPr>
                <w:color w:val="auto"/>
                <w:sz w:val="24"/>
                <w:szCs w:val="24"/>
                <w:lang w:val="zh-CN"/>
              </w:rPr>
            </w:pPr>
            <w:r>
              <w:rPr>
                <w:color w:val="auto"/>
                <w:sz w:val="24"/>
                <w:szCs w:val="24"/>
                <w:lang w:val="zh-CN"/>
              </w:rPr>
              <w:t>L=KPHVx（m</w:t>
            </w:r>
            <w:r>
              <w:rPr>
                <w:color w:val="auto"/>
                <w:sz w:val="24"/>
                <w:szCs w:val="24"/>
                <w:vertAlign w:val="superscript"/>
                <w:lang w:val="zh-CN"/>
              </w:rPr>
              <w:t>3</w:t>
            </w:r>
            <w:r>
              <w:rPr>
                <w:color w:val="auto"/>
                <w:sz w:val="24"/>
                <w:szCs w:val="24"/>
                <w:lang w:val="zh-CN"/>
              </w:rPr>
              <w:t>/s）</w:t>
            </w:r>
          </w:p>
          <w:p w14:paraId="5551D7DD">
            <w:pPr>
              <w:spacing w:line="360" w:lineRule="auto"/>
              <w:ind w:firstLine="480"/>
              <w:rPr>
                <w:color w:val="auto"/>
                <w:sz w:val="24"/>
                <w:szCs w:val="24"/>
                <w:lang w:val="zh-CN"/>
              </w:rPr>
            </w:pPr>
            <w:r>
              <w:rPr>
                <w:color w:val="auto"/>
                <w:sz w:val="24"/>
                <w:szCs w:val="24"/>
                <w:lang w:val="zh-CN"/>
              </w:rPr>
              <w:t>P</w:t>
            </w:r>
            <w:r>
              <w:rPr>
                <w:rFonts w:hint="eastAsia"/>
                <w:color w:val="auto"/>
                <w:sz w:val="24"/>
                <w:szCs w:val="24"/>
                <w:lang w:val="zh-CN"/>
              </w:rPr>
              <w:t>—</w:t>
            </w:r>
            <w:r>
              <w:rPr>
                <w:color w:val="auto"/>
                <w:sz w:val="24"/>
                <w:szCs w:val="24"/>
                <w:lang w:val="zh-CN"/>
              </w:rPr>
              <w:t>排风罩口敞开面的周长，m；</w:t>
            </w:r>
          </w:p>
          <w:p w14:paraId="5FFCAB1F">
            <w:pPr>
              <w:spacing w:line="360" w:lineRule="auto"/>
              <w:ind w:firstLine="480" w:firstLineChars="200"/>
              <w:rPr>
                <w:color w:val="auto"/>
                <w:sz w:val="24"/>
                <w:szCs w:val="24"/>
                <w:lang w:val="zh-CN"/>
              </w:rPr>
            </w:pPr>
            <w:r>
              <w:rPr>
                <w:color w:val="auto"/>
                <w:sz w:val="24"/>
                <w:szCs w:val="24"/>
                <w:lang w:val="zh-CN"/>
              </w:rPr>
              <w:t>H</w:t>
            </w:r>
            <w:r>
              <w:rPr>
                <w:rFonts w:hint="eastAsia"/>
                <w:color w:val="auto"/>
                <w:sz w:val="24"/>
                <w:szCs w:val="24"/>
                <w:lang w:val="zh-CN"/>
              </w:rPr>
              <w:t>—</w:t>
            </w:r>
            <w:r>
              <w:rPr>
                <w:color w:val="auto"/>
                <w:sz w:val="24"/>
                <w:szCs w:val="24"/>
                <w:lang w:val="zh-CN"/>
              </w:rPr>
              <w:t>罩口至污染源的距离，m；</w:t>
            </w:r>
          </w:p>
          <w:p w14:paraId="3CA9B4EC">
            <w:pPr>
              <w:spacing w:line="360" w:lineRule="auto"/>
              <w:ind w:firstLine="480" w:firstLineChars="200"/>
              <w:rPr>
                <w:color w:val="auto"/>
                <w:sz w:val="24"/>
                <w:szCs w:val="24"/>
                <w:lang w:val="zh-CN"/>
              </w:rPr>
            </w:pPr>
            <w:r>
              <w:rPr>
                <w:color w:val="auto"/>
                <w:sz w:val="24"/>
                <w:szCs w:val="24"/>
                <w:lang w:val="zh-CN"/>
              </w:rPr>
              <w:t>Vx</w:t>
            </w:r>
            <w:r>
              <w:rPr>
                <w:rFonts w:hint="eastAsia"/>
                <w:color w:val="auto"/>
                <w:sz w:val="24"/>
                <w:szCs w:val="24"/>
                <w:lang w:val="zh-CN"/>
              </w:rPr>
              <w:t>—</w:t>
            </w:r>
            <w:r>
              <w:rPr>
                <w:color w:val="auto"/>
                <w:sz w:val="24"/>
                <w:szCs w:val="24"/>
                <w:lang w:val="zh-CN"/>
              </w:rPr>
              <w:t>边缘控制点的控制风速，m/s；</w:t>
            </w:r>
          </w:p>
          <w:p w14:paraId="683068C6">
            <w:pPr>
              <w:spacing w:line="360" w:lineRule="auto"/>
              <w:ind w:firstLine="480" w:firstLineChars="200"/>
              <w:rPr>
                <w:color w:val="auto"/>
                <w:sz w:val="24"/>
                <w:szCs w:val="24"/>
                <w:lang w:val="zh-CN"/>
              </w:rPr>
            </w:pPr>
            <w:r>
              <w:rPr>
                <w:color w:val="auto"/>
                <w:sz w:val="24"/>
                <w:szCs w:val="24"/>
                <w:lang w:val="zh-CN"/>
              </w:rPr>
              <w:t>K</w:t>
            </w:r>
            <w:r>
              <w:rPr>
                <w:rFonts w:hint="eastAsia"/>
                <w:color w:val="auto"/>
                <w:sz w:val="24"/>
                <w:szCs w:val="24"/>
                <w:lang w:val="zh-CN"/>
              </w:rPr>
              <w:t>—</w:t>
            </w:r>
            <w:r>
              <w:rPr>
                <w:color w:val="auto"/>
                <w:sz w:val="24"/>
                <w:szCs w:val="24"/>
                <w:lang w:val="zh-CN"/>
              </w:rPr>
              <w:t>考虑沿高度速度分布不均匀的安全系数，通常取K=1.</w:t>
            </w:r>
            <w:r>
              <w:rPr>
                <w:rFonts w:hint="eastAsia"/>
                <w:color w:val="auto"/>
                <w:sz w:val="24"/>
                <w:szCs w:val="24"/>
              </w:rPr>
              <w:t>4</w:t>
            </w:r>
            <w:r>
              <w:rPr>
                <w:color w:val="auto"/>
                <w:sz w:val="24"/>
                <w:szCs w:val="24"/>
                <w:lang w:val="zh-CN"/>
              </w:rPr>
              <w:t>。</w:t>
            </w:r>
          </w:p>
          <w:p w14:paraId="24253435">
            <w:pPr>
              <w:spacing w:line="360" w:lineRule="auto"/>
              <w:ind w:firstLine="480" w:firstLineChars="200"/>
              <w:rPr>
                <w:color w:val="auto"/>
                <w:sz w:val="24"/>
                <w:szCs w:val="24"/>
                <w:lang w:val="zh-CN"/>
              </w:rPr>
            </w:pPr>
            <w:r>
              <w:rPr>
                <w:color w:val="auto"/>
                <w:sz w:val="24"/>
                <w:szCs w:val="24"/>
                <w:lang w:val="zh-CN"/>
              </w:rPr>
              <w:t>d.废气收集风量及集气罩参数确定</w:t>
            </w:r>
          </w:p>
          <w:p w14:paraId="77C333E9">
            <w:pPr>
              <w:spacing w:line="360" w:lineRule="auto"/>
              <w:ind w:firstLine="480" w:firstLineChars="200"/>
              <w:rPr>
                <w:color w:val="auto"/>
                <w:sz w:val="24"/>
                <w:szCs w:val="24"/>
                <w:lang w:val="zh-CN"/>
              </w:rPr>
            </w:pPr>
            <w:r>
              <w:rPr>
                <w:color w:val="auto"/>
                <w:sz w:val="24"/>
                <w:szCs w:val="24"/>
                <w:lang w:val="zh-CN"/>
              </w:rPr>
              <w:t>本项目废气收集风量及集气罩参数方案由建设单位提供。</w:t>
            </w:r>
          </w:p>
          <w:p w14:paraId="353F1E63">
            <w:pPr>
              <w:spacing w:line="360" w:lineRule="auto"/>
              <w:ind w:firstLine="480" w:firstLineChars="200"/>
              <w:rPr>
                <w:color w:val="auto"/>
                <w:sz w:val="24"/>
                <w:lang w:val="zh-CN"/>
              </w:rPr>
            </w:pPr>
            <w:r>
              <w:rPr>
                <w:rFonts w:hint="eastAsia"/>
                <w:color w:val="auto"/>
                <w:sz w:val="24"/>
                <w:szCs w:val="24"/>
              </w:rPr>
              <w:t>清洗工段分别</w:t>
            </w:r>
            <w:r>
              <w:rPr>
                <w:rFonts w:hint="eastAsia"/>
                <w:color w:val="auto"/>
                <w:sz w:val="24"/>
                <w:szCs w:val="24"/>
                <w:lang w:val="zh-CN"/>
              </w:rPr>
              <w:t>设置</w:t>
            </w:r>
            <w:r>
              <w:rPr>
                <w:rFonts w:hint="eastAsia"/>
                <w:color w:val="auto"/>
                <w:sz w:val="24"/>
                <w:szCs w:val="24"/>
              </w:rPr>
              <w:t>4个集气罩+软帘收集废气，每2个集气罩收集的废气进1套二级活性炭装置处理，</w:t>
            </w:r>
            <w:r>
              <w:rPr>
                <w:color w:val="auto"/>
                <w:sz w:val="24"/>
                <w:szCs w:val="24"/>
                <w:lang w:val="zh-CN"/>
              </w:rPr>
              <w:t>设计尺寸为</w:t>
            </w:r>
            <w:r>
              <w:rPr>
                <w:rFonts w:hint="eastAsia"/>
                <w:color w:val="auto"/>
                <w:sz w:val="24"/>
                <w:szCs w:val="24"/>
              </w:rPr>
              <w:t>2</w:t>
            </w:r>
            <w:r>
              <w:rPr>
                <w:color w:val="auto"/>
                <w:sz w:val="24"/>
                <w:szCs w:val="24"/>
                <w:lang w:val="zh-CN"/>
              </w:rPr>
              <w:t>m*</w:t>
            </w:r>
            <w:r>
              <w:rPr>
                <w:rFonts w:hint="eastAsia"/>
                <w:color w:val="auto"/>
                <w:sz w:val="24"/>
                <w:szCs w:val="24"/>
              </w:rPr>
              <w:t>1</w:t>
            </w:r>
            <w:r>
              <w:rPr>
                <w:color w:val="auto"/>
                <w:sz w:val="24"/>
                <w:szCs w:val="24"/>
                <w:lang w:val="zh-CN"/>
              </w:rPr>
              <w:t>m，罩口至污染源的距离设计参数为</w:t>
            </w:r>
            <w:r>
              <w:rPr>
                <w:rFonts w:hint="eastAsia"/>
                <w:color w:val="auto"/>
                <w:sz w:val="24"/>
                <w:szCs w:val="24"/>
              </w:rPr>
              <w:t>0.5</w:t>
            </w:r>
            <w:r>
              <w:rPr>
                <w:color w:val="auto"/>
                <w:sz w:val="24"/>
                <w:szCs w:val="24"/>
                <w:lang w:val="zh-CN"/>
              </w:rPr>
              <w:t>m，控制流速取</w:t>
            </w:r>
            <w:r>
              <w:rPr>
                <w:rFonts w:hint="eastAsia"/>
                <w:color w:val="auto"/>
                <w:sz w:val="24"/>
                <w:szCs w:val="24"/>
              </w:rPr>
              <w:t>0.3</w:t>
            </w:r>
            <w:r>
              <w:rPr>
                <w:color w:val="auto"/>
                <w:sz w:val="24"/>
                <w:szCs w:val="24"/>
                <w:lang w:val="zh-CN"/>
              </w:rPr>
              <w:t>m/s，经计算，</w:t>
            </w:r>
            <w:r>
              <w:rPr>
                <w:rFonts w:hint="eastAsia"/>
                <w:color w:val="auto"/>
                <w:sz w:val="24"/>
                <w:szCs w:val="24"/>
              </w:rPr>
              <w:t>1#、2#清洗</w:t>
            </w:r>
            <w:r>
              <w:rPr>
                <w:rFonts w:hint="eastAsia"/>
                <w:color w:val="auto"/>
                <w:sz w:val="24"/>
                <w:szCs w:val="24"/>
                <w:lang w:val="zh-CN"/>
              </w:rPr>
              <w:t>废气</w:t>
            </w:r>
            <w:r>
              <w:rPr>
                <w:color w:val="auto"/>
                <w:sz w:val="24"/>
                <w:szCs w:val="24"/>
                <w:lang w:val="zh-CN"/>
              </w:rPr>
              <w:t>集气罩废气引风量</w:t>
            </w:r>
            <w:r>
              <w:rPr>
                <w:rFonts w:hint="eastAsia"/>
                <w:color w:val="auto"/>
                <w:sz w:val="24"/>
                <w:szCs w:val="24"/>
              </w:rPr>
              <w:t>分别</w:t>
            </w:r>
            <w:r>
              <w:rPr>
                <w:color w:val="auto"/>
                <w:sz w:val="24"/>
                <w:szCs w:val="24"/>
                <w:lang w:val="zh-CN"/>
              </w:rPr>
              <w:t>为</w:t>
            </w:r>
            <w:r>
              <w:rPr>
                <w:rFonts w:hint="eastAsia"/>
                <w:color w:val="auto"/>
                <w:sz w:val="24"/>
                <w:szCs w:val="24"/>
              </w:rPr>
              <w:t>9072</w:t>
            </w:r>
            <w:r>
              <w:rPr>
                <w:color w:val="auto"/>
                <w:sz w:val="24"/>
                <w:szCs w:val="24"/>
                <w:lang w:val="zh-CN"/>
              </w:rPr>
              <w:t>m</w:t>
            </w:r>
            <w:r>
              <w:rPr>
                <w:rFonts w:hint="eastAsia"/>
                <w:color w:val="auto"/>
                <w:sz w:val="24"/>
                <w:szCs w:val="24"/>
                <w:vertAlign w:val="superscript"/>
              </w:rPr>
              <w:t>3</w:t>
            </w:r>
            <w:r>
              <w:rPr>
                <w:color w:val="auto"/>
                <w:sz w:val="24"/>
                <w:szCs w:val="24"/>
                <w:lang w:val="zh-CN"/>
              </w:rPr>
              <w:t>/h</w:t>
            </w:r>
            <w:r>
              <w:rPr>
                <w:rFonts w:hint="eastAsia"/>
                <w:color w:val="auto"/>
                <w:sz w:val="24"/>
                <w:szCs w:val="24"/>
                <w:lang w:val="zh-CN"/>
              </w:rPr>
              <w:t>，</w:t>
            </w:r>
            <w:r>
              <w:rPr>
                <w:color w:val="auto"/>
                <w:sz w:val="24"/>
                <w:lang w:val="zh-CN"/>
              </w:rPr>
              <w:t>考虑车间横向气流的干扰因素及实际设计过程中的变化情况，按照</w:t>
            </w:r>
            <w:r>
              <w:rPr>
                <w:rFonts w:hint="eastAsia"/>
                <w:color w:val="auto"/>
                <w:sz w:val="24"/>
                <w:szCs w:val="24"/>
              </w:rPr>
              <w:t>20000</w:t>
            </w:r>
            <w:r>
              <w:rPr>
                <w:color w:val="auto"/>
                <w:sz w:val="24"/>
                <w:szCs w:val="24"/>
                <w:lang w:val="zh-CN"/>
              </w:rPr>
              <w:t>m</w:t>
            </w:r>
            <w:r>
              <w:rPr>
                <w:rFonts w:hint="eastAsia"/>
                <w:color w:val="auto"/>
                <w:sz w:val="24"/>
                <w:szCs w:val="24"/>
                <w:vertAlign w:val="superscript"/>
              </w:rPr>
              <w:t>3</w:t>
            </w:r>
            <w:r>
              <w:rPr>
                <w:color w:val="auto"/>
                <w:sz w:val="24"/>
                <w:szCs w:val="24"/>
                <w:lang w:val="zh-CN"/>
              </w:rPr>
              <w:t>/h</w:t>
            </w:r>
            <w:r>
              <w:rPr>
                <w:color w:val="auto"/>
                <w:sz w:val="24"/>
                <w:lang w:val="zh-CN"/>
              </w:rPr>
              <w:t>的风量收集</w:t>
            </w:r>
            <w:r>
              <w:rPr>
                <w:rFonts w:hint="eastAsia"/>
                <w:color w:val="auto"/>
                <w:sz w:val="24"/>
                <w:szCs w:val="24"/>
              </w:rPr>
              <w:t>清洗废气</w:t>
            </w:r>
            <w:r>
              <w:rPr>
                <w:color w:val="auto"/>
                <w:sz w:val="24"/>
                <w:lang w:val="zh-CN"/>
              </w:rPr>
              <w:t>。</w:t>
            </w:r>
          </w:p>
          <w:p w14:paraId="3D0EDBF0">
            <w:pPr>
              <w:spacing w:line="360" w:lineRule="auto"/>
              <w:ind w:firstLine="480" w:firstLineChars="200"/>
              <w:rPr>
                <w:color w:val="auto"/>
                <w:sz w:val="24"/>
                <w:lang w:val="zh-CN"/>
              </w:rPr>
            </w:pPr>
            <w:r>
              <w:rPr>
                <w:rFonts w:hint="eastAsia"/>
                <w:color w:val="auto"/>
                <w:sz w:val="24"/>
                <w:szCs w:val="24"/>
              </w:rPr>
              <w:t>焊接工段分别</w:t>
            </w:r>
            <w:r>
              <w:rPr>
                <w:rFonts w:hint="eastAsia"/>
                <w:color w:val="auto"/>
                <w:sz w:val="24"/>
                <w:szCs w:val="24"/>
                <w:lang w:val="zh-CN"/>
              </w:rPr>
              <w:t>设置</w:t>
            </w:r>
            <w:r>
              <w:rPr>
                <w:rFonts w:hint="eastAsia"/>
                <w:color w:val="auto"/>
                <w:sz w:val="24"/>
                <w:szCs w:val="24"/>
              </w:rPr>
              <w:t>10个集气罩收集烟尘，</w:t>
            </w:r>
            <w:r>
              <w:rPr>
                <w:color w:val="auto"/>
                <w:sz w:val="24"/>
                <w:szCs w:val="24"/>
                <w:lang w:val="zh-CN"/>
              </w:rPr>
              <w:t>设计尺寸为</w:t>
            </w:r>
            <w:r>
              <w:rPr>
                <w:rFonts w:hint="eastAsia"/>
                <w:color w:val="auto"/>
                <w:sz w:val="24"/>
                <w:szCs w:val="24"/>
              </w:rPr>
              <w:t>0.15</w:t>
            </w:r>
            <w:r>
              <w:rPr>
                <w:color w:val="auto"/>
                <w:sz w:val="24"/>
                <w:szCs w:val="24"/>
                <w:lang w:val="zh-CN"/>
              </w:rPr>
              <w:t>m*</w:t>
            </w:r>
            <w:r>
              <w:rPr>
                <w:rFonts w:hint="eastAsia"/>
                <w:color w:val="auto"/>
                <w:sz w:val="24"/>
                <w:szCs w:val="24"/>
              </w:rPr>
              <w:t>0.15</w:t>
            </w:r>
            <w:r>
              <w:rPr>
                <w:color w:val="auto"/>
                <w:sz w:val="24"/>
                <w:szCs w:val="24"/>
                <w:lang w:val="zh-CN"/>
              </w:rPr>
              <w:t>m，罩口至污染源的距离设计参数为</w:t>
            </w:r>
            <w:r>
              <w:rPr>
                <w:rFonts w:hint="eastAsia"/>
                <w:color w:val="auto"/>
                <w:sz w:val="24"/>
                <w:szCs w:val="24"/>
              </w:rPr>
              <w:t>0.3</w:t>
            </w:r>
            <w:r>
              <w:rPr>
                <w:color w:val="auto"/>
                <w:sz w:val="24"/>
                <w:szCs w:val="24"/>
                <w:lang w:val="zh-CN"/>
              </w:rPr>
              <w:t>m，控制流速取</w:t>
            </w:r>
            <w:r>
              <w:rPr>
                <w:rFonts w:hint="eastAsia"/>
                <w:color w:val="auto"/>
                <w:sz w:val="24"/>
                <w:szCs w:val="24"/>
              </w:rPr>
              <w:t>0.3</w:t>
            </w:r>
            <w:r>
              <w:rPr>
                <w:color w:val="auto"/>
                <w:sz w:val="24"/>
                <w:szCs w:val="24"/>
                <w:lang w:val="zh-CN"/>
              </w:rPr>
              <w:t>m/s，经计算，</w:t>
            </w:r>
            <w:r>
              <w:rPr>
                <w:rFonts w:hint="eastAsia"/>
                <w:color w:val="auto"/>
                <w:sz w:val="24"/>
                <w:szCs w:val="24"/>
              </w:rPr>
              <w:t>焊接工段</w:t>
            </w:r>
            <w:r>
              <w:rPr>
                <w:color w:val="auto"/>
                <w:sz w:val="24"/>
                <w:szCs w:val="24"/>
                <w:lang w:val="zh-CN"/>
              </w:rPr>
              <w:t>集气罩废气引风量为</w:t>
            </w:r>
            <w:r>
              <w:rPr>
                <w:rFonts w:hint="eastAsia"/>
                <w:color w:val="auto"/>
                <w:sz w:val="24"/>
                <w:szCs w:val="24"/>
              </w:rPr>
              <w:t>2138</w:t>
            </w:r>
            <w:r>
              <w:rPr>
                <w:color w:val="auto"/>
                <w:sz w:val="24"/>
                <w:szCs w:val="24"/>
                <w:lang w:val="zh-CN"/>
              </w:rPr>
              <w:t>m</w:t>
            </w:r>
            <w:r>
              <w:rPr>
                <w:rFonts w:hint="eastAsia"/>
                <w:color w:val="auto"/>
                <w:sz w:val="24"/>
                <w:szCs w:val="24"/>
                <w:vertAlign w:val="superscript"/>
              </w:rPr>
              <w:t>3</w:t>
            </w:r>
            <w:r>
              <w:rPr>
                <w:color w:val="auto"/>
                <w:sz w:val="24"/>
                <w:szCs w:val="24"/>
                <w:lang w:val="zh-CN"/>
              </w:rPr>
              <w:t>/h</w:t>
            </w:r>
            <w:r>
              <w:rPr>
                <w:rFonts w:hint="eastAsia"/>
                <w:color w:val="auto"/>
                <w:sz w:val="24"/>
                <w:szCs w:val="24"/>
                <w:lang w:val="zh-CN"/>
              </w:rPr>
              <w:t>，</w:t>
            </w:r>
            <w:r>
              <w:rPr>
                <w:color w:val="auto"/>
                <w:sz w:val="24"/>
                <w:lang w:val="zh-CN"/>
              </w:rPr>
              <w:t>考虑车间横向气流的干扰因素及实际设计过程中的变化情况，按照</w:t>
            </w:r>
            <w:r>
              <w:rPr>
                <w:rFonts w:hint="eastAsia"/>
                <w:color w:val="auto"/>
                <w:sz w:val="24"/>
                <w:szCs w:val="24"/>
              </w:rPr>
              <w:t>2500</w:t>
            </w:r>
            <w:r>
              <w:rPr>
                <w:color w:val="auto"/>
                <w:sz w:val="24"/>
                <w:szCs w:val="24"/>
                <w:lang w:val="zh-CN"/>
              </w:rPr>
              <w:t>m</w:t>
            </w:r>
            <w:r>
              <w:rPr>
                <w:rFonts w:hint="eastAsia"/>
                <w:color w:val="auto"/>
                <w:sz w:val="24"/>
                <w:szCs w:val="24"/>
                <w:vertAlign w:val="superscript"/>
              </w:rPr>
              <w:t>3</w:t>
            </w:r>
            <w:r>
              <w:rPr>
                <w:color w:val="auto"/>
                <w:sz w:val="24"/>
                <w:szCs w:val="24"/>
                <w:lang w:val="zh-CN"/>
              </w:rPr>
              <w:t>/h</w:t>
            </w:r>
            <w:r>
              <w:rPr>
                <w:color w:val="auto"/>
                <w:sz w:val="24"/>
                <w:lang w:val="zh-CN"/>
              </w:rPr>
              <w:t>的风量收集</w:t>
            </w:r>
            <w:r>
              <w:rPr>
                <w:rFonts w:hint="eastAsia"/>
                <w:color w:val="auto"/>
                <w:sz w:val="24"/>
                <w:szCs w:val="24"/>
              </w:rPr>
              <w:t>焊接烟尘</w:t>
            </w:r>
            <w:r>
              <w:rPr>
                <w:color w:val="auto"/>
                <w:sz w:val="24"/>
                <w:lang w:val="zh-CN"/>
              </w:rPr>
              <w:t>。</w:t>
            </w:r>
          </w:p>
          <w:p w14:paraId="6CF18EAC">
            <w:pPr>
              <w:spacing w:line="360" w:lineRule="auto"/>
              <w:ind w:firstLine="480" w:firstLineChars="200"/>
              <w:rPr>
                <w:color w:val="auto"/>
                <w:sz w:val="24"/>
                <w:szCs w:val="24"/>
                <w:lang w:val="zh-CN"/>
              </w:rPr>
            </w:pPr>
            <w:r>
              <w:rPr>
                <w:color w:val="auto"/>
                <w:sz w:val="24"/>
                <w:szCs w:val="24"/>
                <w:lang w:val="zh-CN"/>
              </w:rPr>
              <w:t>参照《排风罩的分类及技术条件》（GB/T16758-2008）、《工业通风第四版》（中国建筑工业出版社）中对外部集气罩的技术要求，本项目适宜采用矩形集气罩（局部集气罩）及管道收集，扩张角a为45</w:t>
            </w:r>
            <w:r>
              <w:rPr>
                <w:rFonts w:hint="eastAsia"/>
                <w:color w:val="auto"/>
                <w:sz w:val="24"/>
                <w:szCs w:val="24"/>
              </w:rPr>
              <w:t>°</w:t>
            </w:r>
            <w:r>
              <w:rPr>
                <w:color w:val="auto"/>
                <w:sz w:val="24"/>
                <w:szCs w:val="24"/>
                <w:lang w:val="zh-CN"/>
              </w:rPr>
              <w:t>，控制风速不低于0.3米/秒，按照“治理设施先启动,后停止”的原则提升治理设施运行率。本项目集气罩/集气管选取了最优化的设置方案</w:t>
            </w:r>
            <w:r>
              <w:rPr>
                <w:rFonts w:hint="eastAsia"/>
                <w:color w:val="auto"/>
                <w:sz w:val="24"/>
                <w:szCs w:val="24"/>
                <w:lang w:val="zh-CN"/>
              </w:rPr>
              <w:t>，</w:t>
            </w:r>
            <w:r>
              <w:rPr>
                <w:color w:val="auto"/>
                <w:sz w:val="24"/>
                <w:szCs w:val="24"/>
                <w:lang w:val="zh-CN"/>
              </w:rPr>
              <w:t>废气收集效率</w:t>
            </w:r>
            <w:r>
              <w:rPr>
                <w:rFonts w:hint="eastAsia"/>
                <w:color w:val="auto"/>
                <w:sz w:val="24"/>
                <w:szCs w:val="24"/>
                <w:lang w:val="zh-CN"/>
              </w:rPr>
              <w:t>以</w:t>
            </w:r>
            <w:r>
              <w:rPr>
                <w:color w:val="auto"/>
                <w:sz w:val="24"/>
                <w:szCs w:val="24"/>
                <w:lang w:val="zh-CN"/>
              </w:rPr>
              <w:t>90%</w:t>
            </w:r>
            <w:r>
              <w:rPr>
                <w:rFonts w:hint="eastAsia"/>
                <w:color w:val="auto"/>
                <w:sz w:val="24"/>
                <w:szCs w:val="24"/>
                <w:lang w:val="zh-CN"/>
              </w:rPr>
              <w:t>计</w:t>
            </w:r>
            <w:r>
              <w:rPr>
                <w:color w:val="auto"/>
                <w:sz w:val="24"/>
                <w:szCs w:val="24"/>
                <w:lang w:val="zh-CN"/>
              </w:rPr>
              <w:t>，符合</w:t>
            </w:r>
            <w:r>
              <w:rPr>
                <w:rFonts w:hint="eastAsia"/>
                <w:color w:val="auto"/>
                <w:sz w:val="24"/>
                <w:szCs w:val="24"/>
                <w:lang w:val="zh-CN"/>
              </w:rPr>
              <w:t>《环境工程设计手册》(湖南科学技术出版社)</w:t>
            </w:r>
            <w:r>
              <w:rPr>
                <w:color w:val="auto"/>
                <w:sz w:val="24"/>
                <w:szCs w:val="24"/>
                <w:lang w:val="zh-CN"/>
              </w:rPr>
              <w:t>中对集气罩的要求。</w:t>
            </w:r>
          </w:p>
          <w:p w14:paraId="02A43290">
            <w:pPr>
              <w:snapToGrid/>
              <w:spacing w:line="360" w:lineRule="auto"/>
              <w:ind w:firstLine="480" w:firstLineChars="200"/>
              <w:jc w:val="left"/>
              <w:rPr>
                <w:color w:val="auto"/>
                <w:sz w:val="24"/>
                <w:szCs w:val="24"/>
              </w:rPr>
            </w:pPr>
            <w:r>
              <w:rPr>
                <w:rFonts w:hAnsi="宋体" w:cs="宋体"/>
                <w:color w:val="auto"/>
                <w:kern w:val="0"/>
                <w:sz w:val="24"/>
                <w:lang w:val="zh-CN"/>
              </w:rPr>
              <w:t>③</w:t>
            </w:r>
            <w:r>
              <w:rPr>
                <w:rFonts w:hint="eastAsia"/>
                <w:color w:val="auto"/>
                <w:sz w:val="24"/>
                <w:szCs w:val="24"/>
              </w:rPr>
              <w:t>处理效率可行性</w:t>
            </w:r>
          </w:p>
          <w:p w14:paraId="69C21EF1">
            <w:pPr>
              <w:spacing w:line="360" w:lineRule="auto"/>
              <w:ind w:firstLine="480" w:firstLineChars="200"/>
              <w:rPr>
                <w:rFonts w:eastAsia="Times New Roman"/>
                <w:color w:val="auto"/>
                <w:sz w:val="24"/>
                <w:szCs w:val="24"/>
                <w:lang w:val="zh-CN"/>
              </w:rPr>
            </w:pPr>
            <w:r>
              <w:rPr>
                <w:color w:val="auto"/>
                <w:sz w:val="24"/>
                <w:szCs w:val="24"/>
                <w:lang w:val="zh-CN"/>
              </w:rPr>
              <w:t>本项目二级活性炭吸附处理设施处理效率情况参考</w:t>
            </w:r>
            <w:r>
              <w:rPr>
                <w:rFonts w:hint="eastAsia"/>
                <w:color w:val="auto"/>
                <w:sz w:val="24"/>
                <w:szCs w:val="24"/>
              </w:rPr>
              <w:t>江苏德尔福医疗器械有限公司智能精密注射给药医疗器械产业化建设项目</w:t>
            </w:r>
            <w:r>
              <w:rPr>
                <w:rFonts w:eastAsia="Times New Roman"/>
                <w:color w:val="auto"/>
                <w:sz w:val="24"/>
                <w:szCs w:val="24"/>
                <w:lang w:val="zh-CN"/>
              </w:rPr>
              <w:t>竣工环境保护验收</w:t>
            </w:r>
            <w:r>
              <w:rPr>
                <w:rFonts w:hint="eastAsia" w:eastAsia="Times New Roman"/>
                <w:color w:val="auto"/>
                <w:sz w:val="24"/>
                <w:szCs w:val="24"/>
              </w:rPr>
              <w:t>数据</w:t>
            </w:r>
            <w:r>
              <w:rPr>
                <w:rFonts w:eastAsia="Times New Roman"/>
                <w:color w:val="auto"/>
                <w:sz w:val="24"/>
                <w:szCs w:val="24"/>
                <w:lang w:val="zh-CN"/>
              </w:rPr>
              <w:t>，</w:t>
            </w:r>
            <w:r>
              <w:rPr>
                <w:rFonts w:hint="eastAsia"/>
                <w:color w:val="auto"/>
                <w:sz w:val="24"/>
                <w:szCs w:val="24"/>
              </w:rPr>
              <w:t>本项目颗粒物处理效率情况参考湖南利德金属结构有限责任公司新建大件喷漆房项目竣工环境保护验收数据，</w:t>
            </w:r>
            <w:r>
              <w:rPr>
                <w:rFonts w:eastAsia="Times New Roman"/>
                <w:color w:val="auto"/>
                <w:sz w:val="24"/>
                <w:szCs w:val="24"/>
                <w:lang w:val="zh-CN"/>
              </w:rPr>
              <w:t>具体情况如</w:t>
            </w:r>
            <w:r>
              <w:rPr>
                <w:rFonts w:hint="eastAsia" w:eastAsia="Times New Roman"/>
                <w:color w:val="auto"/>
                <w:sz w:val="24"/>
                <w:szCs w:val="24"/>
                <w:lang w:val="zh-CN"/>
              </w:rPr>
              <w:t>下表。</w:t>
            </w:r>
          </w:p>
          <w:p w14:paraId="2B58F94C">
            <w:pPr>
              <w:spacing w:line="0" w:lineRule="atLeast"/>
              <w:ind w:firstLine="482"/>
              <w:jc w:val="center"/>
              <w:rPr>
                <w:rFonts w:hAnsi="宋体"/>
                <w:b/>
                <w:bCs/>
                <w:color w:val="auto"/>
                <w:kern w:val="0"/>
                <w:sz w:val="24"/>
                <w:lang w:val="zh-CN"/>
              </w:rPr>
            </w:pPr>
            <w:r>
              <w:rPr>
                <w:rFonts w:hint="eastAsia" w:hAnsi="宋体"/>
                <w:b/>
                <w:bCs/>
                <w:color w:val="auto"/>
                <w:kern w:val="0"/>
                <w:sz w:val="24"/>
              </w:rPr>
              <w:t>表4-10  废气处理设施验收监测数据</w:t>
            </w:r>
          </w:p>
          <w:tbl>
            <w:tblPr>
              <w:tblStyle w:val="23"/>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888"/>
              <w:gridCol w:w="2813"/>
              <w:gridCol w:w="992"/>
              <w:gridCol w:w="1312"/>
              <w:gridCol w:w="1254"/>
              <w:gridCol w:w="836"/>
            </w:tblGrid>
            <w:tr w14:paraId="0F7D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49" w:type="dxa"/>
                  <w:vMerge w:val="restart"/>
                  <w:tcBorders>
                    <w:tl2br w:val="nil"/>
                    <w:tr2bl w:val="nil"/>
                  </w:tcBorders>
                  <w:vAlign w:val="center"/>
                </w:tcPr>
                <w:p w14:paraId="1E12C566">
                  <w:pPr>
                    <w:jc w:val="center"/>
                    <w:rPr>
                      <w:b/>
                      <w:bCs/>
                      <w:color w:val="auto"/>
                    </w:rPr>
                  </w:pPr>
                  <w:r>
                    <w:rPr>
                      <w:b/>
                      <w:bCs/>
                      <w:color w:val="auto"/>
                    </w:rPr>
                    <w:t>监测点位</w:t>
                  </w:r>
                </w:p>
              </w:tc>
              <w:tc>
                <w:tcPr>
                  <w:tcW w:w="888" w:type="dxa"/>
                  <w:vMerge w:val="restart"/>
                  <w:tcBorders>
                    <w:tl2br w:val="nil"/>
                    <w:tr2bl w:val="nil"/>
                  </w:tcBorders>
                  <w:vAlign w:val="center"/>
                </w:tcPr>
                <w:p w14:paraId="365ABDD7">
                  <w:pPr>
                    <w:jc w:val="center"/>
                    <w:rPr>
                      <w:b/>
                      <w:bCs/>
                      <w:color w:val="auto"/>
                    </w:rPr>
                  </w:pPr>
                  <w:r>
                    <w:rPr>
                      <w:b/>
                      <w:bCs/>
                      <w:color w:val="auto"/>
                    </w:rPr>
                    <w:t>监测日期</w:t>
                  </w:r>
                </w:p>
              </w:tc>
              <w:tc>
                <w:tcPr>
                  <w:tcW w:w="2813" w:type="dxa"/>
                  <w:vMerge w:val="restart"/>
                  <w:tcBorders>
                    <w:tl2br w:val="nil"/>
                    <w:tr2bl w:val="nil"/>
                  </w:tcBorders>
                  <w:vAlign w:val="center"/>
                </w:tcPr>
                <w:p w14:paraId="183D4E1F">
                  <w:pPr>
                    <w:jc w:val="center"/>
                    <w:rPr>
                      <w:b/>
                      <w:bCs/>
                      <w:color w:val="auto"/>
                    </w:rPr>
                  </w:pPr>
                  <w:r>
                    <w:rPr>
                      <w:b/>
                      <w:bCs/>
                      <w:color w:val="auto"/>
                    </w:rPr>
                    <w:t>监测项目</w:t>
                  </w:r>
                </w:p>
              </w:tc>
              <w:tc>
                <w:tcPr>
                  <w:tcW w:w="3558" w:type="dxa"/>
                  <w:gridSpan w:val="3"/>
                  <w:tcBorders>
                    <w:tl2br w:val="nil"/>
                    <w:tr2bl w:val="nil"/>
                  </w:tcBorders>
                  <w:vAlign w:val="center"/>
                </w:tcPr>
                <w:p w14:paraId="51511A94">
                  <w:pPr>
                    <w:jc w:val="center"/>
                    <w:rPr>
                      <w:b/>
                      <w:bCs/>
                      <w:color w:val="auto"/>
                    </w:rPr>
                  </w:pPr>
                  <w:r>
                    <w:rPr>
                      <w:b/>
                      <w:bCs/>
                      <w:color w:val="auto"/>
                    </w:rPr>
                    <w:t>监测结果</w:t>
                  </w:r>
                </w:p>
              </w:tc>
              <w:tc>
                <w:tcPr>
                  <w:tcW w:w="836" w:type="dxa"/>
                  <w:vMerge w:val="restart"/>
                  <w:tcBorders>
                    <w:tl2br w:val="nil"/>
                    <w:tr2bl w:val="nil"/>
                  </w:tcBorders>
                  <w:vAlign w:val="center"/>
                </w:tcPr>
                <w:p w14:paraId="6D2D5F32">
                  <w:pPr>
                    <w:jc w:val="center"/>
                    <w:rPr>
                      <w:b/>
                      <w:bCs/>
                      <w:color w:val="auto"/>
                    </w:rPr>
                  </w:pPr>
                  <w:r>
                    <w:rPr>
                      <w:b/>
                      <w:bCs/>
                      <w:color w:val="auto"/>
                    </w:rPr>
                    <w:t>执行标准值</w:t>
                  </w:r>
                </w:p>
              </w:tc>
            </w:tr>
            <w:tr w14:paraId="240C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49" w:type="dxa"/>
                  <w:vMerge w:val="continue"/>
                  <w:tcBorders>
                    <w:tl2br w:val="nil"/>
                    <w:tr2bl w:val="nil"/>
                  </w:tcBorders>
                  <w:vAlign w:val="center"/>
                </w:tcPr>
                <w:p w14:paraId="5B3B36CB">
                  <w:pPr>
                    <w:pStyle w:val="8"/>
                    <w:spacing w:line="240" w:lineRule="auto"/>
                    <w:jc w:val="center"/>
                    <w:rPr>
                      <w:color w:val="auto"/>
                      <w:sz w:val="21"/>
                      <w:szCs w:val="21"/>
                    </w:rPr>
                  </w:pPr>
                </w:p>
              </w:tc>
              <w:tc>
                <w:tcPr>
                  <w:tcW w:w="888" w:type="dxa"/>
                  <w:vMerge w:val="continue"/>
                  <w:tcBorders>
                    <w:tl2br w:val="nil"/>
                    <w:tr2bl w:val="nil"/>
                  </w:tcBorders>
                  <w:vAlign w:val="center"/>
                </w:tcPr>
                <w:p w14:paraId="10351BA1">
                  <w:pPr>
                    <w:pStyle w:val="8"/>
                    <w:spacing w:line="240" w:lineRule="auto"/>
                    <w:jc w:val="center"/>
                    <w:rPr>
                      <w:color w:val="auto"/>
                      <w:sz w:val="21"/>
                      <w:szCs w:val="21"/>
                    </w:rPr>
                  </w:pPr>
                </w:p>
              </w:tc>
              <w:tc>
                <w:tcPr>
                  <w:tcW w:w="2813" w:type="dxa"/>
                  <w:vMerge w:val="continue"/>
                  <w:tcBorders>
                    <w:tl2br w:val="nil"/>
                    <w:tr2bl w:val="nil"/>
                  </w:tcBorders>
                  <w:vAlign w:val="center"/>
                </w:tcPr>
                <w:p w14:paraId="077FDE59">
                  <w:pPr>
                    <w:pStyle w:val="8"/>
                    <w:spacing w:line="240" w:lineRule="auto"/>
                    <w:jc w:val="center"/>
                    <w:rPr>
                      <w:color w:val="auto"/>
                      <w:sz w:val="21"/>
                      <w:szCs w:val="21"/>
                    </w:rPr>
                  </w:pPr>
                </w:p>
              </w:tc>
              <w:tc>
                <w:tcPr>
                  <w:tcW w:w="992" w:type="dxa"/>
                  <w:tcBorders>
                    <w:tl2br w:val="nil"/>
                    <w:tr2bl w:val="nil"/>
                  </w:tcBorders>
                  <w:vAlign w:val="center"/>
                </w:tcPr>
                <w:p w14:paraId="5EEEDBD2">
                  <w:pPr>
                    <w:jc w:val="center"/>
                    <w:rPr>
                      <w:b/>
                      <w:bCs/>
                      <w:color w:val="auto"/>
                    </w:rPr>
                  </w:pPr>
                  <w:r>
                    <w:rPr>
                      <w:b/>
                      <w:bCs/>
                      <w:color w:val="auto"/>
                    </w:rPr>
                    <w:t>第一次</w:t>
                  </w:r>
                </w:p>
              </w:tc>
              <w:tc>
                <w:tcPr>
                  <w:tcW w:w="1312" w:type="dxa"/>
                  <w:tcBorders>
                    <w:tl2br w:val="nil"/>
                    <w:tr2bl w:val="nil"/>
                  </w:tcBorders>
                  <w:vAlign w:val="center"/>
                </w:tcPr>
                <w:p w14:paraId="652C26C4">
                  <w:pPr>
                    <w:jc w:val="center"/>
                    <w:rPr>
                      <w:b/>
                      <w:bCs/>
                      <w:color w:val="auto"/>
                    </w:rPr>
                  </w:pPr>
                  <w:r>
                    <w:rPr>
                      <w:b/>
                      <w:bCs/>
                      <w:color w:val="auto"/>
                    </w:rPr>
                    <w:t>第二次</w:t>
                  </w:r>
                </w:p>
              </w:tc>
              <w:tc>
                <w:tcPr>
                  <w:tcW w:w="1254" w:type="dxa"/>
                  <w:tcBorders>
                    <w:tl2br w:val="nil"/>
                    <w:tr2bl w:val="nil"/>
                  </w:tcBorders>
                  <w:vAlign w:val="center"/>
                </w:tcPr>
                <w:p w14:paraId="62FA1962">
                  <w:pPr>
                    <w:jc w:val="center"/>
                    <w:rPr>
                      <w:b/>
                      <w:bCs/>
                      <w:color w:val="auto"/>
                    </w:rPr>
                  </w:pPr>
                  <w:r>
                    <w:rPr>
                      <w:b/>
                      <w:bCs/>
                      <w:color w:val="auto"/>
                    </w:rPr>
                    <w:t>第三次</w:t>
                  </w:r>
                </w:p>
              </w:tc>
              <w:tc>
                <w:tcPr>
                  <w:tcW w:w="836" w:type="dxa"/>
                  <w:vMerge w:val="continue"/>
                  <w:tcBorders>
                    <w:tl2br w:val="nil"/>
                    <w:tr2bl w:val="nil"/>
                  </w:tcBorders>
                  <w:vAlign w:val="center"/>
                </w:tcPr>
                <w:p w14:paraId="2595FA41">
                  <w:pPr>
                    <w:pStyle w:val="8"/>
                    <w:spacing w:line="240" w:lineRule="auto"/>
                    <w:jc w:val="center"/>
                    <w:rPr>
                      <w:b/>
                      <w:bCs/>
                      <w:color w:val="auto"/>
                      <w:sz w:val="21"/>
                      <w:szCs w:val="21"/>
                    </w:rPr>
                  </w:pPr>
                </w:p>
              </w:tc>
            </w:tr>
            <w:tr w14:paraId="0004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9" w:type="dxa"/>
                  <w:vMerge w:val="restart"/>
                  <w:tcBorders>
                    <w:tl2br w:val="nil"/>
                    <w:tr2bl w:val="nil"/>
                  </w:tcBorders>
                  <w:vAlign w:val="center"/>
                </w:tcPr>
                <w:p w14:paraId="134D2225">
                  <w:pPr>
                    <w:pStyle w:val="8"/>
                    <w:spacing w:line="240" w:lineRule="auto"/>
                    <w:jc w:val="center"/>
                    <w:rPr>
                      <w:color w:val="auto"/>
                      <w:sz w:val="21"/>
                      <w:szCs w:val="21"/>
                    </w:rPr>
                  </w:pPr>
                  <w:r>
                    <w:rPr>
                      <w:color w:val="auto"/>
                      <w:sz w:val="21"/>
                      <w:szCs w:val="21"/>
                    </w:rPr>
                    <w:t>FQ-01排气筒进口</w:t>
                  </w:r>
                </w:p>
              </w:tc>
              <w:tc>
                <w:tcPr>
                  <w:tcW w:w="888" w:type="dxa"/>
                  <w:vMerge w:val="restart"/>
                  <w:tcBorders>
                    <w:tl2br w:val="nil"/>
                    <w:tr2bl w:val="nil"/>
                  </w:tcBorders>
                  <w:vAlign w:val="center"/>
                </w:tcPr>
                <w:p w14:paraId="090E85D6">
                  <w:pPr>
                    <w:tabs>
                      <w:tab w:val="left" w:pos="12559"/>
                    </w:tabs>
                    <w:jc w:val="center"/>
                    <w:rPr>
                      <w:color w:val="auto"/>
                    </w:rPr>
                  </w:pPr>
                  <w:r>
                    <w:rPr>
                      <w:color w:val="auto"/>
                    </w:rPr>
                    <w:t>202</w:t>
                  </w:r>
                  <w:r>
                    <w:rPr>
                      <w:rFonts w:hint="eastAsia"/>
                      <w:color w:val="auto"/>
                    </w:rPr>
                    <w:t>3.</w:t>
                  </w:r>
                  <w:r>
                    <w:rPr>
                      <w:color w:val="auto"/>
                    </w:rPr>
                    <w:t>0</w:t>
                  </w:r>
                  <w:r>
                    <w:rPr>
                      <w:rFonts w:hint="eastAsia"/>
                      <w:color w:val="auto"/>
                    </w:rPr>
                    <w:t>5</w:t>
                  </w:r>
                  <w:r>
                    <w:rPr>
                      <w:color w:val="auto"/>
                    </w:rPr>
                    <w:t>.</w:t>
                  </w:r>
                  <w:r>
                    <w:rPr>
                      <w:rFonts w:hint="eastAsia"/>
                      <w:color w:val="auto"/>
                    </w:rPr>
                    <w:t>05</w:t>
                  </w:r>
                </w:p>
              </w:tc>
              <w:tc>
                <w:tcPr>
                  <w:tcW w:w="2813" w:type="dxa"/>
                  <w:tcBorders>
                    <w:tl2br w:val="nil"/>
                    <w:tr2bl w:val="nil"/>
                  </w:tcBorders>
                  <w:vAlign w:val="center"/>
                </w:tcPr>
                <w:p w14:paraId="6F9F8FB9">
                  <w:pPr>
                    <w:jc w:val="center"/>
                    <w:rPr>
                      <w:color w:val="auto"/>
                    </w:rPr>
                  </w:pPr>
                  <w:r>
                    <w:rPr>
                      <w:color w:val="auto"/>
                    </w:rPr>
                    <w:t>废气标杆流量（Nm</w:t>
                  </w:r>
                  <w:r>
                    <w:rPr>
                      <w:color w:val="auto"/>
                      <w:vertAlign w:val="superscript"/>
                    </w:rPr>
                    <w:t>3</w:t>
                  </w:r>
                  <w:r>
                    <w:rPr>
                      <w:color w:val="auto"/>
                    </w:rPr>
                    <w:t>/h）</w:t>
                  </w:r>
                </w:p>
              </w:tc>
              <w:tc>
                <w:tcPr>
                  <w:tcW w:w="992" w:type="dxa"/>
                  <w:tcBorders>
                    <w:tl2br w:val="nil"/>
                    <w:tr2bl w:val="nil"/>
                  </w:tcBorders>
                  <w:vAlign w:val="center"/>
                </w:tcPr>
                <w:p w14:paraId="3481C001">
                  <w:pPr>
                    <w:jc w:val="center"/>
                    <w:rPr>
                      <w:color w:val="auto"/>
                    </w:rPr>
                  </w:pPr>
                  <w:r>
                    <w:rPr>
                      <w:rFonts w:hint="eastAsia"/>
                      <w:color w:val="auto"/>
                    </w:rPr>
                    <w:t>9540</w:t>
                  </w:r>
                </w:p>
              </w:tc>
              <w:tc>
                <w:tcPr>
                  <w:tcW w:w="1312" w:type="dxa"/>
                  <w:tcBorders>
                    <w:tl2br w:val="nil"/>
                    <w:tr2bl w:val="nil"/>
                  </w:tcBorders>
                  <w:vAlign w:val="center"/>
                </w:tcPr>
                <w:p w14:paraId="4EDEBDB2">
                  <w:pPr>
                    <w:jc w:val="center"/>
                    <w:rPr>
                      <w:color w:val="auto"/>
                    </w:rPr>
                  </w:pPr>
                  <w:r>
                    <w:rPr>
                      <w:rFonts w:hint="eastAsia"/>
                      <w:color w:val="auto"/>
                    </w:rPr>
                    <w:t>9664</w:t>
                  </w:r>
                </w:p>
              </w:tc>
              <w:tc>
                <w:tcPr>
                  <w:tcW w:w="1254" w:type="dxa"/>
                  <w:tcBorders>
                    <w:tl2br w:val="nil"/>
                    <w:tr2bl w:val="nil"/>
                  </w:tcBorders>
                  <w:vAlign w:val="center"/>
                </w:tcPr>
                <w:p w14:paraId="66E89F66">
                  <w:pPr>
                    <w:jc w:val="center"/>
                    <w:rPr>
                      <w:color w:val="auto"/>
                    </w:rPr>
                  </w:pPr>
                  <w:r>
                    <w:rPr>
                      <w:rFonts w:hint="eastAsia"/>
                      <w:color w:val="auto"/>
                    </w:rPr>
                    <w:t>9655</w:t>
                  </w:r>
                </w:p>
              </w:tc>
              <w:tc>
                <w:tcPr>
                  <w:tcW w:w="836" w:type="dxa"/>
                  <w:tcBorders>
                    <w:tl2br w:val="nil"/>
                    <w:tr2bl w:val="nil"/>
                  </w:tcBorders>
                  <w:vAlign w:val="center"/>
                </w:tcPr>
                <w:p w14:paraId="55761BB3">
                  <w:pPr>
                    <w:jc w:val="center"/>
                    <w:rPr>
                      <w:color w:val="auto"/>
                    </w:rPr>
                  </w:pPr>
                  <w:r>
                    <w:rPr>
                      <w:color w:val="auto"/>
                    </w:rPr>
                    <w:t>/</w:t>
                  </w:r>
                </w:p>
              </w:tc>
            </w:tr>
            <w:tr w14:paraId="0D9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9" w:type="dxa"/>
                  <w:vMerge w:val="continue"/>
                  <w:tcBorders>
                    <w:tl2br w:val="nil"/>
                    <w:tr2bl w:val="nil"/>
                  </w:tcBorders>
                  <w:vAlign w:val="center"/>
                </w:tcPr>
                <w:p w14:paraId="65BCF55E">
                  <w:pPr>
                    <w:pStyle w:val="8"/>
                    <w:spacing w:line="240" w:lineRule="auto"/>
                    <w:jc w:val="center"/>
                    <w:rPr>
                      <w:color w:val="auto"/>
                      <w:sz w:val="21"/>
                      <w:szCs w:val="21"/>
                    </w:rPr>
                  </w:pPr>
                </w:p>
              </w:tc>
              <w:tc>
                <w:tcPr>
                  <w:tcW w:w="888" w:type="dxa"/>
                  <w:vMerge w:val="continue"/>
                  <w:tcBorders>
                    <w:tl2br w:val="nil"/>
                    <w:tr2bl w:val="nil"/>
                  </w:tcBorders>
                  <w:vAlign w:val="center"/>
                </w:tcPr>
                <w:p w14:paraId="19E1A2BE">
                  <w:pPr>
                    <w:pStyle w:val="8"/>
                    <w:spacing w:line="240" w:lineRule="auto"/>
                    <w:jc w:val="center"/>
                    <w:rPr>
                      <w:color w:val="auto"/>
                      <w:sz w:val="21"/>
                      <w:szCs w:val="21"/>
                    </w:rPr>
                  </w:pPr>
                </w:p>
              </w:tc>
              <w:tc>
                <w:tcPr>
                  <w:tcW w:w="2813" w:type="dxa"/>
                  <w:tcBorders>
                    <w:tl2br w:val="nil"/>
                    <w:tr2bl w:val="nil"/>
                  </w:tcBorders>
                  <w:vAlign w:val="center"/>
                </w:tcPr>
                <w:p w14:paraId="44DD8D91">
                  <w:pPr>
                    <w:jc w:val="center"/>
                    <w:rPr>
                      <w:color w:val="auto"/>
                    </w:rPr>
                  </w:pPr>
                  <w:r>
                    <w:rPr>
                      <w:color w:val="auto"/>
                    </w:rPr>
                    <w:t>非甲烷总烃排放浓度（mg/m</w:t>
                  </w:r>
                  <w:r>
                    <w:rPr>
                      <w:color w:val="auto"/>
                      <w:vertAlign w:val="superscript"/>
                    </w:rPr>
                    <w:t>3</w:t>
                  </w:r>
                  <w:r>
                    <w:rPr>
                      <w:color w:val="auto"/>
                    </w:rPr>
                    <w:t>）</w:t>
                  </w:r>
                </w:p>
              </w:tc>
              <w:tc>
                <w:tcPr>
                  <w:tcW w:w="992" w:type="dxa"/>
                  <w:tcBorders>
                    <w:tl2br w:val="nil"/>
                    <w:tr2bl w:val="nil"/>
                  </w:tcBorders>
                  <w:vAlign w:val="center"/>
                </w:tcPr>
                <w:p w14:paraId="7EAE3407">
                  <w:pPr>
                    <w:jc w:val="center"/>
                    <w:rPr>
                      <w:color w:val="auto"/>
                    </w:rPr>
                  </w:pPr>
                  <w:r>
                    <w:rPr>
                      <w:rFonts w:hint="eastAsia"/>
                      <w:color w:val="auto"/>
                    </w:rPr>
                    <w:t>23.4</w:t>
                  </w:r>
                </w:p>
              </w:tc>
              <w:tc>
                <w:tcPr>
                  <w:tcW w:w="1312" w:type="dxa"/>
                  <w:tcBorders>
                    <w:tl2br w:val="nil"/>
                    <w:tr2bl w:val="nil"/>
                  </w:tcBorders>
                  <w:vAlign w:val="center"/>
                </w:tcPr>
                <w:p w14:paraId="0CE02C73">
                  <w:pPr>
                    <w:jc w:val="center"/>
                    <w:rPr>
                      <w:color w:val="auto"/>
                    </w:rPr>
                  </w:pPr>
                  <w:r>
                    <w:rPr>
                      <w:rFonts w:hint="eastAsia"/>
                      <w:color w:val="auto"/>
                    </w:rPr>
                    <w:t>23.0</w:t>
                  </w:r>
                </w:p>
              </w:tc>
              <w:tc>
                <w:tcPr>
                  <w:tcW w:w="1254" w:type="dxa"/>
                  <w:tcBorders>
                    <w:tl2br w:val="nil"/>
                    <w:tr2bl w:val="nil"/>
                  </w:tcBorders>
                  <w:vAlign w:val="center"/>
                </w:tcPr>
                <w:p w14:paraId="0455FF91">
                  <w:pPr>
                    <w:jc w:val="center"/>
                    <w:rPr>
                      <w:color w:val="auto"/>
                    </w:rPr>
                  </w:pPr>
                  <w:r>
                    <w:rPr>
                      <w:color w:val="auto"/>
                    </w:rPr>
                    <w:t>21.5</w:t>
                  </w:r>
                </w:p>
              </w:tc>
              <w:tc>
                <w:tcPr>
                  <w:tcW w:w="836" w:type="dxa"/>
                  <w:tcBorders>
                    <w:tl2br w:val="nil"/>
                    <w:tr2bl w:val="nil"/>
                  </w:tcBorders>
                  <w:vAlign w:val="center"/>
                </w:tcPr>
                <w:p w14:paraId="459FFDFD">
                  <w:pPr>
                    <w:jc w:val="center"/>
                    <w:rPr>
                      <w:color w:val="auto"/>
                    </w:rPr>
                  </w:pPr>
                  <w:r>
                    <w:rPr>
                      <w:color w:val="auto"/>
                    </w:rPr>
                    <w:t>/</w:t>
                  </w:r>
                </w:p>
              </w:tc>
            </w:tr>
            <w:tr w14:paraId="7624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9" w:type="dxa"/>
                  <w:vMerge w:val="continue"/>
                  <w:tcBorders>
                    <w:tl2br w:val="nil"/>
                    <w:tr2bl w:val="nil"/>
                  </w:tcBorders>
                  <w:vAlign w:val="center"/>
                </w:tcPr>
                <w:p w14:paraId="0EAB0DC6">
                  <w:pPr>
                    <w:pStyle w:val="8"/>
                    <w:spacing w:line="240" w:lineRule="auto"/>
                    <w:jc w:val="center"/>
                    <w:rPr>
                      <w:color w:val="auto"/>
                      <w:sz w:val="21"/>
                      <w:szCs w:val="21"/>
                    </w:rPr>
                  </w:pPr>
                </w:p>
              </w:tc>
              <w:tc>
                <w:tcPr>
                  <w:tcW w:w="888" w:type="dxa"/>
                  <w:vMerge w:val="continue"/>
                  <w:tcBorders>
                    <w:tl2br w:val="nil"/>
                    <w:tr2bl w:val="nil"/>
                  </w:tcBorders>
                  <w:vAlign w:val="center"/>
                </w:tcPr>
                <w:p w14:paraId="475F3F1E">
                  <w:pPr>
                    <w:pStyle w:val="8"/>
                    <w:spacing w:line="240" w:lineRule="auto"/>
                    <w:jc w:val="center"/>
                    <w:rPr>
                      <w:color w:val="auto"/>
                      <w:sz w:val="21"/>
                      <w:szCs w:val="21"/>
                    </w:rPr>
                  </w:pPr>
                </w:p>
              </w:tc>
              <w:tc>
                <w:tcPr>
                  <w:tcW w:w="2813" w:type="dxa"/>
                  <w:tcBorders>
                    <w:tl2br w:val="nil"/>
                    <w:tr2bl w:val="nil"/>
                  </w:tcBorders>
                  <w:vAlign w:val="center"/>
                </w:tcPr>
                <w:p w14:paraId="63533CE4">
                  <w:pPr>
                    <w:jc w:val="center"/>
                    <w:rPr>
                      <w:color w:val="auto"/>
                    </w:rPr>
                  </w:pPr>
                  <w:r>
                    <w:rPr>
                      <w:color w:val="auto"/>
                    </w:rPr>
                    <w:t>非甲烷总烃排放速率（kg/h）</w:t>
                  </w:r>
                </w:p>
              </w:tc>
              <w:tc>
                <w:tcPr>
                  <w:tcW w:w="992" w:type="dxa"/>
                  <w:tcBorders>
                    <w:tl2br w:val="nil"/>
                    <w:tr2bl w:val="nil"/>
                  </w:tcBorders>
                  <w:vAlign w:val="center"/>
                </w:tcPr>
                <w:p w14:paraId="79B9341A">
                  <w:pPr>
                    <w:jc w:val="center"/>
                    <w:rPr>
                      <w:color w:val="auto"/>
                    </w:rPr>
                  </w:pPr>
                  <w:r>
                    <w:rPr>
                      <w:color w:val="auto"/>
                    </w:rPr>
                    <w:t>0.</w:t>
                  </w:r>
                  <w:r>
                    <w:rPr>
                      <w:rFonts w:hint="eastAsia"/>
                      <w:color w:val="auto"/>
                    </w:rPr>
                    <w:t>223</w:t>
                  </w:r>
                </w:p>
              </w:tc>
              <w:tc>
                <w:tcPr>
                  <w:tcW w:w="1312" w:type="dxa"/>
                  <w:tcBorders>
                    <w:tl2br w:val="nil"/>
                    <w:tr2bl w:val="nil"/>
                  </w:tcBorders>
                  <w:vAlign w:val="center"/>
                </w:tcPr>
                <w:p w14:paraId="6AF24748">
                  <w:pPr>
                    <w:jc w:val="center"/>
                    <w:rPr>
                      <w:color w:val="auto"/>
                    </w:rPr>
                  </w:pPr>
                  <w:r>
                    <w:rPr>
                      <w:color w:val="auto"/>
                    </w:rPr>
                    <w:t>0.</w:t>
                  </w:r>
                  <w:r>
                    <w:rPr>
                      <w:rFonts w:hint="eastAsia"/>
                      <w:color w:val="auto"/>
                    </w:rPr>
                    <w:t>222</w:t>
                  </w:r>
                </w:p>
              </w:tc>
              <w:tc>
                <w:tcPr>
                  <w:tcW w:w="1254" w:type="dxa"/>
                  <w:tcBorders>
                    <w:tl2br w:val="nil"/>
                    <w:tr2bl w:val="nil"/>
                  </w:tcBorders>
                  <w:vAlign w:val="center"/>
                </w:tcPr>
                <w:p w14:paraId="6460A768">
                  <w:pPr>
                    <w:jc w:val="center"/>
                    <w:rPr>
                      <w:color w:val="auto"/>
                    </w:rPr>
                  </w:pPr>
                  <w:r>
                    <w:rPr>
                      <w:color w:val="auto"/>
                    </w:rPr>
                    <w:t>0.</w:t>
                  </w:r>
                  <w:r>
                    <w:rPr>
                      <w:rFonts w:hint="eastAsia"/>
                      <w:color w:val="auto"/>
                    </w:rPr>
                    <w:t>208</w:t>
                  </w:r>
                </w:p>
              </w:tc>
              <w:tc>
                <w:tcPr>
                  <w:tcW w:w="836" w:type="dxa"/>
                  <w:tcBorders>
                    <w:tl2br w:val="nil"/>
                    <w:tr2bl w:val="nil"/>
                  </w:tcBorders>
                  <w:vAlign w:val="center"/>
                </w:tcPr>
                <w:p w14:paraId="7C025291">
                  <w:pPr>
                    <w:jc w:val="center"/>
                    <w:rPr>
                      <w:color w:val="auto"/>
                    </w:rPr>
                  </w:pPr>
                  <w:r>
                    <w:rPr>
                      <w:color w:val="auto"/>
                    </w:rPr>
                    <w:t>/</w:t>
                  </w:r>
                </w:p>
              </w:tc>
            </w:tr>
            <w:tr w14:paraId="20FD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vMerge w:val="restart"/>
                  <w:tcBorders>
                    <w:tl2br w:val="nil"/>
                    <w:tr2bl w:val="nil"/>
                  </w:tcBorders>
                  <w:vAlign w:val="center"/>
                </w:tcPr>
                <w:p w14:paraId="62A8A05F">
                  <w:pPr>
                    <w:pStyle w:val="8"/>
                    <w:spacing w:line="240" w:lineRule="auto"/>
                    <w:jc w:val="center"/>
                    <w:rPr>
                      <w:color w:val="auto"/>
                      <w:sz w:val="21"/>
                      <w:szCs w:val="21"/>
                    </w:rPr>
                  </w:pPr>
                  <w:r>
                    <w:rPr>
                      <w:color w:val="auto"/>
                      <w:sz w:val="21"/>
                      <w:szCs w:val="21"/>
                    </w:rPr>
                    <w:t>FQ-01排气筒出口</w:t>
                  </w:r>
                </w:p>
              </w:tc>
              <w:tc>
                <w:tcPr>
                  <w:tcW w:w="888" w:type="dxa"/>
                  <w:vMerge w:val="continue"/>
                  <w:tcBorders>
                    <w:tl2br w:val="nil"/>
                    <w:tr2bl w:val="nil"/>
                  </w:tcBorders>
                  <w:vAlign w:val="center"/>
                </w:tcPr>
                <w:p w14:paraId="2E99D6C1">
                  <w:pPr>
                    <w:pStyle w:val="8"/>
                    <w:spacing w:line="240" w:lineRule="auto"/>
                    <w:jc w:val="center"/>
                    <w:rPr>
                      <w:color w:val="auto"/>
                      <w:sz w:val="21"/>
                      <w:szCs w:val="21"/>
                    </w:rPr>
                  </w:pPr>
                </w:p>
              </w:tc>
              <w:tc>
                <w:tcPr>
                  <w:tcW w:w="2813" w:type="dxa"/>
                  <w:tcBorders>
                    <w:tl2br w:val="nil"/>
                    <w:tr2bl w:val="nil"/>
                  </w:tcBorders>
                  <w:vAlign w:val="center"/>
                </w:tcPr>
                <w:p w14:paraId="2A1BD5CB">
                  <w:pPr>
                    <w:jc w:val="center"/>
                    <w:rPr>
                      <w:color w:val="auto"/>
                    </w:rPr>
                  </w:pPr>
                  <w:r>
                    <w:rPr>
                      <w:color w:val="auto"/>
                    </w:rPr>
                    <w:t>废气标杆流量（Nm</w:t>
                  </w:r>
                  <w:r>
                    <w:rPr>
                      <w:color w:val="auto"/>
                      <w:vertAlign w:val="superscript"/>
                    </w:rPr>
                    <w:t>3</w:t>
                  </w:r>
                  <w:r>
                    <w:rPr>
                      <w:color w:val="auto"/>
                    </w:rPr>
                    <w:t>/h）</w:t>
                  </w:r>
                </w:p>
              </w:tc>
              <w:tc>
                <w:tcPr>
                  <w:tcW w:w="992" w:type="dxa"/>
                  <w:tcBorders>
                    <w:tl2br w:val="nil"/>
                    <w:tr2bl w:val="nil"/>
                  </w:tcBorders>
                  <w:vAlign w:val="center"/>
                </w:tcPr>
                <w:p w14:paraId="44072A37">
                  <w:pPr>
                    <w:jc w:val="center"/>
                    <w:rPr>
                      <w:color w:val="auto"/>
                    </w:rPr>
                  </w:pPr>
                  <w:r>
                    <w:rPr>
                      <w:rFonts w:hint="eastAsia"/>
                      <w:color w:val="auto"/>
                    </w:rPr>
                    <w:t>10253</w:t>
                  </w:r>
                </w:p>
              </w:tc>
              <w:tc>
                <w:tcPr>
                  <w:tcW w:w="1312" w:type="dxa"/>
                  <w:tcBorders>
                    <w:tl2br w:val="nil"/>
                    <w:tr2bl w:val="nil"/>
                  </w:tcBorders>
                  <w:vAlign w:val="center"/>
                </w:tcPr>
                <w:p w14:paraId="1B72A6AA">
                  <w:pPr>
                    <w:jc w:val="center"/>
                    <w:rPr>
                      <w:color w:val="auto"/>
                    </w:rPr>
                  </w:pPr>
                  <w:r>
                    <w:rPr>
                      <w:rFonts w:hint="eastAsia"/>
                      <w:color w:val="auto"/>
                    </w:rPr>
                    <w:t>10064</w:t>
                  </w:r>
                </w:p>
              </w:tc>
              <w:tc>
                <w:tcPr>
                  <w:tcW w:w="1254" w:type="dxa"/>
                  <w:tcBorders>
                    <w:tl2br w:val="nil"/>
                    <w:tr2bl w:val="nil"/>
                  </w:tcBorders>
                  <w:vAlign w:val="center"/>
                </w:tcPr>
                <w:p w14:paraId="2C11FB9C">
                  <w:pPr>
                    <w:jc w:val="center"/>
                    <w:rPr>
                      <w:color w:val="auto"/>
                    </w:rPr>
                  </w:pPr>
                  <w:r>
                    <w:rPr>
                      <w:rFonts w:hint="eastAsia"/>
                      <w:color w:val="auto"/>
                    </w:rPr>
                    <w:t>10113</w:t>
                  </w:r>
                </w:p>
              </w:tc>
              <w:tc>
                <w:tcPr>
                  <w:tcW w:w="836" w:type="dxa"/>
                  <w:tcBorders>
                    <w:tl2br w:val="nil"/>
                    <w:tr2bl w:val="nil"/>
                  </w:tcBorders>
                  <w:vAlign w:val="center"/>
                </w:tcPr>
                <w:p w14:paraId="71C9E727">
                  <w:pPr>
                    <w:jc w:val="center"/>
                    <w:rPr>
                      <w:color w:val="auto"/>
                    </w:rPr>
                  </w:pPr>
                  <w:r>
                    <w:rPr>
                      <w:color w:val="auto"/>
                    </w:rPr>
                    <w:t>/</w:t>
                  </w:r>
                </w:p>
              </w:tc>
            </w:tr>
            <w:tr w14:paraId="49BB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vMerge w:val="continue"/>
                  <w:tcBorders>
                    <w:tl2br w:val="nil"/>
                    <w:tr2bl w:val="nil"/>
                  </w:tcBorders>
                  <w:vAlign w:val="center"/>
                </w:tcPr>
                <w:p w14:paraId="6E8643E0">
                  <w:pPr>
                    <w:pStyle w:val="8"/>
                    <w:spacing w:line="240" w:lineRule="auto"/>
                    <w:jc w:val="center"/>
                    <w:rPr>
                      <w:color w:val="auto"/>
                      <w:sz w:val="21"/>
                      <w:szCs w:val="21"/>
                    </w:rPr>
                  </w:pPr>
                </w:p>
              </w:tc>
              <w:tc>
                <w:tcPr>
                  <w:tcW w:w="888" w:type="dxa"/>
                  <w:vMerge w:val="continue"/>
                  <w:tcBorders>
                    <w:tl2br w:val="nil"/>
                    <w:tr2bl w:val="nil"/>
                  </w:tcBorders>
                  <w:vAlign w:val="center"/>
                </w:tcPr>
                <w:p w14:paraId="11C20B33">
                  <w:pPr>
                    <w:pStyle w:val="8"/>
                    <w:spacing w:line="240" w:lineRule="auto"/>
                    <w:jc w:val="center"/>
                    <w:rPr>
                      <w:color w:val="auto"/>
                      <w:sz w:val="21"/>
                      <w:szCs w:val="21"/>
                    </w:rPr>
                  </w:pPr>
                </w:p>
              </w:tc>
              <w:tc>
                <w:tcPr>
                  <w:tcW w:w="2813" w:type="dxa"/>
                  <w:tcBorders>
                    <w:tl2br w:val="nil"/>
                    <w:tr2bl w:val="nil"/>
                  </w:tcBorders>
                  <w:vAlign w:val="center"/>
                </w:tcPr>
                <w:p w14:paraId="1A0B05EB">
                  <w:pPr>
                    <w:jc w:val="center"/>
                    <w:rPr>
                      <w:color w:val="auto"/>
                    </w:rPr>
                  </w:pPr>
                  <w:r>
                    <w:rPr>
                      <w:color w:val="auto"/>
                    </w:rPr>
                    <w:t>非甲烷总烃排放浓度（mg/m</w:t>
                  </w:r>
                  <w:r>
                    <w:rPr>
                      <w:color w:val="auto"/>
                      <w:vertAlign w:val="superscript"/>
                    </w:rPr>
                    <w:t>3</w:t>
                  </w:r>
                  <w:r>
                    <w:rPr>
                      <w:color w:val="auto"/>
                    </w:rPr>
                    <w:t>）</w:t>
                  </w:r>
                </w:p>
              </w:tc>
              <w:tc>
                <w:tcPr>
                  <w:tcW w:w="992" w:type="dxa"/>
                  <w:tcBorders>
                    <w:tl2br w:val="nil"/>
                    <w:tr2bl w:val="nil"/>
                  </w:tcBorders>
                  <w:vAlign w:val="center"/>
                </w:tcPr>
                <w:p w14:paraId="3CB951DC">
                  <w:pPr>
                    <w:jc w:val="center"/>
                    <w:rPr>
                      <w:color w:val="auto"/>
                    </w:rPr>
                  </w:pPr>
                  <w:r>
                    <w:rPr>
                      <w:rFonts w:hint="eastAsia"/>
                      <w:color w:val="auto"/>
                    </w:rPr>
                    <w:t>1.88</w:t>
                  </w:r>
                </w:p>
              </w:tc>
              <w:tc>
                <w:tcPr>
                  <w:tcW w:w="1312" w:type="dxa"/>
                  <w:tcBorders>
                    <w:tl2br w:val="nil"/>
                    <w:tr2bl w:val="nil"/>
                  </w:tcBorders>
                  <w:vAlign w:val="center"/>
                </w:tcPr>
                <w:p w14:paraId="2A7A355B">
                  <w:pPr>
                    <w:jc w:val="center"/>
                    <w:rPr>
                      <w:color w:val="auto"/>
                    </w:rPr>
                  </w:pPr>
                  <w:r>
                    <w:rPr>
                      <w:rFonts w:hint="eastAsia"/>
                      <w:color w:val="auto"/>
                    </w:rPr>
                    <w:t>1.82</w:t>
                  </w:r>
                </w:p>
              </w:tc>
              <w:tc>
                <w:tcPr>
                  <w:tcW w:w="1254" w:type="dxa"/>
                  <w:tcBorders>
                    <w:tl2br w:val="nil"/>
                    <w:tr2bl w:val="nil"/>
                  </w:tcBorders>
                  <w:vAlign w:val="center"/>
                </w:tcPr>
                <w:p w14:paraId="07964224">
                  <w:pPr>
                    <w:jc w:val="center"/>
                    <w:rPr>
                      <w:color w:val="auto"/>
                    </w:rPr>
                  </w:pPr>
                  <w:r>
                    <w:rPr>
                      <w:rFonts w:hint="eastAsia"/>
                      <w:color w:val="auto"/>
                    </w:rPr>
                    <w:t>2.16</w:t>
                  </w:r>
                </w:p>
              </w:tc>
              <w:tc>
                <w:tcPr>
                  <w:tcW w:w="836" w:type="dxa"/>
                  <w:tcBorders>
                    <w:tl2br w:val="nil"/>
                    <w:tr2bl w:val="nil"/>
                  </w:tcBorders>
                  <w:vAlign w:val="center"/>
                </w:tcPr>
                <w:p w14:paraId="32132906">
                  <w:pPr>
                    <w:jc w:val="center"/>
                    <w:rPr>
                      <w:color w:val="auto"/>
                    </w:rPr>
                  </w:pPr>
                  <w:r>
                    <w:rPr>
                      <w:color w:val="auto"/>
                    </w:rPr>
                    <w:t>60</w:t>
                  </w:r>
                </w:p>
              </w:tc>
            </w:tr>
            <w:tr w14:paraId="30ED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9" w:type="dxa"/>
                  <w:vMerge w:val="continue"/>
                  <w:tcBorders>
                    <w:tl2br w:val="nil"/>
                    <w:tr2bl w:val="nil"/>
                  </w:tcBorders>
                  <w:vAlign w:val="center"/>
                </w:tcPr>
                <w:p w14:paraId="06755D0D">
                  <w:pPr>
                    <w:pStyle w:val="8"/>
                    <w:spacing w:line="240" w:lineRule="auto"/>
                    <w:jc w:val="center"/>
                    <w:rPr>
                      <w:color w:val="auto"/>
                      <w:sz w:val="21"/>
                      <w:szCs w:val="21"/>
                    </w:rPr>
                  </w:pPr>
                </w:p>
              </w:tc>
              <w:tc>
                <w:tcPr>
                  <w:tcW w:w="888" w:type="dxa"/>
                  <w:vMerge w:val="continue"/>
                  <w:tcBorders>
                    <w:tl2br w:val="nil"/>
                    <w:tr2bl w:val="nil"/>
                  </w:tcBorders>
                  <w:vAlign w:val="center"/>
                </w:tcPr>
                <w:p w14:paraId="6B336E14">
                  <w:pPr>
                    <w:pStyle w:val="8"/>
                    <w:spacing w:line="240" w:lineRule="auto"/>
                    <w:jc w:val="center"/>
                    <w:rPr>
                      <w:color w:val="auto"/>
                      <w:sz w:val="21"/>
                      <w:szCs w:val="21"/>
                    </w:rPr>
                  </w:pPr>
                </w:p>
              </w:tc>
              <w:tc>
                <w:tcPr>
                  <w:tcW w:w="2813" w:type="dxa"/>
                  <w:tcBorders>
                    <w:tl2br w:val="nil"/>
                    <w:tr2bl w:val="nil"/>
                  </w:tcBorders>
                  <w:vAlign w:val="center"/>
                </w:tcPr>
                <w:p w14:paraId="7BC30AA3">
                  <w:pPr>
                    <w:jc w:val="center"/>
                    <w:rPr>
                      <w:color w:val="auto"/>
                    </w:rPr>
                  </w:pPr>
                  <w:r>
                    <w:rPr>
                      <w:color w:val="auto"/>
                    </w:rPr>
                    <w:t>非甲烷总烃排放速率（kg/h）</w:t>
                  </w:r>
                </w:p>
              </w:tc>
              <w:tc>
                <w:tcPr>
                  <w:tcW w:w="992" w:type="dxa"/>
                  <w:tcBorders>
                    <w:tl2br w:val="nil"/>
                    <w:tr2bl w:val="nil"/>
                  </w:tcBorders>
                  <w:vAlign w:val="center"/>
                </w:tcPr>
                <w:p w14:paraId="7F9D0886">
                  <w:pPr>
                    <w:jc w:val="center"/>
                    <w:rPr>
                      <w:color w:val="auto"/>
                    </w:rPr>
                  </w:pPr>
                  <w:r>
                    <w:rPr>
                      <w:rFonts w:hint="eastAsia"/>
                      <w:color w:val="auto"/>
                    </w:rPr>
                    <w:t>0.019</w:t>
                  </w:r>
                </w:p>
              </w:tc>
              <w:tc>
                <w:tcPr>
                  <w:tcW w:w="1312" w:type="dxa"/>
                  <w:tcBorders>
                    <w:tl2br w:val="nil"/>
                    <w:tr2bl w:val="nil"/>
                  </w:tcBorders>
                  <w:vAlign w:val="center"/>
                </w:tcPr>
                <w:p w14:paraId="62A870A4">
                  <w:pPr>
                    <w:jc w:val="center"/>
                    <w:rPr>
                      <w:color w:val="auto"/>
                    </w:rPr>
                  </w:pPr>
                  <w:r>
                    <w:rPr>
                      <w:color w:val="auto"/>
                    </w:rPr>
                    <w:t>0.0</w:t>
                  </w:r>
                  <w:r>
                    <w:rPr>
                      <w:rFonts w:hint="eastAsia"/>
                      <w:color w:val="auto"/>
                    </w:rPr>
                    <w:t>18</w:t>
                  </w:r>
                </w:p>
              </w:tc>
              <w:tc>
                <w:tcPr>
                  <w:tcW w:w="1254" w:type="dxa"/>
                  <w:tcBorders>
                    <w:tl2br w:val="nil"/>
                    <w:tr2bl w:val="nil"/>
                  </w:tcBorders>
                  <w:vAlign w:val="center"/>
                </w:tcPr>
                <w:p w14:paraId="020B1271">
                  <w:pPr>
                    <w:jc w:val="center"/>
                    <w:rPr>
                      <w:color w:val="auto"/>
                    </w:rPr>
                  </w:pPr>
                  <w:r>
                    <w:rPr>
                      <w:color w:val="auto"/>
                    </w:rPr>
                    <w:t>0.0</w:t>
                  </w:r>
                  <w:r>
                    <w:rPr>
                      <w:rFonts w:hint="eastAsia"/>
                      <w:color w:val="auto"/>
                    </w:rPr>
                    <w:t>22</w:t>
                  </w:r>
                </w:p>
              </w:tc>
              <w:tc>
                <w:tcPr>
                  <w:tcW w:w="836" w:type="dxa"/>
                  <w:tcBorders>
                    <w:tl2br w:val="nil"/>
                    <w:tr2bl w:val="nil"/>
                  </w:tcBorders>
                  <w:vAlign w:val="center"/>
                </w:tcPr>
                <w:p w14:paraId="5DF4F8E8">
                  <w:pPr>
                    <w:jc w:val="center"/>
                    <w:rPr>
                      <w:color w:val="auto"/>
                    </w:rPr>
                  </w:pPr>
                  <w:r>
                    <w:rPr>
                      <w:color w:val="auto"/>
                    </w:rPr>
                    <w:t>/</w:t>
                  </w:r>
                </w:p>
              </w:tc>
            </w:tr>
            <w:tr w14:paraId="669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9" w:type="dxa"/>
                  <w:vMerge w:val="continue"/>
                  <w:tcBorders>
                    <w:tl2br w:val="nil"/>
                    <w:tr2bl w:val="nil"/>
                  </w:tcBorders>
                  <w:vAlign w:val="center"/>
                </w:tcPr>
                <w:p w14:paraId="5F70DCC4">
                  <w:pPr>
                    <w:pStyle w:val="8"/>
                    <w:spacing w:line="240" w:lineRule="auto"/>
                    <w:jc w:val="center"/>
                    <w:rPr>
                      <w:color w:val="auto"/>
                      <w:sz w:val="21"/>
                      <w:szCs w:val="21"/>
                    </w:rPr>
                  </w:pPr>
                </w:p>
              </w:tc>
              <w:tc>
                <w:tcPr>
                  <w:tcW w:w="888" w:type="dxa"/>
                  <w:vMerge w:val="continue"/>
                  <w:tcBorders>
                    <w:tl2br w:val="nil"/>
                    <w:tr2bl w:val="nil"/>
                  </w:tcBorders>
                  <w:vAlign w:val="center"/>
                </w:tcPr>
                <w:p w14:paraId="0330BC3C">
                  <w:pPr>
                    <w:pStyle w:val="8"/>
                    <w:spacing w:line="240" w:lineRule="auto"/>
                    <w:jc w:val="center"/>
                    <w:rPr>
                      <w:color w:val="auto"/>
                      <w:sz w:val="21"/>
                      <w:szCs w:val="21"/>
                    </w:rPr>
                  </w:pPr>
                </w:p>
              </w:tc>
              <w:tc>
                <w:tcPr>
                  <w:tcW w:w="2813" w:type="dxa"/>
                  <w:tcBorders>
                    <w:tl2br w:val="nil"/>
                    <w:tr2bl w:val="nil"/>
                  </w:tcBorders>
                  <w:vAlign w:val="center"/>
                </w:tcPr>
                <w:p w14:paraId="42D1E559">
                  <w:pPr>
                    <w:jc w:val="center"/>
                    <w:rPr>
                      <w:color w:val="auto"/>
                    </w:rPr>
                  </w:pPr>
                  <w:r>
                    <w:rPr>
                      <w:color w:val="auto"/>
                    </w:rPr>
                    <w:t>处理效率（%）</w:t>
                  </w:r>
                </w:p>
              </w:tc>
              <w:tc>
                <w:tcPr>
                  <w:tcW w:w="992" w:type="dxa"/>
                  <w:tcBorders>
                    <w:tl2br w:val="nil"/>
                    <w:tr2bl w:val="nil"/>
                  </w:tcBorders>
                  <w:vAlign w:val="center"/>
                </w:tcPr>
                <w:p w14:paraId="037E77F1">
                  <w:pPr>
                    <w:jc w:val="center"/>
                    <w:rPr>
                      <w:color w:val="auto"/>
                    </w:rPr>
                  </w:pPr>
                  <w:r>
                    <w:rPr>
                      <w:rFonts w:hint="eastAsia"/>
                      <w:color w:val="auto"/>
                    </w:rPr>
                    <w:t>91.97</w:t>
                  </w:r>
                </w:p>
              </w:tc>
              <w:tc>
                <w:tcPr>
                  <w:tcW w:w="1312" w:type="dxa"/>
                  <w:tcBorders>
                    <w:tl2br w:val="nil"/>
                    <w:tr2bl w:val="nil"/>
                  </w:tcBorders>
                  <w:vAlign w:val="center"/>
                </w:tcPr>
                <w:p w14:paraId="1154F421">
                  <w:pPr>
                    <w:jc w:val="center"/>
                    <w:rPr>
                      <w:color w:val="auto"/>
                    </w:rPr>
                  </w:pPr>
                  <w:r>
                    <w:rPr>
                      <w:rFonts w:hint="eastAsia"/>
                      <w:color w:val="auto"/>
                    </w:rPr>
                    <w:t>92.09</w:t>
                  </w:r>
                </w:p>
              </w:tc>
              <w:tc>
                <w:tcPr>
                  <w:tcW w:w="1254" w:type="dxa"/>
                  <w:tcBorders>
                    <w:tl2br w:val="nil"/>
                    <w:tr2bl w:val="nil"/>
                  </w:tcBorders>
                  <w:vAlign w:val="center"/>
                </w:tcPr>
                <w:p w14:paraId="13A8B486">
                  <w:pPr>
                    <w:jc w:val="center"/>
                    <w:rPr>
                      <w:color w:val="auto"/>
                    </w:rPr>
                  </w:pPr>
                  <w:r>
                    <w:rPr>
                      <w:rFonts w:hint="eastAsia"/>
                      <w:color w:val="auto"/>
                    </w:rPr>
                    <w:t>90</w:t>
                  </w:r>
                </w:p>
              </w:tc>
              <w:tc>
                <w:tcPr>
                  <w:tcW w:w="836" w:type="dxa"/>
                  <w:tcBorders>
                    <w:tl2br w:val="nil"/>
                    <w:tr2bl w:val="nil"/>
                  </w:tcBorders>
                  <w:vAlign w:val="center"/>
                </w:tcPr>
                <w:p w14:paraId="38197255">
                  <w:pPr>
                    <w:jc w:val="center"/>
                    <w:rPr>
                      <w:color w:val="auto"/>
                    </w:rPr>
                  </w:pPr>
                  <w:r>
                    <w:rPr>
                      <w:color w:val="auto"/>
                    </w:rPr>
                    <w:t>90</w:t>
                  </w:r>
                </w:p>
              </w:tc>
            </w:tr>
            <w:tr w14:paraId="23B5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9" w:type="dxa"/>
                  <w:vMerge w:val="restart"/>
                  <w:tcBorders>
                    <w:tl2br w:val="nil"/>
                    <w:tr2bl w:val="nil"/>
                  </w:tcBorders>
                  <w:vAlign w:val="center"/>
                </w:tcPr>
                <w:p w14:paraId="57C835B4">
                  <w:pPr>
                    <w:pStyle w:val="8"/>
                    <w:spacing w:line="240" w:lineRule="auto"/>
                    <w:jc w:val="center"/>
                    <w:rPr>
                      <w:color w:val="auto"/>
                      <w:sz w:val="21"/>
                      <w:szCs w:val="21"/>
                    </w:rPr>
                  </w:pPr>
                  <w:r>
                    <w:rPr>
                      <w:rFonts w:hint="eastAsia"/>
                      <w:color w:val="auto"/>
                      <w:sz w:val="21"/>
                      <w:szCs w:val="21"/>
                    </w:rPr>
                    <w:t>DA002进口</w:t>
                  </w:r>
                </w:p>
              </w:tc>
              <w:tc>
                <w:tcPr>
                  <w:tcW w:w="888" w:type="dxa"/>
                  <w:vMerge w:val="restart"/>
                  <w:tcBorders>
                    <w:tl2br w:val="nil"/>
                    <w:tr2bl w:val="nil"/>
                  </w:tcBorders>
                  <w:vAlign w:val="center"/>
                </w:tcPr>
                <w:p w14:paraId="13DC0A8A">
                  <w:pPr>
                    <w:pStyle w:val="8"/>
                    <w:spacing w:line="240" w:lineRule="auto"/>
                    <w:jc w:val="center"/>
                    <w:rPr>
                      <w:color w:val="auto"/>
                      <w:sz w:val="21"/>
                      <w:szCs w:val="21"/>
                    </w:rPr>
                  </w:pPr>
                  <w:r>
                    <w:rPr>
                      <w:rFonts w:hint="eastAsia"/>
                      <w:color w:val="auto"/>
                      <w:sz w:val="21"/>
                      <w:szCs w:val="21"/>
                    </w:rPr>
                    <w:t>2024.4.26</w:t>
                  </w:r>
                </w:p>
              </w:tc>
              <w:tc>
                <w:tcPr>
                  <w:tcW w:w="2813" w:type="dxa"/>
                  <w:tcBorders>
                    <w:tl2br w:val="nil"/>
                    <w:tr2bl w:val="nil"/>
                  </w:tcBorders>
                  <w:shd w:val="clear" w:color="auto" w:fill="auto"/>
                  <w:vAlign w:val="center"/>
                </w:tcPr>
                <w:p w14:paraId="6F20C363">
                  <w:pPr>
                    <w:jc w:val="center"/>
                    <w:rPr>
                      <w:color w:val="auto"/>
                    </w:rPr>
                  </w:pPr>
                  <w:r>
                    <w:rPr>
                      <w:color w:val="auto"/>
                    </w:rPr>
                    <w:t>废气标杆流量（Nm</w:t>
                  </w:r>
                  <w:r>
                    <w:rPr>
                      <w:color w:val="auto"/>
                      <w:vertAlign w:val="superscript"/>
                    </w:rPr>
                    <w:t>3</w:t>
                  </w:r>
                  <w:r>
                    <w:rPr>
                      <w:color w:val="auto"/>
                    </w:rPr>
                    <w:t>/h）</w:t>
                  </w:r>
                </w:p>
              </w:tc>
              <w:tc>
                <w:tcPr>
                  <w:tcW w:w="992" w:type="dxa"/>
                  <w:tcBorders>
                    <w:tl2br w:val="nil"/>
                    <w:tr2bl w:val="nil"/>
                  </w:tcBorders>
                  <w:vAlign w:val="center"/>
                </w:tcPr>
                <w:p w14:paraId="662DE974">
                  <w:pPr>
                    <w:jc w:val="center"/>
                    <w:rPr>
                      <w:color w:val="auto"/>
                    </w:rPr>
                  </w:pPr>
                  <w:r>
                    <w:rPr>
                      <w:color w:val="auto"/>
                    </w:rPr>
                    <w:t>43893</w:t>
                  </w:r>
                </w:p>
              </w:tc>
              <w:tc>
                <w:tcPr>
                  <w:tcW w:w="1312" w:type="dxa"/>
                  <w:tcBorders>
                    <w:tl2br w:val="nil"/>
                    <w:tr2bl w:val="nil"/>
                  </w:tcBorders>
                  <w:vAlign w:val="center"/>
                </w:tcPr>
                <w:p w14:paraId="6119DCEF">
                  <w:pPr>
                    <w:jc w:val="center"/>
                    <w:rPr>
                      <w:color w:val="auto"/>
                    </w:rPr>
                  </w:pPr>
                  <w:r>
                    <w:rPr>
                      <w:color w:val="auto"/>
                    </w:rPr>
                    <w:t>43926</w:t>
                  </w:r>
                </w:p>
              </w:tc>
              <w:tc>
                <w:tcPr>
                  <w:tcW w:w="1254" w:type="dxa"/>
                  <w:tcBorders>
                    <w:tl2br w:val="nil"/>
                    <w:tr2bl w:val="nil"/>
                  </w:tcBorders>
                  <w:vAlign w:val="center"/>
                </w:tcPr>
                <w:p w14:paraId="1FF2CDFB">
                  <w:pPr>
                    <w:jc w:val="center"/>
                    <w:rPr>
                      <w:color w:val="auto"/>
                    </w:rPr>
                  </w:pPr>
                  <w:r>
                    <w:rPr>
                      <w:color w:val="auto"/>
                    </w:rPr>
                    <w:t>41005</w:t>
                  </w:r>
                </w:p>
              </w:tc>
              <w:tc>
                <w:tcPr>
                  <w:tcW w:w="836" w:type="dxa"/>
                  <w:tcBorders>
                    <w:tl2br w:val="nil"/>
                    <w:tr2bl w:val="nil"/>
                  </w:tcBorders>
                  <w:vAlign w:val="center"/>
                </w:tcPr>
                <w:p w14:paraId="1A28D3D3">
                  <w:pPr>
                    <w:jc w:val="center"/>
                    <w:rPr>
                      <w:color w:val="auto"/>
                    </w:rPr>
                  </w:pPr>
                  <w:r>
                    <w:rPr>
                      <w:color w:val="auto"/>
                    </w:rPr>
                    <w:t>/</w:t>
                  </w:r>
                </w:p>
              </w:tc>
            </w:tr>
            <w:tr w14:paraId="618D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49" w:type="dxa"/>
                  <w:vMerge w:val="continue"/>
                  <w:tcBorders>
                    <w:tl2br w:val="nil"/>
                    <w:tr2bl w:val="nil"/>
                  </w:tcBorders>
                  <w:vAlign w:val="center"/>
                </w:tcPr>
                <w:p w14:paraId="51E51C74">
                  <w:pPr>
                    <w:pStyle w:val="8"/>
                    <w:spacing w:line="240" w:lineRule="auto"/>
                    <w:jc w:val="center"/>
                    <w:rPr>
                      <w:color w:val="auto"/>
                      <w:sz w:val="21"/>
                      <w:szCs w:val="21"/>
                    </w:rPr>
                  </w:pPr>
                </w:p>
              </w:tc>
              <w:tc>
                <w:tcPr>
                  <w:tcW w:w="888" w:type="dxa"/>
                  <w:vMerge w:val="continue"/>
                  <w:tcBorders>
                    <w:tl2br w:val="nil"/>
                    <w:tr2bl w:val="nil"/>
                  </w:tcBorders>
                  <w:vAlign w:val="center"/>
                </w:tcPr>
                <w:p w14:paraId="5F69720B">
                  <w:pPr>
                    <w:pStyle w:val="8"/>
                    <w:spacing w:line="240" w:lineRule="auto"/>
                    <w:jc w:val="center"/>
                    <w:rPr>
                      <w:color w:val="auto"/>
                      <w:sz w:val="21"/>
                      <w:szCs w:val="21"/>
                    </w:rPr>
                  </w:pPr>
                </w:p>
              </w:tc>
              <w:tc>
                <w:tcPr>
                  <w:tcW w:w="2813" w:type="dxa"/>
                  <w:tcBorders>
                    <w:tl2br w:val="nil"/>
                    <w:tr2bl w:val="nil"/>
                  </w:tcBorders>
                  <w:shd w:val="clear" w:color="auto" w:fill="auto"/>
                  <w:vAlign w:val="center"/>
                </w:tcPr>
                <w:p w14:paraId="267439E3">
                  <w:pPr>
                    <w:jc w:val="center"/>
                    <w:rPr>
                      <w:color w:val="auto"/>
                    </w:rPr>
                  </w:pPr>
                  <w:r>
                    <w:rPr>
                      <w:rFonts w:hint="eastAsia"/>
                      <w:color w:val="auto"/>
                    </w:rPr>
                    <w:t>颗粒物</w:t>
                  </w:r>
                  <w:r>
                    <w:rPr>
                      <w:color w:val="auto"/>
                    </w:rPr>
                    <w:t>排放浓度（mg/m</w:t>
                  </w:r>
                  <w:r>
                    <w:rPr>
                      <w:color w:val="auto"/>
                      <w:vertAlign w:val="superscript"/>
                    </w:rPr>
                    <w:t>3</w:t>
                  </w:r>
                  <w:r>
                    <w:rPr>
                      <w:color w:val="auto"/>
                    </w:rPr>
                    <w:t>）</w:t>
                  </w:r>
                </w:p>
              </w:tc>
              <w:tc>
                <w:tcPr>
                  <w:tcW w:w="992" w:type="dxa"/>
                  <w:tcBorders>
                    <w:tl2br w:val="nil"/>
                    <w:tr2bl w:val="nil"/>
                  </w:tcBorders>
                  <w:vAlign w:val="center"/>
                </w:tcPr>
                <w:p w14:paraId="45BC1538">
                  <w:pPr>
                    <w:jc w:val="center"/>
                    <w:rPr>
                      <w:color w:val="auto"/>
                    </w:rPr>
                  </w:pPr>
                  <w:r>
                    <w:rPr>
                      <w:rFonts w:hint="eastAsia"/>
                      <w:color w:val="auto"/>
                    </w:rPr>
                    <w:t>44</w:t>
                  </w:r>
                </w:p>
              </w:tc>
              <w:tc>
                <w:tcPr>
                  <w:tcW w:w="1312" w:type="dxa"/>
                  <w:tcBorders>
                    <w:tl2br w:val="nil"/>
                    <w:tr2bl w:val="nil"/>
                  </w:tcBorders>
                  <w:vAlign w:val="center"/>
                </w:tcPr>
                <w:p w14:paraId="18116DAE">
                  <w:pPr>
                    <w:jc w:val="center"/>
                    <w:rPr>
                      <w:color w:val="auto"/>
                    </w:rPr>
                  </w:pPr>
                  <w:r>
                    <w:rPr>
                      <w:rFonts w:hint="eastAsia"/>
                      <w:color w:val="auto"/>
                    </w:rPr>
                    <w:t>41</w:t>
                  </w:r>
                </w:p>
              </w:tc>
              <w:tc>
                <w:tcPr>
                  <w:tcW w:w="1254" w:type="dxa"/>
                  <w:tcBorders>
                    <w:tl2br w:val="nil"/>
                    <w:tr2bl w:val="nil"/>
                  </w:tcBorders>
                  <w:vAlign w:val="center"/>
                </w:tcPr>
                <w:p w14:paraId="2DE4EF57">
                  <w:pPr>
                    <w:jc w:val="center"/>
                    <w:rPr>
                      <w:color w:val="auto"/>
                    </w:rPr>
                  </w:pPr>
                  <w:r>
                    <w:rPr>
                      <w:rFonts w:hint="eastAsia"/>
                      <w:color w:val="auto"/>
                    </w:rPr>
                    <w:t>52</w:t>
                  </w:r>
                </w:p>
              </w:tc>
              <w:tc>
                <w:tcPr>
                  <w:tcW w:w="836" w:type="dxa"/>
                  <w:tcBorders>
                    <w:tl2br w:val="nil"/>
                    <w:tr2bl w:val="nil"/>
                  </w:tcBorders>
                  <w:vAlign w:val="center"/>
                </w:tcPr>
                <w:p w14:paraId="0D92A113">
                  <w:pPr>
                    <w:jc w:val="center"/>
                    <w:rPr>
                      <w:color w:val="auto"/>
                    </w:rPr>
                  </w:pPr>
                  <w:r>
                    <w:rPr>
                      <w:color w:val="auto"/>
                    </w:rPr>
                    <w:t>/</w:t>
                  </w:r>
                </w:p>
              </w:tc>
            </w:tr>
            <w:tr w14:paraId="4123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9" w:type="dxa"/>
                  <w:vMerge w:val="continue"/>
                  <w:tcBorders>
                    <w:tl2br w:val="nil"/>
                    <w:tr2bl w:val="nil"/>
                  </w:tcBorders>
                  <w:vAlign w:val="center"/>
                </w:tcPr>
                <w:p w14:paraId="77541FF6">
                  <w:pPr>
                    <w:pStyle w:val="8"/>
                    <w:spacing w:line="240" w:lineRule="auto"/>
                    <w:jc w:val="center"/>
                    <w:rPr>
                      <w:color w:val="auto"/>
                      <w:sz w:val="21"/>
                      <w:szCs w:val="21"/>
                    </w:rPr>
                  </w:pPr>
                </w:p>
              </w:tc>
              <w:tc>
                <w:tcPr>
                  <w:tcW w:w="888" w:type="dxa"/>
                  <w:vMerge w:val="continue"/>
                  <w:tcBorders>
                    <w:tl2br w:val="nil"/>
                    <w:tr2bl w:val="nil"/>
                  </w:tcBorders>
                  <w:vAlign w:val="center"/>
                </w:tcPr>
                <w:p w14:paraId="28464D14">
                  <w:pPr>
                    <w:pStyle w:val="8"/>
                    <w:spacing w:line="240" w:lineRule="auto"/>
                    <w:jc w:val="center"/>
                    <w:rPr>
                      <w:color w:val="auto"/>
                      <w:sz w:val="21"/>
                      <w:szCs w:val="21"/>
                    </w:rPr>
                  </w:pPr>
                </w:p>
              </w:tc>
              <w:tc>
                <w:tcPr>
                  <w:tcW w:w="2813" w:type="dxa"/>
                  <w:tcBorders>
                    <w:tl2br w:val="nil"/>
                    <w:tr2bl w:val="nil"/>
                  </w:tcBorders>
                  <w:shd w:val="clear" w:color="auto" w:fill="auto"/>
                  <w:vAlign w:val="center"/>
                </w:tcPr>
                <w:p w14:paraId="64FF6D23">
                  <w:pPr>
                    <w:jc w:val="center"/>
                    <w:rPr>
                      <w:color w:val="auto"/>
                    </w:rPr>
                  </w:pPr>
                  <w:r>
                    <w:rPr>
                      <w:rFonts w:hint="eastAsia"/>
                      <w:color w:val="auto"/>
                    </w:rPr>
                    <w:t>颗粒物</w:t>
                  </w:r>
                  <w:r>
                    <w:rPr>
                      <w:color w:val="auto"/>
                    </w:rPr>
                    <w:t>排放速率（kg/h）</w:t>
                  </w:r>
                </w:p>
              </w:tc>
              <w:tc>
                <w:tcPr>
                  <w:tcW w:w="992" w:type="dxa"/>
                  <w:tcBorders>
                    <w:tl2br w:val="nil"/>
                    <w:tr2bl w:val="nil"/>
                  </w:tcBorders>
                  <w:vAlign w:val="center"/>
                </w:tcPr>
                <w:p w14:paraId="3D9D31B4">
                  <w:pPr>
                    <w:jc w:val="center"/>
                    <w:rPr>
                      <w:color w:val="auto"/>
                    </w:rPr>
                  </w:pPr>
                  <w:r>
                    <w:rPr>
                      <w:rFonts w:hint="eastAsia"/>
                      <w:color w:val="auto"/>
                    </w:rPr>
                    <w:t>1.9</w:t>
                  </w:r>
                </w:p>
              </w:tc>
              <w:tc>
                <w:tcPr>
                  <w:tcW w:w="1312" w:type="dxa"/>
                  <w:tcBorders>
                    <w:tl2br w:val="nil"/>
                    <w:tr2bl w:val="nil"/>
                  </w:tcBorders>
                  <w:vAlign w:val="center"/>
                </w:tcPr>
                <w:p w14:paraId="753197EF">
                  <w:pPr>
                    <w:jc w:val="center"/>
                    <w:rPr>
                      <w:color w:val="auto"/>
                    </w:rPr>
                  </w:pPr>
                  <w:r>
                    <w:rPr>
                      <w:rFonts w:hint="eastAsia"/>
                      <w:color w:val="auto"/>
                    </w:rPr>
                    <w:t>1.8</w:t>
                  </w:r>
                </w:p>
              </w:tc>
              <w:tc>
                <w:tcPr>
                  <w:tcW w:w="1254" w:type="dxa"/>
                  <w:tcBorders>
                    <w:tl2br w:val="nil"/>
                    <w:tr2bl w:val="nil"/>
                  </w:tcBorders>
                  <w:vAlign w:val="center"/>
                </w:tcPr>
                <w:p w14:paraId="266B51CD">
                  <w:pPr>
                    <w:jc w:val="center"/>
                    <w:rPr>
                      <w:color w:val="auto"/>
                    </w:rPr>
                  </w:pPr>
                  <w:r>
                    <w:rPr>
                      <w:rFonts w:hint="eastAsia"/>
                      <w:color w:val="auto"/>
                    </w:rPr>
                    <w:t>2.1</w:t>
                  </w:r>
                </w:p>
              </w:tc>
              <w:tc>
                <w:tcPr>
                  <w:tcW w:w="836" w:type="dxa"/>
                  <w:tcBorders>
                    <w:tl2br w:val="nil"/>
                    <w:tr2bl w:val="nil"/>
                  </w:tcBorders>
                  <w:vAlign w:val="center"/>
                </w:tcPr>
                <w:p w14:paraId="4CF0BAEE">
                  <w:pPr>
                    <w:jc w:val="center"/>
                    <w:rPr>
                      <w:color w:val="auto"/>
                    </w:rPr>
                  </w:pPr>
                  <w:r>
                    <w:rPr>
                      <w:color w:val="auto"/>
                    </w:rPr>
                    <w:t>/</w:t>
                  </w:r>
                </w:p>
              </w:tc>
            </w:tr>
            <w:tr w14:paraId="502C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vMerge w:val="restart"/>
                  <w:tcBorders>
                    <w:tl2br w:val="nil"/>
                    <w:tr2bl w:val="nil"/>
                  </w:tcBorders>
                  <w:vAlign w:val="center"/>
                </w:tcPr>
                <w:p w14:paraId="09566921">
                  <w:pPr>
                    <w:pStyle w:val="8"/>
                    <w:spacing w:line="240" w:lineRule="auto"/>
                    <w:jc w:val="center"/>
                    <w:rPr>
                      <w:color w:val="auto"/>
                      <w:sz w:val="21"/>
                      <w:szCs w:val="21"/>
                    </w:rPr>
                  </w:pPr>
                  <w:r>
                    <w:rPr>
                      <w:rFonts w:hint="eastAsia"/>
                      <w:color w:val="auto"/>
                      <w:sz w:val="21"/>
                      <w:szCs w:val="21"/>
                    </w:rPr>
                    <w:t>DA002出口</w:t>
                  </w:r>
                </w:p>
              </w:tc>
              <w:tc>
                <w:tcPr>
                  <w:tcW w:w="888" w:type="dxa"/>
                  <w:vMerge w:val="continue"/>
                  <w:tcBorders>
                    <w:tl2br w:val="nil"/>
                    <w:tr2bl w:val="nil"/>
                  </w:tcBorders>
                  <w:vAlign w:val="center"/>
                </w:tcPr>
                <w:p w14:paraId="6DFEB03E">
                  <w:pPr>
                    <w:pStyle w:val="8"/>
                    <w:spacing w:line="240" w:lineRule="auto"/>
                    <w:jc w:val="center"/>
                    <w:rPr>
                      <w:color w:val="auto"/>
                      <w:sz w:val="21"/>
                      <w:szCs w:val="21"/>
                    </w:rPr>
                  </w:pPr>
                </w:p>
              </w:tc>
              <w:tc>
                <w:tcPr>
                  <w:tcW w:w="2813" w:type="dxa"/>
                  <w:tcBorders>
                    <w:tl2br w:val="nil"/>
                    <w:tr2bl w:val="nil"/>
                  </w:tcBorders>
                  <w:shd w:val="clear" w:color="auto" w:fill="auto"/>
                  <w:vAlign w:val="center"/>
                </w:tcPr>
                <w:p w14:paraId="069C6032">
                  <w:pPr>
                    <w:jc w:val="center"/>
                    <w:rPr>
                      <w:color w:val="auto"/>
                    </w:rPr>
                  </w:pPr>
                  <w:r>
                    <w:rPr>
                      <w:color w:val="auto"/>
                    </w:rPr>
                    <w:t>废气标杆流量（Nm</w:t>
                  </w:r>
                  <w:r>
                    <w:rPr>
                      <w:color w:val="auto"/>
                      <w:vertAlign w:val="superscript"/>
                    </w:rPr>
                    <w:t>3</w:t>
                  </w:r>
                  <w:r>
                    <w:rPr>
                      <w:color w:val="auto"/>
                    </w:rPr>
                    <w:t>/h）</w:t>
                  </w:r>
                </w:p>
              </w:tc>
              <w:tc>
                <w:tcPr>
                  <w:tcW w:w="992" w:type="dxa"/>
                  <w:tcBorders>
                    <w:tl2br w:val="nil"/>
                    <w:tr2bl w:val="nil"/>
                  </w:tcBorders>
                  <w:vAlign w:val="center"/>
                </w:tcPr>
                <w:p w14:paraId="6B05DF97">
                  <w:pPr>
                    <w:jc w:val="center"/>
                    <w:rPr>
                      <w:color w:val="auto"/>
                    </w:rPr>
                  </w:pPr>
                  <w:r>
                    <w:rPr>
                      <w:rFonts w:hint="eastAsia"/>
                      <w:color w:val="auto"/>
                    </w:rPr>
                    <w:t>71717</w:t>
                  </w:r>
                </w:p>
              </w:tc>
              <w:tc>
                <w:tcPr>
                  <w:tcW w:w="1312" w:type="dxa"/>
                  <w:tcBorders>
                    <w:tl2br w:val="nil"/>
                    <w:tr2bl w:val="nil"/>
                  </w:tcBorders>
                  <w:vAlign w:val="center"/>
                </w:tcPr>
                <w:p w14:paraId="6B0BF411">
                  <w:pPr>
                    <w:jc w:val="center"/>
                    <w:rPr>
                      <w:color w:val="auto"/>
                    </w:rPr>
                  </w:pPr>
                  <w:r>
                    <w:rPr>
                      <w:rFonts w:hint="eastAsia"/>
                      <w:color w:val="auto"/>
                    </w:rPr>
                    <w:t>77035</w:t>
                  </w:r>
                </w:p>
              </w:tc>
              <w:tc>
                <w:tcPr>
                  <w:tcW w:w="1254" w:type="dxa"/>
                  <w:tcBorders>
                    <w:tl2br w:val="nil"/>
                    <w:tr2bl w:val="nil"/>
                  </w:tcBorders>
                  <w:vAlign w:val="center"/>
                </w:tcPr>
                <w:p w14:paraId="4AE6DB84">
                  <w:pPr>
                    <w:jc w:val="center"/>
                    <w:rPr>
                      <w:color w:val="auto"/>
                    </w:rPr>
                  </w:pPr>
                  <w:r>
                    <w:rPr>
                      <w:rFonts w:hint="eastAsia"/>
                      <w:color w:val="auto"/>
                    </w:rPr>
                    <w:t>77285</w:t>
                  </w:r>
                </w:p>
              </w:tc>
              <w:tc>
                <w:tcPr>
                  <w:tcW w:w="836" w:type="dxa"/>
                  <w:tcBorders>
                    <w:tl2br w:val="nil"/>
                    <w:tr2bl w:val="nil"/>
                  </w:tcBorders>
                  <w:vAlign w:val="center"/>
                </w:tcPr>
                <w:p w14:paraId="34742B93">
                  <w:pPr>
                    <w:jc w:val="center"/>
                    <w:rPr>
                      <w:color w:val="auto"/>
                    </w:rPr>
                  </w:pPr>
                  <w:r>
                    <w:rPr>
                      <w:color w:val="auto"/>
                    </w:rPr>
                    <w:t>/</w:t>
                  </w:r>
                </w:p>
              </w:tc>
            </w:tr>
            <w:tr w14:paraId="195F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9" w:type="dxa"/>
                  <w:vMerge w:val="continue"/>
                  <w:tcBorders>
                    <w:tl2br w:val="nil"/>
                    <w:tr2bl w:val="nil"/>
                  </w:tcBorders>
                  <w:vAlign w:val="center"/>
                </w:tcPr>
                <w:p w14:paraId="33CAAE99">
                  <w:pPr>
                    <w:pStyle w:val="8"/>
                    <w:spacing w:line="240" w:lineRule="auto"/>
                    <w:jc w:val="center"/>
                    <w:rPr>
                      <w:color w:val="auto"/>
                      <w:sz w:val="21"/>
                      <w:szCs w:val="21"/>
                    </w:rPr>
                  </w:pPr>
                </w:p>
              </w:tc>
              <w:tc>
                <w:tcPr>
                  <w:tcW w:w="888" w:type="dxa"/>
                  <w:vMerge w:val="continue"/>
                  <w:tcBorders>
                    <w:tl2br w:val="nil"/>
                    <w:tr2bl w:val="nil"/>
                  </w:tcBorders>
                  <w:vAlign w:val="center"/>
                </w:tcPr>
                <w:p w14:paraId="18518017">
                  <w:pPr>
                    <w:pStyle w:val="8"/>
                    <w:spacing w:line="240" w:lineRule="auto"/>
                    <w:jc w:val="center"/>
                    <w:rPr>
                      <w:color w:val="auto"/>
                      <w:sz w:val="21"/>
                      <w:szCs w:val="21"/>
                    </w:rPr>
                  </w:pPr>
                </w:p>
              </w:tc>
              <w:tc>
                <w:tcPr>
                  <w:tcW w:w="2813" w:type="dxa"/>
                  <w:tcBorders>
                    <w:tl2br w:val="nil"/>
                    <w:tr2bl w:val="nil"/>
                  </w:tcBorders>
                  <w:shd w:val="clear" w:color="auto" w:fill="auto"/>
                  <w:vAlign w:val="center"/>
                </w:tcPr>
                <w:p w14:paraId="69E17EF0">
                  <w:pPr>
                    <w:jc w:val="center"/>
                    <w:rPr>
                      <w:color w:val="auto"/>
                    </w:rPr>
                  </w:pPr>
                  <w:r>
                    <w:rPr>
                      <w:rFonts w:hint="eastAsia"/>
                      <w:color w:val="auto"/>
                    </w:rPr>
                    <w:t>颗粒物</w:t>
                  </w:r>
                  <w:r>
                    <w:rPr>
                      <w:color w:val="auto"/>
                    </w:rPr>
                    <w:t>排放浓度（mg/m</w:t>
                  </w:r>
                  <w:r>
                    <w:rPr>
                      <w:color w:val="auto"/>
                      <w:vertAlign w:val="superscript"/>
                    </w:rPr>
                    <w:t>3</w:t>
                  </w:r>
                  <w:r>
                    <w:rPr>
                      <w:color w:val="auto"/>
                    </w:rPr>
                    <w:t>）</w:t>
                  </w:r>
                </w:p>
              </w:tc>
              <w:tc>
                <w:tcPr>
                  <w:tcW w:w="992" w:type="dxa"/>
                  <w:tcBorders>
                    <w:tl2br w:val="nil"/>
                    <w:tr2bl w:val="nil"/>
                  </w:tcBorders>
                  <w:vAlign w:val="center"/>
                </w:tcPr>
                <w:p w14:paraId="2384D999">
                  <w:pPr>
                    <w:jc w:val="center"/>
                    <w:rPr>
                      <w:color w:val="auto"/>
                    </w:rPr>
                  </w:pPr>
                  <w:r>
                    <w:rPr>
                      <w:rFonts w:hint="eastAsia"/>
                      <w:color w:val="auto"/>
                    </w:rPr>
                    <w:t>9.3</w:t>
                  </w:r>
                </w:p>
              </w:tc>
              <w:tc>
                <w:tcPr>
                  <w:tcW w:w="1312" w:type="dxa"/>
                  <w:tcBorders>
                    <w:tl2br w:val="nil"/>
                    <w:tr2bl w:val="nil"/>
                  </w:tcBorders>
                  <w:vAlign w:val="center"/>
                </w:tcPr>
                <w:p w14:paraId="2D4A0FC2">
                  <w:pPr>
                    <w:jc w:val="center"/>
                    <w:rPr>
                      <w:color w:val="auto"/>
                    </w:rPr>
                  </w:pPr>
                  <w:r>
                    <w:rPr>
                      <w:rFonts w:hint="eastAsia"/>
                      <w:color w:val="auto"/>
                    </w:rPr>
                    <w:t>7.8</w:t>
                  </w:r>
                </w:p>
              </w:tc>
              <w:tc>
                <w:tcPr>
                  <w:tcW w:w="1254" w:type="dxa"/>
                  <w:tcBorders>
                    <w:tl2br w:val="nil"/>
                    <w:tr2bl w:val="nil"/>
                  </w:tcBorders>
                  <w:vAlign w:val="center"/>
                </w:tcPr>
                <w:p w14:paraId="5E66AFE6">
                  <w:pPr>
                    <w:jc w:val="center"/>
                    <w:rPr>
                      <w:color w:val="auto"/>
                    </w:rPr>
                  </w:pPr>
                  <w:r>
                    <w:rPr>
                      <w:rFonts w:hint="eastAsia"/>
                      <w:color w:val="auto"/>
                    </w:rPr>
                    <w:t>10.5</w:t>
                  </w:r>
                </w:p>
              </w:tc>
              <w:tc>
                <w:tcPr>
                  <w:tcW w:w="836" w:type="dxa"/>
                  <w:tcBorders>
                    <w:tl2br w:val="nil"/>
                    <w:tr2bl w:val="nil"/>
                  </w:tcBorders>
                  <w:vAlign w:val="center"/>
                </w:tcPr>
                <w:p w14:paraId="36D79AF2">
                  <w:pPr>
                    <w:jc w:val="center"/>
                    <w:rPr>
                      <w:color w:val="auto"/>
                    </w:rPr>
                  </w:pPr>
                  <w:r>
                    <w:rPr>
                      <w:color w:val="auto"/>
                    </w:rPr>
                    <w:t>/</w:t>
                  </w:r>
                </w:p>
              </w:tc>
            </w:tr>
            <w:tr w14:paraId="1078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9" w:type="dxa"/>
                  <w:vMerge w:val="continue"/>
                  <w:tcBorders>
                    <w:tl2br w:val="nil"/>
                    <w:tr2bl w:val="nil"/>
                  </w:tcBorders>
                  <w:vAlign w:val="center"/>
                </w:tcPr>
                <w:p w14:paraId="790AB77F">
                  <w:pPr>
                    <w:pStyle w:val="8"/>
                    <w:spacing w:line="240" w:lineRule="auto"/>
                    <w:jc w:val="center"/>
                    <w:rPr>
                      <w:color w:val="auto"/>
                      <w:sz w:val="21"/>
                      <w:szCs w:val="21"/>
                    </w:rPr>
                  </w:pPr>
                </w:p>
              </w:tc>
              <w:tc>
                <w:tcPr>
                  <w:tcW w:w="888" w:type="dxa"/>
                  <w:vMerge w:val="continue"/>
                  <w:tcBorders>
                    <w:tl2br w:val="nil"/>
                    <w:tr2bl w:val="nil"/>
                  </w:tcBorders>
                  <w:vAlign w:val="center"/>
                </w:tcPr>
                <w:p w14:paraId="08D7A041">
                  <w:pPr>
                    <w:pStyle w:val="8"/>
                    <w:spacing w:line="240" w:lineRule="auto"/>
                    <w:jc w:val="center"/>
                    <w:rPr>
                      <w:color w:val="auto"/>
                      <w:sz w:val="21"/>
                      <w:szCs w:val="21"/>
                    </w:rPr>
                  </w:pPr>
                </w:p>
              </w:tc>
              <w:tc>
                <w:tcPr>
                  <w:tcW w:w="2813" w:type="dxa"/>
                  <w:tcBorders>
                    <w:tl2br w:val="nil"/>
                    <w:tr2bl w:val="nil"/>
                  </w:tcBorders>
                  <w:shd w:val="clear" w:color="auto" w:fill="auto"/>
                  <w:vAlign w:val="center"/>
                </w:tcPr>
                <w:p w14:paraId="75B5EAB0">
                  <w:pPr>
                    <w:jc w:val="center"/>
                    <w:rPr>
                      <w:color w:val="auto"/>
                    </w:rPr>
                  </w:pPr>
                  <w:r>
                    <w:rPr>
                      <w:rFonts w:hint="eastAsia"/>
                      <w:color w:val="auto"/>
                    </w:rPr>
                    <w:t>颗粒物</w:t>
                  </w:r>
                  <w:r>
                    <w:rPr>
                      <w:color w:val="auto"/>
                    </w:rPr>
                    <w:t>排放速率（kg/h）</w:t>
                  </w:r>
                </w:p>
              </w:tc>
              <w:tc>
                <w:tcPr>
                  <w:tcW w:w="992" w:type="dxa"/>
                  <w:tcBorders>
                    <w:tl2br w:val="nil"/>
                    <w:tr2bl w:val="nil"/>
                  </w:tcBorders>
                  <w:vAlign w:val="center"/>
                </w:tcPr>
                <w:p w14:paraId="5D542C3C">
                  <w:pPr>
                    <w:jc w:val="center"/>
                    <w:rPr>
                      <w:color w:val="auto"/>
                    </w:rPr>
                  </w:pPr>
                  <w:r>
                    <w:rPr>
                      <w:rFonts w:hint="eastAsia"/>
                      <w:color w:val="auto"/>
                    </w:rPr>
                    <w:t>0.67</w:t>
                  </w:r>
                </w:p>
              </w:tc>
              <w:tc>
                <w:tcPr>
                  <w:tcW w:w="1312" w:type="dxa"/>
                  <w:tcBorders>
                    <w:tl2br w:val="nil"/>
                    <w:tr2bl w:val="nil"/>
                  </w:tcBorders>
                  <w:vAlign w:val="center"/>
                </w:tcPr>
                <w:p w14:paraId="243FCEA9">
                  <w:pPr>
                    <w:jc w:val="center"/>
                    <w:rPr>
                      <w:color w:val="auto"/>
                    </w:rPr>
                  </w:pPr>
                  <w:r>
                    <w:rPr>
                      <w:rFonts w:hint="eastAsia"/>
                      <w:color w:val="auto"/>
                    </w:rPr>
                    <w:t>0.60</w:t>
                  </w:r>
                </w:p>
              </w:tc>
              <w:tc>
                <w:tcPr>
                  <w:tcW w:w="1254" w:type="dxa"/>
                  <w:tcBorders>
                    <w:tl2br w:val="nil"/>
                    <w:tr2bl w:val="nil"/>
                  </w:tcBorders>
                  <w:vAlign w:val="center"/>
                </w:tcPr>
                <w:p w14:paraId="2388B658">
                  <w:pPr>
                    <w:jc w:val="center"/>
                    <w:rPr>
                      <w:color w:val="auto"/>
                    </w:rPr>
                  </w:pPr>
                  <w:r>
                    <w:rPr>
                      <w:rFonts w:hint="eastAsia"/>
                      <w:color w:val="auto"/>
                    </w:rPr>
                    <w:t>0.81</w:t>
                  </w:r>
                </w:p>
              </w:tc>
              <w:tc>
                <w:tcPr>
                  <w:tcW w:w="836" w:type="dxa"/>
                  <w:tcBorders>
                    <w:tl2br w:val="nil"/>
                    <w:tr2bl w:val="nil"/>
                  </w:tcBorders>
                  <w:vAlign w:val="center"/>
                </w:tcPr>
                <w:p w14:paraId="2E071289">
                  <w:pPr>
                    <w:jc w:val="center"/>
                    <w:rPr>
                      <w:color w:val="auto"/>
                    </w:rPr>
                  </w:pPr>
                  <w:r>
                    <w:rPr>
                      <w:color w:val="auto"/>
                    </w:rPr>
                    <w:t>/</w:t>
                  </w:r>
                </w:p>
              </w:tc>
            </w:tr>
            <w:tr w14:paraId="480D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49" w:type="dxa"/>
                  <w:vMerge w:val="continue"/>
                  <w:tcBorders>
                    <w:tl2br w:val="nil"/>
                    <w:tr2bl w:val="nil"/>
                  </w:tcBorders>
                  <w:vAlign w:val="center"/>
                </w:tcPr>
                <w:p w14:paraId="2BCACECE">
                  <w:pPr>
                    <w:pStyle w:val="8"/>
                    <w:spacing w:line="240" w:lineRule="auto"/>
                    <w:jc w:val="center"/>
                    <w:rPr>
                      <w:color w:val="auto"/>
                      <w:sz w:val="21"/>
                      <w:szCs w:val="21"/>
                    </w:rPr>
                  </w:pPr>
                </w:p>
              </w:tc>
              <w:tc>
                <w:tcPr>
                  <w:tcW w:w="888" w:type="dxa"/>
                  <w:vMerge w:val="continue"/>
                  <w:tcBorders>
                    <w:tl2br w:val="nil"/>
                    <w:tr2bl w:val="nil"/>
                  </w:tcBorders>
                  <w:vAlign w:val="center"/>
                </w:tcPr>
                <w:p w14:paraId="3856B21E">
                  <w:pPr>
                    <w:pStyle w:val="8"/>
                    <w:spacing w:line="240" w:lineRule="auto"/>
                    <w:jc w:val="center"/>
                    <w:rPr>
                      <w:color w:val="auto"/>
                      <w:sz w:val="21"/>
                      <w:szCs w:val="21"/>
                    </w:rPr>
                  </w:pPr>
                </w:p>
              </w:tc>
              <w:tc>
                <w:tcPr>
                  <w:tcW w:w="2813" w:type="dxa"/>
                  <w:tcBorders>
                    <w:tl2br w:val="nil"/>
                    <w:tr2bl w:val="nil"/>
                  </w:tcBorders>
                  <w:vAlign w:val="center"/>
                </w:tcPr>
                <w:p w14:paraId="4FB03D15">
                  <w:pPr>
                    <w:jc w:val="center"/>
                    <w:rPr>
                      <w:color w:val="auto"/>
                    </w:rPr>
                  </w:pPr>
                  <w:r>
                    <w:rPr>
                      <w:color w:val="auto"/>
                    </w:rPr>
                    <w:t>处理效率（%）</w:t>
                  </w:r>
                </w:p>
              </w:tc>
              <w:tc>
                <w:tcPr>
                  <w:tcW w:w="992" w:type="dxa"/>
                  <w:tcBorders>
                    <w:tl2br w:val="nil"/>
                    <w:tr2bl w:val="nil"/>
                  </w:tcBorders>
                  <w:vAlign w:val="center"/>
                </w:tcPr>
                <w:p w14:paraId="5B9A7B18">
                  <w:pPr>
                    <w:jc w:val="center"/>
                    <w:rPr>
                      <w:color w:val="auto"/>
                    </w:rPr>
                  </w:pPr>
                  <w:r>
                    <w:rPr>
                      <w:rFonts w:hint="eastAsia"/>
                      <w:color w:val="auto"/>
                    </w:rPr>
                    <w:t>78.8</w:t>
                  </w:r>
                </w:p>
              </w:tc>
              <w:tc>
                <w:tcPr>
                  <w:tcW w:w="1312" w:type="dxa"/>
                  <w:tcBorders>
                    <w:tl2br w:val="nil"/>
                    <w:tr2bl w:val="nil"/>
                  </w:tcBorders>
                  <w:vAlign w:val="center"/>
                </w:tcPr>
                <w:p w14:paraId="237773B2">
                  <w:pPr>
                    <w:jc w:val="center"/>
                    <w:rPr>
                      <w:color w:val="auto"/>
                    </w:rPr>
                  </w:pPr>
                  <w:r>
                    <w:rPr>
                      <w:rFonts w:hint="eastAsia"/>
                      <w:color w:val="auto"/>
                    </w:rPr>
                    <w:t>80.9</w:t>
                  </w:r>
                </w:p>
              </w:tc>
              <w:tc>
                <w:tcPr>
                  <w:tcW w:w="1254" w:type="dxa"/>
                  <w:tcBorders>
                    <w:tl2br w:val="nil"/>
                    <w:tr2bl w:val="nil"/>
                  </w:tcBorders>
                  <w:vAlign w:val="center"/>
                </w:tcPr>
                <w:p w14:paraId="63EE930F">
                  <w:pPr>
                    <w:jc w:val="center"/>
                    <w:rPr>
                      <w:color w:val="auto"/>
                    </w:rPr>
                  </w:pPr>
                  <w:r>
                    <w:rPr>
                      <w:rFonts w:hint="eastAsia"/>
                      <w:color w:val="auto"/>
                    </w:rPr>
                    <w:t>79.8</w:t>
                  </w:r>
                </w:p>
              </w:tc>
              <w:tc>
                <w:tcPr>
                  <w:tcW w:w="836" w:type="dxa"/>
                  <w:tcBorders>
                    <w:tl2br w:val="nil"/>
                    <w:tr2bl w:val="nil"/>
                  </w:tcBorders>
                  <w:vAlign w:val="center"/>
                </w:tcPr>
                <w:p w14:paraId="153B4C53">
                  <w:pPr>
                    <w:jc w:val="center"/>
                    <w:rPr>
                      <w:color w:val="auto"/>
                    </w:rPr>
                  </w:pPr>
                  <w:r>
                    <w:rPr>
                      <w:color w:val="auto"/>
                    </w:rPr>
                    <w:t>/</w:t>
                  </w:r>
                </w:p>
              </w:tc>
            </w:tr>
          </w:tbl>
          <w:p w14:paraId="4FC5B8CC">
            <w:pPr>
              <w:spacing w:line="360" w:lineRule="auto"/>
              <w:ind w:firstLine="480" w:firstLineChars="200"/>
              <w:rPr>
                <w:rFonts w:eastAsia="Times New Roman"/>
                <w:color w:val="auto"/>
                <w:sz w:val="24"/>
                <w:szCs w:val="24"/>
                <w:lang w:val="zh-CN"/>
              </w:rPr>
            </w:pPr>
            <w:r>
              <w:rPr>
                <w:rFonts w:eastAsia="Times New Roman"/>
                <w:color w:val="auto"/>
                <w:sz w:val="24"/>
                <w:szCs w:val="24"/>
                <w:lang w:val="zh-CN"/>
              </w:rPr>
              <w:t>根据</w:t>
            </w:r>
            <w:r>
              <w:rPr>
                <w:rFonts w:hint="eastAsia" w:eastAsia="Times New Roman"/>
                <w:color w:val="auto"/>
                <w:sz w:val="24"/>
                <w:szCs w:val="24"/>
                <w:lang w:val="zh-CN"/>
              </w:rPr>
              <w:t>其验收检测</w:t>
            </w:r>
            <w:r>
              <w:rPr>
                <w:rFonts w:eastAsia="Times New Roman"/>
                <w:color w:val="auto"/>
                <w:sz w:val="24"/>
                <w:szCs w:val="24"/>
                <w:lang w:val="zh-CN"/>
              </w:rPr>
              <w:t>数据，二级活性炭吸附废气处理装置对有机废气去除效率可达9</w:t>
            </w:r>
            <w:r>
              <w:rPr>
                <w:rFonts w:hint="eastAsia"/>
                <w:color w:val="auto"/>
                <w:sz w:val="24"/>
                <w:szCs w:val="24"/>
              </w:rPr>
              <w:t>0</w:t>
            </w:r>
            <w:r>
              <w:rPr>
                <w:rFonts w:eastAsia="Times New Roman"/>
                <w:color w:val="auto"/>
                <w:sz w:val="24"/>
                <w:szCs w:val="24"/>
                <w:lang w:val="zh-CN"/>
              </w:rPr>
              <w:t>%，</w:t>
            </w:r>
            <w:r>
              <w:rPr>
                <w:rFonts w:hint="eastAsia"/>
                <w:color w:val="auto"/>
                <w:sz w:val="24"/>
                <w:szCs w:val="24"/>
              </w:rPr>
              <w:t>焊烟净化装置对颗粒物去除效率可达75%，故</w:t>
            </w:r>
            <w:r>
              <w:rPr>
                <w:rFonts w:eastAsia="Times New Roman"/>
                <w:color w:val="auto"/>
                <w:sz w:val="24"/>
                <w:szCs w:val="24"/>
                <w:lang w:val="zh-CN"/>
              </w:rPr>
              <w:t>本项目废气处理方案可行。</w:t>
            </w:r>
          </w:p>
          <w:p w14:paraId="1BEBFA03">
            <w:pPr>
              <w:spacing w:line="360" w:lineRule="auto"/>
              <w:ind w:firstLine="480" w:firstLineChars="200"/>
              <w:rPr>
                <w:rFonts w:ascii="宋体" w:hAnsi="宋体"/>
                <w:color w:val="auto"/>
                <w:kern w:val="0"/>
                <w:sz w:val="24"/>
                <w:szCs w:val="24"/>
              </w:rPr>
            </w:pPr>
            <w:r>
              <w:rPr>
                <w:color w:val="auto"/>
                <w:kern w:val="0"/>
                <w:sz w:val="24"/>
                <w:szCs w:val="24"/>
              </w:rPr>
              <w:t>1.2.2无组织废气治</w:t>
            </w:r>
            <w:r>
              <w:rPr>
                <w:rFonts w:hint="eastAsia" w:ascii="宋体" w:hAnsi="宋体"/>
                <w:color w:val="auto"/>
                <w:kern w:val="0"/>
                <w:sz w:val="24"/>
                <w:szCs w:val="24"/>
              </w:rPr>
              <w:t>理措施可行性分析</w:t>
            </w:r>
          </w:p>
          <w:p w14:paraId="679B678C">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未捕集</w:t>
            </w:r>
            <w:r>
              <w:rPr>
                <w:rFonts w:ascii="宋体" w:hAnsi="宋体"/>
                <w:color w:val="auto"/>
                <w:kern w:val="0"/>
                <w:sz w:val="24"/>
                <w:szCs w:val="24"/>
              </w:rPr>
              <w:t>废气拟采取以下措施进行控制无组织废气：</w:t>
            </w:r>
          </w:p>
          <w:p w14:paraId="77C507A2">
            <w:pPr>
              <w:spacing w:line="360" w:lineRule="auto"/>
              <w:ind w:firstLine="480" w:firstLineChars="200"/>
              <w:jc w:val="left"/>
              <w:rPr>
                <w:color w:val="auto"/>
                <w:sz w:val="24"/>
                <w:szCs w:val="24"/>
              </w:rPr>
            </w:pPr>
            <w:r>
              <w:rPr>
                <w:rFonts w:hint="eastAsia"/>
                <w:color w:val="auto"/>
                <w:sz w:val="24"/>
                <w:szCs w:val="24"/>
              </w:rPr>
              <w:t>为有效控制无组织颗粒物和非甲烷总烃的排放，本项目采取预防为主的方针，同时工艺设计尽量减少生产过程中的产污环节，从而减少无组织排放量；</w:t>
            </w:r>
          </w:p>
          <w:p w14:paraId="79DB8974">
            <w:pPr>
              <w:spacing w:line="360" w:lineRule="auto"/>
              <w:ind w:firstLine="480" w:firstLineChars="200"/>
              <w:jc w:val="left"/>
              <w:rPr>
                <w:color w:val="auto"/>
                <w:sz w:val="24"/>
                <w:szCs w:val="24"/>
              </w:rPr>
            </w:pPr>
            <w:r>
              <w:rPr>
                <w:rFonts w:hint="eastAsia"/>
                <w:color w:val="auto"/>
                <w:sz w:val="24"/>
                <w:szCs w:val="24"/>
              </w:rPr>
              <w:t>本项目车间定期检查管道的密封性，定期检查排气筒和集气罩，减少无组织排放。洗管机停止生产时加盖，减少无组织挥发性有机物逸散。</w:t>
            </w:r>
          </w:p>
          <w:p w14:paraId="0D99AF94">
            <w:pPr>
              <w:spacing w:line="360" w:lineRule="auto"/>
              <w:ind w:firstLine="480" w:firstLineChars="200"/>
              <w:jc w:val="left"/>
              <w:rPr>
                <w:color w:val="auto"/>
                <w:sz w:val="24"/>
                <w:szCs w:val="24"/>
              </w:rPr>
            </w:pPr>
            <w:r>
              <w:rPr>
                <w:rFonts w:hint="eastAsia"/>
                <w:color w:val="auto"/>
                <w:sz w:val="24"/>
                <w:szCs w:val="24"/>
              </w:rPr>
              <w:t>无组织排放废气均通过合理布置车间、将产生无组织的废气装置布置在远离厂界的地方、车间强制通风（自然通风、排风扇等机械通风）等措施，减少无组织废气对厂界周围环境的影响。</w:t>
            </w:r>
          </w:p>
          <w:p w14:paraId="4F7B11BF">
            <w:pPr>
              <w:spacing w:line="360" w:lineRule="auto"/>
              <w:ind w:firstLine="480" w:firstLineChars="200"/>
              <w:jc w:val="left"/>
              <w:rPr>
                <w:color w:val="auto"/>
                <w:sz w:val="24"/>
                <w:szCs w:val="24"/>
              </w:rPr>
            </w:pPr>
            <w:r>
              <w:rPr>
                <w:rFonts w:hint="eastAsia"/>
                <w:color w:val="auto"/>
                <w:sz w:val="24"/>
                <w:szCs w:val="24"/>
              </w:rPr>
              <w:t>1.2.3排气筒设置合理性分析</w:t>
            </w:r>
          </w:p>
          <w:p w14:paraId="64D56BEE">
            <w:pPr>
              <w:spacing w:line="360" w:lineRule="auto"/>
              <w:ind w:firstLine="480" w:firstLineChars="200"/>
              <w:rPr>
                <w:bCs/>
                <w:color w:val="auto"/>
                <w:sz w:val="24"/>
                <w:szCs w:val="22"/>
              </w:rPr>
            </w:pPr>
            <w:r>
              <w:rPr>
                <w:rFonts w:hint="eastAsia"/>
                <w:bCs/>
                <w:color w:val="auto"/>
                <w:sz w:val="24"/>
                <w:szCs w:val="22"/>
              </w:rPr>
              <w:t>根据《大气污染物综合排放标准》（DB32/4041-2021）“4.1.4排放光气、氰化氢和氯气的排气筒高度不低于25m，其他排气筒高度不低于15m（因安全考虑或有特殊工艺要求的除外）”的要求，本项目FQ-1、FQ-2、FQ-3排气筒高度为15m，符合要求。</w:t>
            </w:r>
          </w:p>
          <w:p w14:paraId="1AB73186">
            <w:pPr>
              <w:spacing w:line="360" w:lineRule="auto"/>
              <w:ind w:firstLine="480" w:firstLineChars="200"/>
              <w:jc w:val="left"/>
              <w:rPr>
                <w:color w:val="auto"/>
                <w:sz w:val="24"/>
                <w:szCs w:val="24"/>
              </w:rPr>
            </w:pPr>
            <w:r>
              <w:rPr>
                <w:rFonts w:hint="eastAsia"/>
                <w:color w:val="auto"/>
                <w:sz w:val="24"/>
                <w:szCs w:val="24"/>
              </w:rPr>
              <w:t>FQ-1、FQ-2、FQ-3排气筒出口风速分别为14.4m/s、14.4m/s、14.2m/s，根据“《大气污染防治工程技术导则》流速宜取15m/s左右”，符合要求。</w:t>
            </w:r>
          </w:p>
          <w:p w14:paraId="6AF3F5AB">
            <w:pPr>
              <w:spacing w:line="360" w:lineRule="auto"/>
              <w:ind w:firstLine="480" w:firstLineChars="200"/>
              <w:jc w:val="left"/>
              <w:rPr>
                <w:color w:val="auto"/>
                <w:sz w:val="24"/>
                <w:szCs w:val="24"/>
              </w:rPr>
            </w:pPr>
            <w:r>
              <w:rPr>
                <w:rFonts w:hint="eastAsia"/>
                <w:color w:val="auto"/>
                <w:sz w:val="24"/>
                <w:szCs w:val="24"/>
              </w:rPr>
              <w:t>1.3非正常工况情况</w:t>
            </w:r>
          </w:p>
          <w:p w14:paraId="7B8E70D9">
            <w:pPr>
              <w:spacing w:line="360" w:lineRule="auto"/>
              <w:ind w:firstLine="480" w:firstLineChars="200"/>
              <w:rPr>
                <w:rFonts w:hint="eastAsia" w:hAnsi="宋体"/>
                <w:b/>
                <w:bCs/>
                <w:color w:val="auto"/>
                <w:kern w:val="0"/>
                <w:sz w:val="24"/>
                <w:lang w:val="zh-CN"/>
              </w:rPr>
            </w:pPr>
            <w:r>
              <w:rPr>
                <w:rFonts w:hint="eastAsia"/>
                <w:color w:val="auto"/>
                <w:sz w:val="24"/>
                <w:szCs w:val="24"/>
                <w:lang w:val="zh-CN"/>
              </w:rPr>
              <w:t>非正常生产状况是指开车、停车和机械设施故障等造成排放的废水、废气，在分析本项目生产工艺的基础上可知，</w:t>
            </w:r>
            <w:r>
              <w:rPr>
                <w:rFonts w:hint="eastAsia"/>
                <w:color w:val="auto"/>
                <w:sz w:val="24"/>
                <w:szCs w:val="24"/>
              </w:rPr>
              <w:t>非正常排放考虑按废气设施全部失效考虑，去除率降为0%，</w:t>
            </w:r>
            <w:r>
              <w:rPr>
                <w:rFonts w:hint="eastAsia"/>
                <w:color w:val="auto"/>
                <w:sz w:val="24"/>
                <w:szCs w:val="24"/>
                <w:lang w:val="zh-CN"/>
              </w:rPr>
              <w:t>具体排放情况见下表。</w:t>
            </w:r>
          </w:p>
          <w:p w14:paraId="31758E6D">
            <w:pPr>
              <w:spacing w:line="0" w:lineRule="atLeast"/>
              <w:ind w:firstLine="482"/>
              <w:jc w:val="center"/>
              <w:rPr>
                <w:rFonts w:hAnsi="宋体"/>
                <w:b/>
                <w:bCs/>
                <w:color w:val="auto"/>
                <w:kern w:val="0"/>
                <w:sz w:val="24"/>
                <w:lang w:val="zh-CN"/>
              </w:rPr>
            </w:pPr>
            <w:r>
              <w:rPr>
                <w:rFonts w:hint="eastAsia" w:hAnsi="宋体"/>
                <w:b/>
                <w:bCs/>
                <w:color w:val="auto"/>
                <w:kern w:val="0"/>
                <w:sz w:val="24"/>
                <w:lang w:val="zh-CN"/>
              </w:rPr>
              <w:t>表</w:t>
            </w:r>
            <w:r>
              <w:rPr>
                <w:rFonts w:hint="eastAsia" w:hAnsi="宋体"/>
                <w:b/>
                <w:bCs/>
                <w:color w:val="auto"/>
                <w:kern w:val="0"/>
                <w:sz w:val="24"/>
              </w:rPr>
              <w:t xml:space="preserve">4-11  </w:t>
            </w:r>
            <w:r>
              <w:rPr>
                <w:rFonts w:hint="eastAsia" w:hAnsi="宋体"/>
                <w:b/>
                <w:bCs/>
                <w:color w:val="auto"/>
                <w:kern w:val="0"/>
                <w:sz w:val="24"/>
                <w:lang w:val="zh-CN"/>
              </w:rPr>
              <w:t>非正常工况下废气产生源强</w:t>
            </w:r>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908"/>
              <w:gridCol w:w="1317"/>
              <w:gridCol w:w="1405"/>
              <w:gridCol w:w="907"/>
              <w:gridCol w:w="907"/>
              <w:gridCol w:w="907"/>
              <w:gridCol w:w="907"/>
              <w:gridCol w:w="907"/>
            </w:tblGrid>
            <w:tr w14:paraId="290E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07" w:type="dxa"/>
                  <w:vMerge w:val="restart"/>
                  <w:vAlign w:val="center"/>
                </w:tcPr>
                <w:p w14:paraId="2A4D1225">
                  <w:pPr>
                    <w:jc w:val="center"/>
                    <w:rPr>
                      <w:b/>
                      <w:bCs/>
                      <w:color w:val="auto"/>
                    </w:rPr>
                  </w:pPr>
                  <w:r>
                    <w:rPr>
                      <w:rFonts w:hint="eastAsia"/>
                      <w:b/>
                      <w:bCs/>
                      <w:color w:val="auto"/>
                    </w:rPr>
                    <w:t>非正常排放源</w:t>
                  </w:r>
                </w:p>
              </w:tc>
              <w:tc>
                <w:tcPr>
                  <w:tcW w:w="908" w:type="dxa"/>
                  <w:vMerge w:val="restart"/>
                  <w:vAlign w:val="center"/>
                </w:tcPr>
                <w:p w14:paraId="62871E24">
                  <w:pPr>
                    <w:jc w:val="center"/>
                    <w:rPr>
                      <w:b/>
                      <w:bCs/>
                      <w:color w:val="auto"/>
                    </w:rPr>
                  </w:pPr>
                  <w:r>
                    <w:rPr>
                      <w:rFonts w:hint="eastAsia"/>
                      <w:b/>
                      <w:bCs/>
                      <w:color w:val="auto"/>
                    </w:rPr>
                    <w:t>污染物</w:t>
                  </w:r>
                </w:p>
              </w:tc>
              <w:tc>
                <w:tcPr>
                  <w:tcW w:w="2722" w:type="dxa"/>
                  <w:gridSpan w:val="2"/>
                  <w:vAlign w:val="center"/>
                </w:tcPr>
                <w:p w14:paraId="593ADA59">
                  <w:pPr>
                    <w:jc w:val="center"/>
                    <w:rPr>
                      <w:b/>
                      <w:bCs/>
                      <w:color w:val="auto"/>
                    </w:rPr>
                  </w:pPr>
                  <w:r>
                    <w:rPr>
                      <w:rFonts w:hint="eastAsia"/>
                      <w:b/>
                      <w:bCs/>
                      <w:color w:val="auto"/>
                    </w:rPr>
                    <w:t>排放情况</w:t>
                  </w:r>
                </w:p>
              </w:tc>
              <w:tc>
                <w:tcPr>
                  <w:tcW w:w="2721" w:type="dxa"/>
                  <w:gridSpan w:val="3"/>
                  <w:vAlign w:val="center"/>
                </w:tcPr>
                <w:p w14:paraId="695068F8">
                  <w:pPr>
                    <w:jc w:val="center"/>
                    <w:rPr>
                      <w:b/>
                      <w:bCs/>
                      <w:color w:val="auto"/>
                    </w:rPr>
                  </w:pPr>
                  <w:r>
                    <w:rPr>
                      <w:rFonts w:hint="eastAsia"/>
                      <w:b/>
                      <w:bCs/>
                      <w:color w:val="auto"/>
                    </w:rPr>
                    <w:t>排放参数</w:t>
                  </w:r>
                </w:p>
              </w:tc>
              <w:tc>
                <w:tcPr>
                  <w:tcW w:w="907" w:type="dxa"/>
                  <w:vMerge w:val="restart"/>
                  <w:vAlign w:val="center"/>
                </w:tcPr>
                <w:p w14:paraId="69BF8E88">
                  <w:pPr>
                    <w:jc w:val="center"/>
                    <w:rPr>
                      <w:b/>
                      <w:bCs/>
                      <w:color w:val="auto"/>
                    </w:rPr>
                  </w:pPr>
                  <w:r>
                    <w:rPr>
                      <w:rFonts w:hint="eastAsia"/>
                      <w:b/>
                      <w:bCs/>
                      <w:color w:val="auto"/>
                    </w:rPr>
                    <w:t>单次持续时间</w:t>
                  </w:r>
                </w:p>
              </w:tc>
              <w:tc>
                <w:tcPr>
                  <w:tcW w:w="907" w:type="dxa"/>
                  <w:vMerge w:val="restart"/>
                  <w:vAlign w:val="center"/>
                </w:tcPr>
                <w:p w14:paraId="34EBD9AA">
                  <w:pPr>
                    <w:jc w:val="center"/>
                    <w:rPr>
                      <w:b/>
                      <w:bCs/>
                      <w:color w:val="auto"/>
                    </w:rPr>
                  </w:pPr>
                  <w:r>
                    <w:rPr>
                      <w:rFonts w:hint="eastAsia"/>
                      <w:b/>
                      <w:bCs/>
                      <w:color w:val="auto"/>
                    </w:rPr>
                    <w:t>年发生频次/年</w:t>
                  </w:r>
                </w:p>
              </w:tc>
            </w:tr>
            <w:tr w14:paraId="7D66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907" w:type="dxa"/>
                  <w:vMerge w:val="continue"/>
                  <w:vAlign w:val="center"/>
                </w:tcPr>
                <w:p w14:paraId="3BB20177">
                  <w:pPr>
                    <w:pStyle w:val="32"/>
                    <w:spacing w:line="360" w:lineRule="auto"/>
                    <w:rPr>
                      <w:rFonts w:ascii="Times New Roman" w:cs="Times New Roman"/>
                      <w:color w:val="auto"/>
                      <w:sz w:val="21"/>
                      <w:szCs w:val="21"/>
                    </w:rPr>
                  </w:pPr>
                </w:p>
              </w:tc>
              <w:tc>
                <w:tcPr>
                  <w:tcW w:w="908" w:type="dxa"/>
                  <w:vMerge w:val="continue"/>
                  <w:vAlign w:val="center"/>
                </w:tcPr>
                <w:p w14:paraId="26197FD7">
                  <w:pPr>
                    <w:pStyle w:val="32"/>
                    <w:spacing w:line="360" w:lineRule="auto"/>
                    <w:rPr>
                      <w:rFonts w:ascii="Times New Roman" w:cs="Times New Roman"/>
                      <w:color w:val="auto"/>
                      <w:sz w:val="21"/>
                      <w:szCs w:val="21"/>
                    </w:rPr>
                  </w:pPr>
                </w:p>
              </w:tc>
              <w:tc>
                <w:tcPr>
                  <w:tcW w:w="1317" w:type="dxa"/>
                  <w:vAlign w:val="center"/>
                </w:tcPr>
                <w:p w14:paraId="660E9151">
                  <w:pPr>
                    <w:jc w:val="center"/>
                    <w:rPr>
                      <w:b/>
                      <w:bCs/>
                      <w:color w:val="auto"/>
                    </w:rPr>
                  </w:pPr>
                  <w:r>
                    <w:rPr>
                      <w:rFonts w:hint="eastAsia"/>
                      <w:b/>
                      <w:bCs/>
                      <w:color w:val="auto"/>
                    </w:rPr>
                    <w:t>最大浓度mg/m</w:t>
                  </w:r>
                  <w:r>
                    <w:rPr>
                      <w:rFonts w:hint="eastAsia"/>
                      <w:b/>
                      <w:bCs/>
                      <w:color w:val="auto"/>
                      <w:vertAlign w:val="superscript"/>
                    </w:rPr>
                    <w:t>3</w:t>
                  </w:r>
                </w:p>
              </w:tc>
              <w:tc>
                <w:tcPr>
                  <w:tcW w:w="1405" w:type="dxa"/>
                  <w:vAlign w:val="center"/>
                </w:tcPr>
                <w:p w14:paraId="5C3AFFD4">
                  <w:pPr>
                    <w:jc w:val="center"/>
                    <w:rPr>
                      <w:b/>
                      <w:bCs/>
                      <w:color w:val="auto"/>
                    </w:rPr>
                  </w:pPr>
                  <w:r>
                    <w:rPr>
                      <w:rFonts w:hint="eastAsia"/>
                      <w:b/>
                      <w:bCs/>
                      <w:color w:val="auto"/>
                    </w:rPr>
                    <w:t>最大速率kg/h</w:t>
                  </w:r>
                </w:p>
              </w:tc>
              <w:tc>
                <w:tcPr>
                  <w:tcW w:w="907" w:type="dxa"/>
                  <w:vAlign w:val="center"/>
                </w:tcPr>
                <w:p w14:paraId="17CEF023">
                  <w:pPr>
                    <w:jc w:val="center"/>
                    <w:rPr>
                      <w:b/>
                      <w:bCs/>
                      <w:color w:val="auto"/>
                    </w:rPr>
                  </w:pPr>
                  <w:r>
                    <w:rPr>
                      <w:rFonts w:hint="eastAsia"/>
                      <w:b/>
                      <w:bCs/>
                      <w:color w:val="auto"/>
                    </w:rPr>
                    <w:t>高度m</w:t>
                  </w:r>
                </w:p>
              </w:tc>
              <w:tc>
                <w:tcPr>
                  <w:tcW w:w="907" w:type="dxa"/>
                  <w:vAlign w:val="center"/>
                </w:tcPr>
                <w:p w14:paraId="6A8E5D86">
                  <w:pPr>
                    <w:jc w:val="center"/>
                    <w:rPr>
                      <w:b/>
                      <w:bCs/>
                      <w:color w:val="auto"/>
                    </w:rPr>
                  </w:pPr>
                  <w:r>
                    <w:rPr>
                      <w:rFonts w:hint="eastAsia"/>
                      <w:b/>
                      <w:bCs/>
                      <w:color w:val="auto"/>
                    </w:rPr>
                    <w:t>直径m</w:t>
                  </w:r>
                </w:p>
              </w:tc>
              <w:tc>
                <w:tcPr>
                  <w:tcW w:w="907" w:type="dxa"/>
                  <w:vAlign w:val="center"/>
                </w:tcPr>
                <w:p w14:paraId="7D7A8EC7">
                  <w:pPr>
                    <w:jc w:val="center"/>
                    <w:rPr>
                      <w:b/>
                      <w:bCs/>
                      <w:color w:val="auto"/>
                    </w:rPr>
                  </w:pPr>
                  <w:r>
                    <w:rPr>
                      <w:rFonts w:hint="eastAsia"/>
                      <w:b/>
                      <w:bCs/>
                      <w:color w:val="auto"/>
                    </w:rPr>
                    <w:t>温度℃</w:t>
                  </w:r>
                </w:p>
              </w:tc>
              <w:tc>
                <w:tcPr>
                  <w:tcW w:w="907" w:type="dxa"/>
                  <w:vMerge w:val="continue"/>
                  <w:vAlign w:val="center"/>
                </w:tcPr>
                <w:p w14:paraId="2812BD02">
                  <w:pPr>
                    <w:pStyle w:val="32"/>
                    <w:spacing w:line="360" w:lineRule="auto"/>
                    <w:rPr>
                      <w:rFonts w:ascii="Times New Roman" w:cs="Times New Roman"/>
                      <w:color w:val="auto"/>
                      <w:sz w:val="21"/>
                      <w:szCs w:val="21"/>
                    </w:rPr>
                  </w:pPr>
                </w:p>
              </w:tc>
              <w:tc>
                <w:tcPr>
                  <w:tcW w:w="907" w:type="dxa"/>
                  <w:vMerge w:val="continue"/>
                  <w:vAlign w:val="center"/>
                </w:tcPr>
                <w:p w14:paraId="5051DFF8">
                  <w:pPr>
                    <w:pStyle w:val="32"/>
                    <w:spacing w:line="360" w:lineRule="auto"/>
                    <w:rPr>
                      <w:rFonts w:ascii="Times New Roman" w:cs="Times New Roman"/>
                      <w:color w:val="auto"/>
                      <w:sz w:val="21"/>
                      <w:szCs w:val="21"/>
                    </w:rPr>
                  </w:pPr>
                </w:p>
              </w:tc>
            </w:tr>
            <w:tr w14:paraId="1DD7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 w:type="dxa"/>
                  <w:vAlign w:val="center"/>
                </w:tcPr>
                <w:p w14:paraId="2C7F0636">
                  <w:pPr>
                    <w:pStyle w:val="32"/>
                    <w:jc w:val="center"/>
                    <w:rPr>
                      <w:rFonts w:ascii="Times New Roman" w:cs="Times New Roman"/>
                      <w:color w:val="auto"/>
                      <w:sz w:val="21"/>
                      <w:szCs w:val="21"/>
                    </w:rPr>
                  </w:pPr>
                  <w:r>
                    <w:rPr>
                      <w:rFonts w:hint="eastAsia" w:ascii="Times New Roman" w:cs="Times New Roman"/>
                      <w:b w:val="0"/>
                      <w:bCs/>
                      <w:color w:val="auto"/>
                      <w:sz w:val="21"/>
                      <w:szCs w:val="21"/>
                    </w:rPr>
                    <w:t>F</w:t>
                  </w:r>
                  <w:r>
                    <w:rPr>
                      <w:rFonts w:ascii="Times New Roman" w:cs="Times New Roman"/>
                      <w:b w:val="0"/>
                      <w:bCs/>
                      <w:color w:val="auto"/>
                      <w:sz w:val="21"/>
                      <w:szCs w:val="21"/>
                    </w:rPr>
                    <w:t>Q-1</w:t>
                  </w:r>
                </w:p>
              </w:tc>
              <w:tc>
                <w:tcPr>
                  <w:tcW w:w="908" w:type="dxa"/>
                  <w:vAlign w:val="center"/>
                </w:tcPr>
                <w:p w14:paraId="122F9103">
                  <w:pPr>
                    <w:jc w:val="center"/>
                    <w:rPr>
                      <w:color w:val="auto"/>
                    </w:rPr>
                  </w:pPr>
                  <w:r>
                    <w:rPr>
                      <w:rFonts w:hint="eastAsia"/>
                      <w:color w:val="auto"/>
                    </w:rPr>
                    <w:t>非甲烷总烃</w:t>
                  </w:r>
                </w:p>
              </w:tc>
              <w:tc>
                <w:tcPr>
                  <w:tcW w:w="1317" w:type="dxa"/>
                  <w:vAlign w:val="center"/>
                </w:tcPr>
                <w:p w14:paraId="0751849A">
                  <w:pPr>
                    <w:spacing w:line="0" w:lineRule="atLeast"/>
                    <w:jc w:val="center"/>
                    <w:rPr>
                      <w:color w:val="auto"/>
                    </w:rPr>
                  </w:pPr>
                  <w:r>
                    <w:rPr>
                      <w:rFonts w:hint="eastAsia"/>
                      <w:bCs/>
                      <w:color w:val="auto"/>
                    </w:rPr>
                    <w:t>29.167</w:t>
                  </w:r>
                </w:p>
              </w:tc>
              <w:tc>
                <w:tcPr>
                  <w:tcW w:w="1405" w:type="dxa"/>
                  <w:vAlign w:val="center"/>
                </w:tcPr>
                <w:p w14:paraId="14EEDD0B">
                  <w:pPr>
                    <w:spacing w:line="0" w:lineRule="atLeast"/>
                    <w:jc w:val="center"/>
                    <w:rPr>
                      <w:color w:val="auto"/>
                    </w:rPr>
                  </w:pPr>
                  <w:r>
                    <w:rPr>
                      <w:rFonts w:hint="eastAsia"/>
                      <w:bCs/>
                      <w:color w:val="auto"/>
                    </w:rPr>
                    <w:t>3.36</w:t>
                  </w:r>
                </w:p>
              </w:tc>
              <w:tc>
                <w:tcPr>
                  <w:tcW w:w="907" w:type="dxa"/>
                  <w:vAlign w:val="center"/>
                </w:tcPr>
                <w:p w14:paraId="3734EADF">
                  <w:pPr>
                    <w:jc w:val="center"/>
                    <w:rPr>
                      <w:color w:val="auto"/>
                    </w:rPr>
                  </w:pPr>
                  <w:r>
                    <w:rPr>
                      <w:rFonts w:hint="eastAsia"/>
                      <w:color w:val="auto"/>
                    </w:rPr>
                    <w:t>15m</w:t>
                  </w:r>
                </w:p>
              </w:tc>
              <w:tc>
                <w:tcPr>
                  <w:tcW w:w="907" w:type="dxa"/>
                  <w:vAlign w:val="center"/>
                </w:tcPr>
                <w:p w14:paraId="47A01A2F">
                  <w:pPr>
                    <w:jc w:val="center"/>
                    <w:rPr>
                      <w:color w:val="auto"/>
                    </w:rPr>
                  </w:pPr>
                  <w:r>
                    <w:rPr>
                      <w:rFonts w:hint="eastAsia"/>
                      <w:color w:val="auto"/>
                    </w:rPr>
                    <w:t>0.7m</w:t>
                  </w:r>
                </w:p>
              </w:tc>
              <w:tc>
                <w:tcPr>
                  <w:tcW w:w="907" w:type="dxa"/>
                  <w:vAlign w:val="center"/>
                </w:tcPr>
                <w:p w14:paraId="50A97262">
                  <w:pPr>
                    <w:jc w:val="center"/>
                    <w:rPr>
                      <w:color w:val="auto"/>
                    </w:rPr>
                  </w:pPr>
                  <w:r>
                    <w:rPr>
                      <w:rFonts w:hint="eastAsia"/>
                      <w:color w:val="auto"/>
                    </w:rPr>
                    <w:t>20℃</w:t>
                  </w:r>
                </w:p>
              </w:tc>
              <w:tc>
                <w:tcPr>
                  <w:tcW w:w="907" w:type="dxa"/>
                  <w:vAlign w:val="center"/>
                </w:tcPr>
                <w:p w14:paraId="58F644CC">
                  <w:pPr>
                    <w:jc w:val="center"/>
                    <w:rPr>
                      <w:color w:val="auto"/>
                    </w:rPr>
                  </w:pPr>
                  <w:r>
                    <w:rPr>
                      <w:rFonts w:hint="eastAsia"/>
                      <w:color w:val="auto"/>
                    </w:rPr>
                    <w:t>1h</w:t>
                  </w:r>
                </w:p>
              </w:tc>
              <w:tc>
                <w:tcPr>
                  <w:tcW w:w="907" w:type="dxa"/>
                  <w:vAlign w:val="center"/>
                </w:tcPr>
                <w:p w14:paraId="0F3AD208">
                  <w:pPr>
                    <w:jc w:val="center"/>
                    <w:rPr>
                      <w:color w:val="auto"/>
                    </w:rPr>
                  </w:pPr>
                  <w:r>
                    <w:rPr>
                      <w:rFonts w:hint="eastAsia"/>
                      <w:color w:val="auto"/>
                    </w:rPr>
                    <w:t>1</w:t>
                  </w:r>
                </w:p>
              </w:tc>
            </w:tr>
            <w:tr w14:paraId="6670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07" w:type="dxa"/>
                  <w:vAlign w:val="center"/>
                </w:tcPr>
                <w:p w14:paraId="19E49E96">
                  <w:pPr>
                    <w:pStyle w:val="32"/>
                    <w:jc w:val="center"/>
                    <w:rPr>
                      <w:rFonts w:ascii="Times New Roman" w:cs="Times New Roman"/>
                      <w:b w:val="0"/>
                      <w:bCs/>
                      <w:color w:val="auto"/>
                      <w:sz w:val="21"/>
                      <w:szCs w:val="21"/>
                    </w:rPr>
                  </w:pPr>
                  <w:r>
                    <w:rPr>
                      <w:rFonts w:hint="eastAsia" w:ascii="Times New Roman" w:cs="Times New Roman"/>
                      <w:b w:val="0"/>
                      <w:bCs/>
                      <w:color w:val="auto"/>
                      <w:sz w:val="21"/>
                      <w:szCs w:val="21"/>
                    </w:rPr>
                    <w:t>F</w:t>
                  </w:r>
                  <w:r>
                    <w:rPr>
                      <w:rFonts w:ascii="Times New Roman" w:cs="Times New Roman"/>
                      <w:b w:val="0"/>
                      <w:bCs/>
                      <w:color w:val="auto"/>
                      <w:sz w:val="21"/>
                      <w:szCs w:val="21"/>
                    </w:rPr>
                    <w:t>Q-</w:t>
                  </w:r>
                  <w:r>
                    <w:rPr>
                      <w:rFonts w:hint="eastAsia" w:ascii="Times New Roman" w:cs="Times New Roman"/>
                      <w:b w:val="0"/>
                      <w:bCs/>
                      <w:color w:val="auto"/>
                      <w:sz w:val="21"/>
                      <w:szCs w:val="21"/>
                    </w:rPr>
                    <w:t>3</w:t>
                  </w:r>
                </w:p>
              </w:tc>
              <w:tc>
                <w:tcPr>
                  <w:tcW w:w="908" w:type="dxa"/>
                  <w:vAlign w:val="center"/>
                </w:tcPr>
                <w:p w14:paraId="7E11CE92">
                  <w:pPr>
                    <w:jc w:val="center"/>
                    <w:rPr>
                      <w:color w:val="auto"/>
                    </w:rPr>
                  </w:pPr>
                  <w:r>
                    <w:rPr>
                      <w:rFonts w:hint="eastAsia"/>
                      <w:color w:val="auto"/>
                    </w:rPr>
                    <w:t>颗粒物</w:t>
                  </w:r>
                </w:p>
              </w:tc>
              <w:tc>
                <w:tcPr>
                  <w:tcW w:w="1317" w:type="dxa"/>
                  <w:vAlign w:val="center"/>
                </w:tcPr>
                <w:p w14:paraId="3FC2306F">
                  <w:pPr>
                    <w:spacing w:line="0" w:lineRule="atLeast"/>
                    <w:jc w:val="center"/>
                    <w:rPr>
                      <w:bCs/>
                      <w:color w:val="auto"/>
                    </w:rPr>
                  </w:pPr>
                  <w:r>
                    <w:rPr>
                      <w:rFonts w:hint="eastAsia"/>
                      <w:bCs/>
                      <w:color w:val="auto"/>
                      <w:lang w:val="en-US" w:eastAsia="zh-CN"/>
                    </w:rPr>
                    <w:t>4.67</w:t>
                  </w:r>
                </w:p>
              </w:tc>
              <w:tc>
                <w:tcPr>
                  <w:tcW w:w="1405" w:type="dxa"/>
                  <w:vAlign w:val="center"/>
                </w:tcPr>
                <w:p w14:paraId="32E5C80E">
                  <w:pPr>
                    <w:spacing w:line="0" w:lineRule="atLeast"/>
                    <w:jc w:val="center"/>
                    <w:rPr>
                      <w:bCs/>
                      <w:color w:val="auto"/>
                    </w:rPr>
                  </w:pPr>
                  <w:r>
                    <w:rPr>
                      <w:rFonts w:hint="eastAsia"/>
                      <w:bCs/>
                      <w:color w:val="auto"/>
                      <w:lang w:val="en-US" w:eastAsia="zh-CN"/>
                    </w:rPr>
                    <w:t>0.012</w:t>
                  </w:r>
                </w:p>
              </w:tc>
              <w:tc>
                <w:tcPr>
                  <w:tcW w:w="907" w:type="dxa"/>
                  <w:vAlign w:val="center"/>
                </w:tcPr>
                <w:p w14:paraId="06C685AF">
                  <w:pPr>
                    <w:jc w:val="center"/>
                    <w:rPr>
                      <w:color w:val="auto"/>
                    </w:rPr>
                  </w:pPr>
                  <w:r>
                    <w:rPr>
                      <w:rFonts w:hint="eastAsia"/>
                      <w:color w:val="auto"/>
                    </w:rPr>
                    <w:t>15m</w:t>
                  </w:r>
                </w:p>
              </w:tc>
              <w:tc>
                <w:tcPr>
                  <w:tcW w:w="907" w:type="dxa"/>
                  <w:vAlign w:val="center"/>
                </w:tcPr>
                <w:p w14:paraId="5B1A00DE">
                  <w:pPr>
                    <w:jc w:val="center"/>
                    <w:rPr>
                      <w:color w:val="auto"/>
                    </w:rPr>
                  </w:pPr>
                  <w:r>
                    <w:rPr>
                      <w:rFonts w:hint="eastAsia"/>
                      <w:color w:val="auto"/>
                    </w:rPr>
                    <w:t>0.25m</w:t>
                  </w:r>
                </w:p>
              </w:tc>
              <w:tc>
                <w:tcPr>
                  <w:tcW w:w="907" w:type="dxa"/>
                  <w:vAlign w:val="center"/>
                </w:tcPr>
                <w:p w14:paraId="53C2596F">
                  <w:pPr>
                    <w:jc w:val="center"/>
                    <w:rPr>
                      <w:color w:val="auto"/>
                    </w:rPr>
                  </w:pPr>
                  <w:r>
                    <w:rPr>
                      <w:rFonts w:hint="eastAsia"/>
                      <w:color w:val="auto"/>
                    </w:rPr>
                    <w:t>20℃</w:t>
                  </w:r>
                </w:p>
              </w:tc>
              <w:tc>
                <w:tcPr>
                  <w:tcW w:w="907" w:type="dxa"/>
                  <w:vAlign w:val="center"/>
                </w:tcPr>
                <w:p w14:paraId="227F6207">
                  <w:pPr>
                    <w:jc w:val="center"/>
                    <w:rPr>
                      <w:color w:val="auto"/>
                    </w:rPr>
                  </w:pPr>
                  <w:r>
                    <w:rPr>
                      <w:rFonts w:hint="eastAsia"/>
                      <w:color w:val="auto"/>
                    </w:rPr>
                    <w:t>1h</w:t>
                  </w:r>
                </w:p>
              </w:tc>
              <w:tc>
                <w:tcPr>
                  <w:tcW w:w="907" w:type="dxa"/>
                  <w:vAlign w:val="center"/>
                </w:tcPr>
                <w:p w14:paraId="53A37AD5">
                  <w:pPr>
                    <w:jc w:val="center"/>
                    <w:rPr>
                      <w:color w:val="auto"/>
                    </w:rPr>
                  </w:pPr>
                  <w:r>
                    <w:rPr>
                      <w:rFonts w:hint="eastAsia"/>
                      <w:color w:val="auto"/>
                    </w:rPr>
                    <w:t>1</w:t>
                  </w:r>
                </w:p>
              </w:tc>
            </w:tr>
          </w:tbl>
          <w:p w14:paraId="7AB9D2B7">
            <w:pPr>
              <w:spacing w:line="360" w:lineRule="auto"/>
              <w:ind w:firstLine="480" w:firstLineChars="200"/>
              <w:jc w:val="left"/>
              <w:rPr>
                <w:b/>
                <w:bCs/>
                <w:color w:val="auto"/>
                <w:sz w:val="24"/>
                <w:szCs w:val="24"/>
              </w:rPr>
            </w:pPr>
            <w:r>
              <w:rPr>
                <w:rFonts w:hint="eastAsia"/>
                <w:color w:val="auto"/>
                <w:sz w:val="24"/>
                <w:szCs w:val="24"/>
              </w:rPr>
              <w:t>1.4、监测要求</w:t>
            </w:r>
          </w:p>
          <w:p w14:paraId="11FC923F">
            <w:pPr>
              <w:pStyle w:val="3"/>
              <w:spacing w:line="360" w:lineRule="auto"/>
              <w:jc w:val="center"/>
              <w:outlineLvl w:val="2"/>
              <w:rPr>
                <w:rFonts w:hint="default" w:eastAsia="宋体"/>
                <w:b w:val="0"/>
                <w:bCs w:val="0"/>
                <w:color w:val="auto"/>
                <w:sz w:val="24"/>
                <w:szCs w:val="24"/>
                <w:lang w:val="en-US" w:eastAsia="zh-CN"/>
              </w:rPr>
            </w:pPr>
            <w:r>
              <w:rPr>
                <w:rFonts w:hint="eastAsia"/>
                <w:b w:val="0"/>
                <w:bCs w:val="0"/>
                <w:color w:val="auto"/>
                <w:sz w:val="24"/>
                <w:szCs w:val="24"/>
                <w:lang w:val="en-US" w:eastAsia="zh-CN"/>
              </w:rPr>
              <w:t>根据《排污单位自行监测技术指南 总则》（HJ819-2017），项目监测计划如下。</w:t>
            </w:r>
          </w:p>
          <w:p w14:paraId="6AE0C814">
            <w:pPr>
              <w:pStyle w:val="3"/>
              <w:jc w:val="center"/>
              <w:outlineLvl w:val="2"/>
              <w:rPr>
                <w:b/>
                <w:bCs/>
                <w:color w:val="auto"/>
                <w:sz w:val="24"/>
                <w:szCs w:val="24"/>
              </w:rPr>
            </w:pPr>
            <w:r>
              <w:rPr>
                <w:rFonts w:hint="eastAsia"/>
                <w:b/>
                <w:bCs/>
                <w:color w:val="auto"/>
                <w:sz w:val="24"/>
                <w:szCs w:val="24"/>
              </w:rPr>
              <w:t>表4-12  项目环境监测计划表</w:t>
            </w:r>
          </w:p>
          <w:tbl>
            <w:tblPr>
              <w:tblStyle w:val="2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29"/>
              <w:gridCol w:w="1936"/>
              <w:gridCol w:w="2672"/>
              <w:gridCol w:w="1507"/>
              <w:gridCol w:w="2228"/>
            </w:tblGrid>
            <w:tr w14:paraId="086CE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97" w:hRule="atLeast"/>
                <w:tblHeader/>
                <w:jc w:val="center"/>
              </w:trPr>
              <w:tc>
                <w:tcPr>
                  <w:tcW w:w="729" w:type="dxa"/>
                  <w:vAlign w:val="center"/>
                </w:tcPr>
                <w:p w14:paraId="60F8DC7E">
                  <w:pPr>
                    <w:jc w:val="center"/>
                    <w:rPr>
                      <w:b/>
                      <w:bCs/>
                      <w:color w:val="auto"/>
                    </w:rPr>
                  </w:pPr>
                  <w:r>
                    <w:rPr>
                      <w:b/>
                      <w:bCs/>
                      <w:color w:val="auto"/>
                    </w:rPr>
                    <w:t>类别</w:t>
                  </w:r>
                </w:p>
              </w:tc>
              <w:tc>
                <w:tcPr>
                  <w:tcW w:w="1936" w:type="dxa"/>
                  <w:vAlign w:val="center"/>
                </w:tcPr>
                <w:p w14:paraId="068203DB">
                  <w:pPr>
                    <w:jc w:val="center"/>
                    <w:rPr>
                      <w:b/>
                      <w:bCs/>
                      <w:color w:val="auto"/>
                    </w:rPr>
                  </w:pPr>
                  <w:r>
                    <w:rPr>
                      <w:b/>
                      <w:bCs/>
                      <w:color w:val="auto"/>
                    </w:rPr>
                    <w:t>监测点位</w:t>
                  </w:r>
                </w:p>
              </w:tc>
              <w:tc>
                <w:tcPr>
                  <w:tcW w:w="2672" w:type="dxa"/>
                  <w:vAlign w:val="center"/>
                </w:tcPr>
                <w:p w14:paraId="240048EA">
                  <w:pPr>
                    <w:jc w:val="center"/>
                    <w:rPr>
                      <w:b/>
                      <w:bCs/>
                      <w:color w:val="auto"/>
                    </w:rPr>
                  </w:pPr>
                  <w:r>
                    <w:rPr>
                      <w:b/>
                      <w:bCs/>
                      <w:color w:val="auto"/>
                    </w:rPr>
                    <w:t>监测因子</w:t>
                  </w:r>
                </w:p>
              </w:tc>
              <w:tc>
                <w:tcPr>
                  <w:tcW w:w="1507" w:type="dxa"/>
                  <w:vAlign w:val="center"/>
                </w:tcPr>
                <w:p w14:paraId="697E9EE1">
                  <w:pPr>
                    <w:jc w:val="center"/>
                    <w:rPr>
                      <w:b/>
                      <w:bCs/>
                      <w:color w:val="auto"/>
                    </w:rPr>
                  </w:pPr>
                  <w:r>
                    <w:rPr>
                      <w:b/>
                      <w:bCs/>
                      <w:color w:val="auto"/>
                    </w:rPr>
                    <w:t>监测频率</w:t>
                  </w:r>
                </w:p>
              </w:tc>
              <w:tc>
                <w:tcPr>
                  <w:tcW w:w="2228" w:type="dxa"/>
                  <w:vAlign w:val="center"/>
                </w:tcPr>
                <w:p w14:paraId="60A6CAC7">
                  <w:pPr>
                    <w:jc w:val="center"/>
                    <w:rPr>
                      <w:b/>
                      <w:bCs/>
                      <w:color w:val="auto"/>
                    </w:rPr>
                  </w:pPr>
                  <w:r>
                    <w:rPr>
                      <w:b/>
                      <w:bCs/>
                      <w:color w:val="auto"/>
                    </w:rPr>
                    <w:t>备注</w:t>
                  </w:r>
                </w:p>
              </w:tc>
            </w:tr>
            <w:tr w14:paraId="5D57F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29" w:type="dxa"/>
                  <w:vMerge w:val="restart"/>
                  <w:vAlign w:val="center"/>
                </w:tcPr>
                <w:p w14:paraId="7FA85150">
                  <w:pPr>
                    <w:jc w:val="center"/>
                    <w:rPr>
                      <w:color w:val="auto"/>
                    </w:rPr>
                  </w:pPr>
                  <w:r>
                    <w:rPr>
                      <w:color w:val="auto"/>
                    </w:rPr>
                    <w:t>废气</w:t>
                  </w:r>
                </w:p>
              </w:tc>
              <w:tc>
                <w:tcPr>
                  <w:tcW w:w="1936" w:type="dxa"/>
                  <w:vAlign w:val="center"/>
                </w:tcPr>
                <w:p w14:paraId="39952D52">
                  <w:pPr>
                    <w:jc w:val="center"/>
                    <w:rPr>
                      <w:color w:val="auto"/>
                    </w:rPr>
                  </w:pPr>
                  <w:r>
                    <w:rPr>
                      <w:color w:val="auto"/>
                    </w:rPr>
                    <w:t>FQ-1</w:t>
                  </w:r>
                </w:p>
              </w:tc>
              <w:tc>
                <w:tcPr>
                  <w:tcW w:w="2672" w:type="dxa"/>
                  <w:vAlign w:val="center"/>
                </w:tcPr>
                <w:p w14:paraId="4AF28334">
                  <w:pPr>
                    <w:jc w:val="center"/>
                    <w:rPr>
                      <w:color w:val="auto"/>
                    </w:rPr>
                  </w:pPr>
                  <w:r>
                    <w:rPr>
                      <w:rFonts w:hint="eastAsia"/>
                      <w:color w:val="auto"/>
                    </w:rPr>
                    <w:t>非甲烷总烃</w:t>
                  </w:r>
                </w:p>
              </w:tc>
              <w:tc>
                <w:tcPr>
                  <w:tcW w:w="1507" w:type="dxa"/>
                  <w:vAlign w:val="center"/>
                </w:tcPr>
                <w:p w14:paraId="1991BFBF">
                  <w:pPr>
                    <w:jc w:val="center"/>
                    <w:rPr>
                      <w:color w:val="auto"/>
                    </w:rPr>
                  </w:pPr>
                  <w:r>
                    <w:rPr>
                      <w:rFonts w:hint="eastAsia"/>
                      <w:color w:val="auto"/>
                    </w:rPr>
                    <w:t>1次</w:t>
                  </w:r>
                  <w:r>
                    <w:rPr>
                      <w:color w:val="auto"/>
                    </w:rPr>
                    <w:t>/年</w:t>
                  </w:r>
                </w:p>
              </w:tc>
              <w:tc>
                <w:tcPr>
                  <w:tcW w:w="2228" w:type="dxa"/>
                  <w:vMerge w:val="restart"/>
                  <w:vAlign w:val="center"/>
                </w:tcPr>
                <w:p w14:paraId="71CB0E4E">
                  <w:pPr>
                    <w:jc w:val="center"/>
                    <w:rPr>
                      <w:color w:val="auto"/>
                    </w:rPr>
                  </w:pPr>
                  <w:r>
                    <w:rPr>
                      <w:color w:val="auto"/>
                    </w:rPr>
                    <w:t>委托监测，生产时进行</w:t>
                  </w:r>
                </w:p>
              </w:tc>
            </w:tr>
            <w:tr w14:paraId="40E50B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29" w:type="dxa"/>
                  <w:vMerge w:val="continue"/>
                  <w:vAlign w:val="center"/>
                </w:tcPr>
                <w:p w14:paraId="3001272B">
                  <w:pPr>
                    <w:jc w:val="center"/>
                    <w:rPr>
                      <w:color w:val="auto"/>
                    </w:rPr>
                  </w:pPr>
                </w:p>
              </w:tc>
              <w:tc>
                <w:tcPr>
                  <w:tcW w:w="1936" w:type="dxa"/>
                  <w:vAlign w:val="center"/>
                </w:tcPr>
                <w:p w14:paraId="4421E0BC">
                  <w:pPr>
                    <w:jc w:val="center"/>
                    <w:rPr>
                      <w:color w:val="auto"/>
                    </w:rPr>
                  </w:pPr>
                  <w:r>
                    <w:rPr>
                      <w:rFonts w:hint="eastAsia"/>
                      <w:color w:val="auto"/>
                    </w:rPr>
                    <w:t>FQ-3</w:t>
                  </w:r>
                </w:p>
              </w:tc>
              <w:tc>
                <w:tcPr>
                  <w:tcW w:w="2672" w:type="dxa"/>
                  <w:vAlign w:val="center"/>
                </w:tcPr>
                <w:p w14:paraId="6ECFC5D5">
                  <w:pPr>
                    <w:jc w:val="center"/>
                    <w:rPr>
                      <w:color w:val="auto"/>
                    </w:rPr>
                  </w:pPr>
                  <w:r>
                    <w:rPr>
                      <w:rFonts w:hint="eastAsia"/>
                      <w:color w:val="auto"/>
                    </w:rPr>
                    <w:t>颗粒物</w:t>
                  </w:r>
                </w:p>
              </w:tc>
              <w:tc>
                <w:tcPr>
                  <w:tcW w:w="1507" w:type="dxa"/>
                  <w:vAlign w:val="center"/>
                </w:tcPr>
                <w:p w14:paraId="34D1EEBC">
                  <w:pPr>
                    <w:jc w:val="center"/>
                    <w:rPr>
                      <w:color w:val="auto"/>
                    </w:rPr>
                  </w:pPr>
                  <w:r>
                    <w:rPr>
                      <w:rFonts w:hint="eastAsia"/>
                      <w:color w:val="auto"/>
                    </w:rPr>
                    <w:t>1次</w:t>
                  </w:r>
                  <w:r>
                    <w:rPr>
                      <w:color w:val="auto"/>
                    </w:rPr>
                    <w:t>/年</w:t>
                  </w:r>
                </w:p>
              </w:tc>
              <w:tc>
                <w:tcPr>
                  <w:tcW w:w="2228" w:type="dxa"/>
                  <w:vMerge w:val="continue"/>
                  <w:vAlign w:val="center"/>
                </w:tcPr>
                <w:p w14:paraId="6E3480B4">
                  <w:pPr>
                    <w:jc w:val="center"/>
                    <w:rPr>
                      <w:color w:val="auto"/>
                    </w:rPr>
                  </w:pPr>
                </w:p>
              </w:tc>
            </w:tr>
            <w:tr w14:paraId="2FA49F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29" w:type="dxa"/>
                  <w:vMerge w:val="continue"/>
                  <w:vAlign w:val="center"/>
                </w:tcPr>
                <w:p w14:paraId="6EFEF3EA">
                  <w:pPr>
                    <w:jc w:val="center"/>
                    <w:rPr>
                      <w:color w:val="auto"/>
                    </w:rPr>
                  </w:pPr>
                </w:p>
              </w:tc>
              <w:tc>
                <w:tcPr>
                  <w:tcW w:w="1936" w:type="dxa"/>
                  <w:vAlign w:val="center"/>
                </w:tcPr>
                <w:p w14:paraId="51FAD766">
                  <w:pPr>
                    <w:jc w:val="center"/>
                    <w:rPr>
                      <w:color w:val="auto"/>
                    </w:rPr>
                  </w:pPr>
                  <w:r>
                    <w:rPr>
                      <w:rFonts w:hint="eastAsia"/>
                      <w:color w:val="auto"/>
                    </w:rPr>
                    <w:t>厂界</w:t>
                  </w:r>
                </w:p>
              </w:tc>
              <w:tc>
                <w:tcPr>
                  <w:tcW w:w="2672" w:type="dxa"/>
                  <w:vAlign w:val="center"/>
                </w:tcPr>
                <w:p w14:paraId="0171E314">
                  <w:pPr>
                    <w:jc w:val="center"/>
                    <w:rPr>
                      <w:color w:val="auto"/>
                    </w:rPr>
                  </w:pPr>
                  <w:r>
                    <w:rPr>
                      <w:rFonts w:hint="eastAsia"/>
                      <w:color w:val="auto"/>
                    </w:rPr>
                    <w:t>非甲烷总烃、颗粒物</w:t>
                  </w:r>
                </w:p>
              </w:tc>
              <w:tc>
                <w:tcPr>
                  <w:tcW w:w="1507" w:type="dxa"/>
                  <w:vAlign w:val="center"/>
                </w:tcPr>
                <w:p w14:paraId="56FAD999">
                  <w:pPr>
                    <w:jc w:val="center"/>
                    <w:rPr>
                      <w:color w:val="auto"/>
                    </w:rPr>
                  </w:pPr>
                  <w:r>
                    <w:rPr>
                      <w:color w:val="auto"/>
                    </w:rPr>
                    <w:t>1</w:t>
                  </w:r>
                  <w:r>
                    <w:rPr>
                      <w:rFonts w:hint="eastAsia"/>
                      <w:color w:val="auto"/>
                    </w:rPr>
                    <w:t>次/</w:t>
                  </w:r>
                  <w:r>
                    <w:rPr>
                      <w:color w:val="auto"/>
                    </w:rPr>
                    <w:t>年</w:t>
                  </w:r>
                </w:p>
              </w:tc>
              <w:tc>
                <w:tcPr>
                  <w:tcW w:w="2228" w:type="dxa"/>
                  <w:vMerge w:val="continue"/>
                  <w:vAlign w:val="center"/>
                </w:tcPr>
                <w:p w14:paraId="2E870AC0">
                  <w:pPr>
                    <w:jc w:val="center"/>
                    <w:rPr>
                      <w:color w:val="auto"/>
                    </w:rPr>
                  </w:pPr>
                </w:p>
              </w:tc>
            </w:tr>
            <w:tr w14:paraId="421EC4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29" w:type="dxa"/>
                  <w:vMerge w:val="continue"/>
                  <w:vAlign w:val="center"/>
                </w:tcPr>
                <w:p w14:paraId="735CD3B4">
                  <w:pPr>
                    <w:jc w:val="center"/>
                    <w:rPr>
                      <w:color w:val="auto"/>
                    </w:rPr>
                  </w:pPr>
                </w:p>
              </w:tc>
              <w:tc>
                <w:tcPr>
                  <w:tcW w:w="1936" w:type="dxa"/>
                  <w:vAlign w:val="center"/>
                </w:tcPr>
                <w:p w14:paraId="47EB3F6C">
                  <w:pPr>
                    <w:jc w:val="center"/>
                    <w:rPr>
                      <w:color w:val="auto"/>
                    </w:rPr>
                  </w:pPr>
                  <w:r>
                    <w:rPr>
                      <w:rFonts w:hint="eastAsia"/>
                      <w:color w:val="auto"/>
                    </w:rPr>
                    <w:t>厂区内</w:t>
                  </w:r>
                </w:p>
              </w:tc>
              <w:tc>
                <w:tcPr>
                  <w:tcW w:w="2672" w:type="dxa"/>
                  <w:vAlign w:val="center"/>
                </w:tcPr>
                <w:p w14:paraId="4547A4F2">
                  <w:pPr>
                    <w:jc w:val="center"/>
                    <w:rPr>
                      <w:color w:val="auto"/>
                    </w:rPr>
                  </w:pPr>
                  <w:r>
                    <w:rPr>
                      <w:rFonts w:hint="eastAsia"/>
                      <w:color w:val="auto"/>
                    </w:rPr>
                    <w:t>非甲烷总烃</w:t>
                  </w:r>
                </w:p>
              </w:tc>
              <w:tc>
                <w:tcPr>
                  <w:tcW w:w="1507" w:type="dxa"/>
                  <w:vAlign w:val="center"/>
                </w:tcPr>
                <w:p w14:paraId="37D30CC5">
                  <w:pPr>
                    <w:jc w:val="center"/>
                    <w:rPr>
                      <w:color w:val="auto"/>
                    </w:rPr>
                  </w:pPr>
                  <w:r>
                    <w:rPr>
                      <w:color w:val="auto"/>
                    </w:rPr>
                    <w:t>1</w:t>
                  </w:r>
                  <w:r>
                    <w:rPr>
                      <w:rFonts w:hint="eastAsia"/>
                      <w:color w:val="auto"/>
                    </w:rPr>
                    <w:t>次/</w:t>
                  </w:r>
                  <w:r>
                    <w:rPr>
                      <w:color w:val="auto"/>
                    </w:rPr>
                    <w:t>年</w:t>
                  </w:r>
                </w:p>
              </w:tc>
              <w:tc>
                <w:tcPr>
                  <w:tcW w:w="2228" w:type="dxa"/>
                  <w:vMerge w:val="continue"/>
                  <w:vAlign w:val="center"/>
                </w:tcPr>
                <w:p w14:paraId="736D607E">
                  <w:pPr>
                    <w:jc w:val="center"/>
                    <w:rPr>
                      <w:color w:val="auto"/>
                    </w:rPr>
                  </w:pPr>
                </w:p>
              </w:tc>
            </w:tr>
          </w:tbl>
          <w:p w14:paraId="75988E01">
            <w:pPr>
              <w:pStyle w:val="3"/>
              <w:spacing w:line="360" w:lineRule="auto"/>
              <w:ind w:firstLine="480" w:firstLineChars="200"/>
              <w:outlineLvl w:val="2"/>
              <w:rPr>
                <w:color w:val="auto"/>
                <w:sz w:val="24"/>
                <w:szCs w:val="24"/>
              </w:rPr>
            </w:pPr>
            <w:r>
              <w:rPr>
                <w:rFonts w:hint="eastAsia"/>
                <w:color w:val="auto"/>
                <w:sz w:val="24"/>
                <w:szCs w:val="24"/>
              </w:rPr>
              <w:t>1.5、卫生防护距离</w:t>
            </w:r>
          </w:p>
          <w:p w14:paraId="36022C8D">
            <w:pPr>
              <w:spacing w:line="360" w:lineRule="auto"/>
              <w:ind w:firstLine="480" w:firstLineChars="200"/>
              <w:rPr>
                <w:color w:val="auto"/>
                <w:sz w:val="24"/>
                <w:szCs w:val="24"/>
              </w:rPr>
            </w:pPr>
            <w:r>
              <w:rPr>
                <w:rFonts w:ascii="宋体" w:hAnsi="宋体" w:cs="宋体"/>
                <w:color w:val="auto"/>
                <w:sz w:val="24"/>
                <w:szCs w:val="24"/>
              </w:rPr>
              <w:t>无组织排放有害气体的生产单元（生产区、车间或工段）与居住区之间应设置卫生防护距离，计算公式如下</w:t>
            </w:r>
          </w:p>
          <w:p w14:paraId="4AF45231">
            <w:pPr>
              <w:pStyle w:val="3"/>
              <w:jc w:val="center"/>
              <w:outlineLvl w:val="2"/>
              <w:rPr>
                <w:color w:val="auto"/>
                <w:sz w:val="24"/>
              </w:rPr>
            </w:pPr>
            <w:r>
              <w:rPr>
                <w:color w:val="auto"/>
                <w:sz w:val="24"/>
              </w:rPr>
              <w:object>
                <v:shape id="_x0000_i1029" o:spt="75" type="#_x0000_t75" style="height:32.85pt;width:138.25pt;" o:ole="t" filled="f" o:preferrelative="t" stroked="f" coordsize="21600,21600">
                  <v:path/>
                  <v:fill on="f" focussize="0,0"/>
                  <v:stroke on="f" joinstyle="miter"/>
                  <v:imagedata r:id="rId20" o:title=""/>
                  <o:lock v:ext="edit" aspectratio="t"/>
                  <w10:wrap type="none"/>
                  <w10:anchorlock/>
                </v:shape>
                <o:OLEObject Type="Embed" ProgID="Equation.DSMT4" ShapeID="_x0000_i1029" DrawAspect="Content" ObjectID="_1468075729" r:id="rId19">
                  <o:LockedField>false</o:LockedField>
                </o:OLEObject>
              </w:object>
            </w:r>
          </w:p>
          <w:p w14:paraId="5B104D86">
            <w:pPr>
              <w:spacing w:line="360" w:lineRule="auto"/>
              <w:ind w:firstLine="480" w:firstLineChars="200"/>
              <w:rPr>
                <w:color w:val="auto"/>
                <w:sz w:val="24"/>
              </w:rPr>
            </w:pPr>
            <w:r>
              <w:rPr>
                <w:color w:val="auto"/>
                <w:sz w:val="24"/>
              </w:rPr>
              <w:t>式中：Cm——标准浓度限值（mg/m</w:t>
            </w:r>
            <w:r>
              <w:rPr>
                <w:color w:val="auto"/>
                <w:sz w:val="24"/>
                <w:vertAlign w:val="superscript"/>
              </w:rPr>
              <w:t>3</w:t>
            </w:r>
            <w:r>
              <w:rPr>
                <w:color w:val="auto"/>
                <w:sz w:val="24"/>
              </w:rPr>
              <w:t>）；</w:t>
            </w:r>
          </w:p>
          <w:p w14:paraId="56FD11A6">
            <w:pPr>
              <w:spacing w:line="360" w:lineRule="auto"/>
              <w:ind w:firstLine="1200" w:firstLineChars="500"/>
              <w:rPr>
                <w:color w:val="auto"/>
                <w:sz w:val="24"/>
              </w:rPr>
            </w:pPr>
            <w:r>
              <w:rPr>
                <w:color w:val="auto"/>
                <w:sz w:val="24"/>
              </w:rPr>
              <w:t>Qc——工业企业有害气体无组织排放量可以达到的控制水平（kg/h）；</w:t>
            </w:r>
          </w:p>
          <w:p w14:paraId="368D2246">
            <w:pPr>
              <w:spacing w:line="360" w:lineRule="auto"/>
              <w:ind w:firstLine="1200" w:firstLineChars="500"/>
              <w:rPr>
                <w:color w:val="auto"/>
                <w:sz w:val="24"/>
              </w:rPr>
            </w:pPr>
            <w:r>
              <w:rPr>
                <w:color w:val="auto"/>
                <w:sz w:val="24"/>
              </w:rPr>
              <w:t>A、B、C、D——卫生防护距离计算系数；</w:t>
            </w:r>
          </w:p>
          <w:p w14:paraId="19DCD78A">
            <w:pPr>
              <w:spacing w:line="360" w:lineRule="auto"/>
              <w:ind w:firstLine="1200" w:firstLineChars="500"/>
              <w:rPr>
                <w:color w:val="auto"/>
                <w:sz w:val="24"/>
              </w:rPr>
            </w:pPr>
            <w:r>
              <w:rPr>
                <w:color w:val="auto"/>
                <w:sz w:val="24"/>
              </w:rPr>
              <w:t>r——有害气体无组织排放源所在生产单元的等效半径（m）；</w:t>
            </w:r>
          </w:p>
          <w:p w14:paraId="4B36CE89">
            <w:pPr>
              <w:spacing w:line="360" w:lineRule="auto"/>
              <w:ind w:firstLine="1200" w:firstLineChars="500"/>
              <w:rPr>
                <w:b/>
                <w:bCs/>
                <w:color w:val="auto"/>
                <w:sz w:val="24"/>
                <w:szCs w:val="24"/>
              </w:rPr>
            </w:pPr>
            <w:r>
              <w:rPr>
                <w:color w:val="auto"/>
                <w:sz w:val="24"/>
              </w:rPr>
              <w:t>L——工业企业所需的卫生防护距离（m），各参数取值见表</w:t>
            </w:r>
            <w:r>
              <w:rPr>
                <w:rFonts w:hint="eastAsia"/>
                <w:color w:val="auto"/>
                <w:sz w:val="24"/>
              </w:rPr>
              <w:t>4-13</w:t>
            </w:r>
            <w:r>
              <w:rPr>
                <w:color w:val="auto"/>
                <w:sz w:val="24"/>
              </w:rPr>
              <w:t>。</w:t>
            </w:r>
          </w:p>
          <w:p w14:paraId="747C8E6E">
            <w:pPr>
              <w:jc w:val="center"/>
              <w:rPr>
                <w:b/>
                <w:bCs/>
                <w:color w:val="auto"/>
                <w:sz w:val="24"/>
                <w:szCs w:val="24"/>
              </w:rPr>
            </w:pPr>
            <w:r>
              <w:rPr>
                <w:rFonts w:hint="eastAsia"/>
                <w:b/>
                <w:bCs/>
                <w:color w:val="auto"/>
                <w:sz w:val="24"/>
                <w:szCs w:val="24"/>
              </w:rPr>
              <w:t>表4-13  卫生防护距离计算系数</w:t>
            </w:r>
          </w:p>
          <w:tbl>
            <w:tblPr>
              <w:tblStyle w:val="22"/>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4"/>
              <w:gridCol w:w="1149"/>
              <w:gridCol w:w="797"/>
              <w:gridCol w:w="797"/>
              <w:gridCol w:w="799"/>
              <w:gridCol w:w="797"/>
              <w:gridCol w:w="797"/>
              <w:gridCol w:w="799"/>
              <w:gridCol w:w="797"/>
              <w:gridCol w:w="797"/>
              <w:gridCol w:w="799"/>
            </w:tblGrid>
            <w:tr w14:paraId="3EE66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restart"/>
                  <w:tcBorders>
                    <w:top w:val="single" w:color="auto" w:sz="2" w:space="0"/>
                    <w:left w:val="single" w:color="auto" w:sz="2" w:space="0"/>
                    <w:bottom w:val="single" w:color="auto" w:sz="2" w:space="0"/>
                    <w:right w:val="single" w:color="auto" w:sz="2" w:space="0"/>
                  </w:tcBorders>
                  <w:vAlign w:val="center"/>
                </w:tcPr>
                <w:p w14:paraId="128DC2EB">
                  <w:pPr>
                    <w:adjustRightInd w:val="0"/>
                    <w:jc w:val="center"/>
                    <w:rPr>
                      <w:b/>
                      <w:color w:val="auto"/>
                    </w:rPr>
                  </w:pPr>
                  <w:r>
                    <w:rPr>
                      <w:b/>
                      <w:color w:val="auto"/>
                    </w:rPr>
                    <w:t>计算系数</w:t>
                  </w:r>
                </w:p>
              </w:tc>
              <w:tc>
                <w:tcPr>
                  <w:tcW w:w="1196" w:type="dxa"/>
                  <w:vMerge w:val="restart"/>
                  <w:tcBorders>
                    <w:top w:val="single" w:color="auto" w:sz="2" w:space="0"/>
                    <w:left w:val="single" w:color="auto" w:sz="2" w:space="0"/>
                    <w:bottom w:val="single" w:color="auto" w:sz="2" w:space="0"/>
                    <w:right w:val="single" w:color="auto" w:sz="2" w:space="0"/>
                  </w:tcBorders>
                  <w:vAlign w:val="center"/>
                </w:tcPr>
                <w:p w14:paraId="7DD56D80">
                  <w:pPr>
                    <w:adjustRightInd w:val="0"/>
                    <w:jc w:val="center"/>
                    <w:rPr>
                      <w:b/>
                      <w:color w:val="auto"/>
                    </w:rPr>
                  </w:pPr>
                  <w:r>
                    <w:rPr>
                      <w:b/>
                      <w:color w:val="auto"/>
                    </w:rPr>
                    <w:t>5年平均风速m/s</w:t>
                  </w:r>
                </w:p>
              </w:tc>
              <w:tc>
                <w:tcPr>
                  <w:tcW w:w="7440" w:type="dxa"/>
                  <w:gridSpan w:val="9"/>
                  <w:tcBorders>
                    <w:top w:val="single" w:color="auto" w:sz="2" w:space="0"/>
                    <w:left w:val="single" w:color="auto" w:sz="2" w:space="0"/>
                    <w:bottom w:val="single" w:color="auto" w:sz="2" w:space="0"/>
                    <w:right w:val="single" w:color="auto" w:sz="2" w:space="0"/>
                  </w:tcBorders>
                  <w:vAlign w:val="center"/>
                </w:tcPr>
                <w:p w14:paraId="5EB1B2EA">
                  <w:pPr>
                    <w:adjustRightInd w:val="0"/>
                    <w:jc w:val="center"/>
                    <w:rPr>
                      <w:b/>
                      <w:color w:val="auto"/>
                    </w:rPr>
                  </w:pPr>
                  <w:r>
                    <w:rPr>
                      <w:b/>
                      <w:color w:val="auto"/>
                    </w:rPr>
                    <w:t>卫生防护距离L（m）</w:t>
                  </w:r>
                </w:p>
              </w:tc>
            </w:tr>
            <w:tr w14:paraId="565D31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continue"/>
                  <w:tcBorders>
                    <w:top w:val="single" w:color="auto" w:sz="2" w:space="0"/>
                    <w:left w:val="single" w:color="auto" w:sz="2" w:space="0"/>
                    <w:bottom w:val="single" w:color="auto" w:sz="2" w:space="0"/>
                    <w:right w:val="single" w:color="auto" w:sz="2" w:space="0"/>
                  </w:tcBorders>
                  <w:vAlign w:val="center"/>
                </w:tcPr>
                <w:p w14:paraId="327272D5">
                  <w:pPr>
                    <w:widowControl/>
                    <w:jc w:val="left"/>
                    <w:rPr>
                      <w:b/>
                      <w:color w:val="auto"/>
                    </w:rPr>
                  </w:pPr>
                </w:p>
              </w:tc>
              <w:tc>
                <w:tcPr>
                  <w:tcW w:w="1196" w:type="dxa"/>
                  <w:vMerge w:val="continue"/>
                  <w:tcBorders>
                    <w:top w:val="single" w:color="auto" w:sz="2" w:space="0"/>
                    <w:left w:val="single" w:color="auto" w:sz="2" w:space="0"/>
                    <w:bottom w:val="single" w:color="auto" w:sz="2" w:space="0"/>
                    <w:right w:val="single" w:color="auto" w:sz="2" w:space="0"/>
                  </w:tcBorders>
                  <w:vAlign w:val="center"/>
                </w:tcPr>
                <w:p w14:paraId="4166FE0C">
                  <w:pPr>
                    <w:widowControl/>
                    <w:jc w:val="left"/>
                    <w:rPr>
                      <w:b/>
                      <w:color w:val="auto"/>
                    </w:rPr>
                  </w:pPr>
                </w:p>
              </w:tc>
              <w:tc>
                <w:tcPr>
                  <w:tcW w:w="2480" w:type="dxa"/>
                  <w:gridSpan w:val="3"/>
                  <w:tcBorders>
                    <w:top w:val="single" w:color="auto" w:sz="2" w:space="0"/>
                    <w:left w:val="single" w:color="auto" w:sz="2" w:space="0"/>
                    <w:bottom w:val="single" w:color="auto" w:sz="2" w:space="0"/>
                    <w:right w:val="single" w:color="auto" w:sz="2" w:space="0"/>
                  </w:tcBorders>
                  <w:vAlign w:val="center"/>
                </w:tcPr>
                <w:p w14:paraId="0CD473F5">
                  <w:pPr>
                    <w:adjustRightInd w:val="0"/>
                    <w:jc w:val="center"/>
                    <w:rPr>
                      <w:b/>
                      <w:color w:val="auto"/>
                    </w:rPr>
                  </w:pPr>
                  <w:r>
                    <w:rPr>
                      <w:b/>
                      <w:color w:val="auto"/>
                    </w:rPr>
                    <w:t>L≤1000</w:t>
                  </w:r>
                </w:p>
              </w:tc>
              <w:tc>
                <w:tcPr>
                  <w:tcW w:w="2480" w:type="dxa"/>
                  <w:gridSpan w:val="3"/>
                  <w:tcBorders>
                    <w:top w:val="single" w:color="auto" w:sz="2" w:space="0"/>
                    <w:left w:val="single" w:color="auto" w:sz="2" w:space="0"/>
                    <w:bottom w:val="single" w:color="auto" w:sz="2" w:space="0"/>
                    <w:right w:val="single" w:color="auto" w:sz="2" w:space="0"/>
                  </w:tcBorders>
                  <w:vAlign w:val="center"/>
                </w:tcPr>
                <w:p w14:paraId="25061C78">
                  <w:pPr>
                    <w:adjustRightInd w:val="0"/>
                    <w:jc w:val="center"/>
                    <w:rPr>
                      <w:b/>
                      <w:color w:val="auto"/>
                    </w:rPr>
                  </w:pPr>
                  <w:r>
                    <w:rPr>
                      <w:b/>
                      <w:color w:val="auto"/>
                    </w:rPr>
                    <w:t>1000＜L≤2000</w:t>
                  </w:r>
                </w:p>
              </w:tc>
              <w:tc>
                <w:tcPr>
                  <w:tcW w:w="2480" w:type="dxa"/>
                  <w:gridSpan w:val="3"/>
                  <w:tcBorders>
                    <w:top w:val="single" w:color="auto" w:sz="2" w:space="0"/>
                    <w:left w:val="single" w:color="auto" w:sz="2" w:space="0"/>
                    <w:bottom w:val="single" w:color="auto" w:sz="2" w:space="0"/>
                    <w:right w:val="single" w:color="auto" w:sz="2" w:space="0"/>
                  </w:tcBorders>
                  <w:vAlign w:val="center"/>
                </w:tcPr>
                <w:p w14:paraId="49837145">
                  <w:pPr>
                    <w:adjustRightInd w:val="0"/>
                    <w:jc w:val="center"/>
                    <w:rPr>
                      <w:b/>
                      <w:color w:val="auto"/>
                    </w:rPr>
                  </w:pPr>
                  <w:r>
                    <w:rPr>
                      <w:b/>
                      <w:color w:val="auto"/>
                    </w:rPr>
                    <w:t>L＞2000</w:t>
                  </w:r>
                </w:p>
              </w:tc>
            </w:tr>
            <w:tr w14:paraId="2C6BD7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continue"/>
                  <w:tcBorders>
                    <w:top w:val="single" w:color="auto" w:sz="2" w:space="0"/>
                    <w:left w:val="single" w:color="auto" w:sz="2" w:space="0"/>
                    <w:bottom w:val="single" w:color="auto" w:sz="2" w:space="0"/>
                    <w:right w:val="single" w:color="auto" w:sz="2" w:space="0"/>
                  </w:tcBorders>
                  <w:vAlign w:val="center"/>
                </w:tcPr>
                <w:p w14:paraId="5C86C9B1">
                  <w:pPr>
                    <w:widowControl/>
                    <w:jc w:val="left"/>
                    <w:rPr>
                      <w:b/>
                      <w:color w:val="auto"/>
                    </w:rPr>
                  </w:pPr>
                </w:p>
              </w:tc>
              <w:tc>
                <w:tcPr>
                  <w:tcW w:w="1196" w:type="dxa"/>
                  <w:vMerge w:val="continue"/>
                  <w:tcBorders>
                    <w:top w:val="single" w:color="auto" w:sz="2" w:space="0"/>
                    <w:left w:val="single" w:color="auto" w:sz="2" w:space="0"/>
                    <w:bottom w:val="single" w:color="auto" w:sz="2" w:space="0"/>
                    <w:right w:val="single" w:color="auto" w:sz="2" w:space="0"/>
                  </w:tcBorders>
                  <w:vAlign w:val="center"/>
                </w:tcPr>
                <w:p w14:paraId="02B9FC81">
                  <w:pPr>
                    <w:widowControl/>
                    <w:jc w:val="left"/>
                    <w:rPr>
                      <w:b/>
                      <w:color w:val="auto"/>
                    </w:rPr>
                  </w:pPr>
                </w:p>
              </w:tc>
              <w:tc>
                <w:tcPr>
                  <w:tcW w:w="7440" w:type="dxa"/>
                  <w:gridSpan w:val="9"/>
                  <w:tcBorders>
                    <w:top w:val="single" w:color="auto" w:sz="2" w:space="0"/>
                    <w:left w:val="single" w:color="auto" w:sz="2" w:space="0"/>
                    <w:bottom w:val="single" w:color="auto" w:sz="2" w:space="0"/>
                    <w:right w:val="single" w:color="auto" w:sz="2" w:space="0"/>
                  </w:tcBorders>
                  <w:vAlign w:val="center"/>
                </w:tcPr>
                <w:p w14:paraId="5ECE6C1F">
                  <w:pPr>
                    <w:adjustRightInd w:val="0"/>
                    <w:jc w:val="center"/>
                    <w:rPr>
                      <w:b/>
                      <w:color w:val="auto"/>
                    </w:rPr>
                  </w:pPr>
                  <w:r>
                    <w:rPr>
                      <w:b/>
                      <w:color w:val="auto"/>
                    </w:rPr>
                    <w:t>工业大气污染源构成类别</w:t>
                  </w:r>
                </w:p>
              </w:tc>
            </w:tr>
            <w:tr w14:paraId="6AAB1B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03" w:hRule="atLeast"/>
                <w:jc w:val="center"/>
              </w:trPr>
              <w:tc>
                <w:tcPr>
                  <w:tcW w:w="769" w:type="dxa"/>
                  <w:vMerge w:val="continue"/>
                  <w:tcBorders>
                    <w:top w:val="single" w:color="auto" w:sz="2" w:space="0"/>
                    <w:left w:val="single" w:color="auto" w:sz="2" w:space="0"/>
                    <w:bottom w:val="single" w:color="auto" w:sz="2" w:space="0"/>
                    <w:right w:val="single" w:color="auto" w:sz="2" w:space="0"/>
                  </w:tcBorders>
                  <w:vAlign w:val="center"/>
                </w:tcPr>
                <w:p w14:paraId="5FDF9841">
                  <w:pPr>
                    <w:widowControl/>
                    <w:jc w:val="left"/>
                    <w:rPr>
                      <w:b/>
                      <w:color w:val="auto"/>
                    </w:rPr>
                  </w:pPr>
                </w:p>
              </w:tc>
              <w:tc>
                <w:tcPr>
                  <w:tcW w:w="1196" w:type="dxa"/>
                  <w:vMerge w:val="continue"/>
                  <w:tcBorders>
                    <w:top w:val="single" w:color="auto" w:sz="2" w:space="0"/>
                    <w:left w:val="single" w:color="auto" w:sz="2" w:space="0"/>
                    <w:bottom w:val="single" w:color="auto" w:sz="2" w:space="0"/>
                    <w:right w:val="single" w:color="auto" w:sz="2" w:space="0"/>
                  </w:tcBorders>
                  <w:vAlign w:val="center"/>
                </w:tcPr>
                <w:p w14:paraId="2D25DB6A">
                  <w:pPr>
                    <w:widowControl/>
                    <w:jc w:val="left"/>
                    <w:rPr>
                      <w:b/>
                      <w:color w:val="auto"/>
                    </w:rPr>
                  </w:pPr>
                </w:p>
              </w:tc>
              <w:tc>
                <w:tcPr>
                  <w:tcW w:w="826" w:type="dxa"/>
                  <w:tcBorders>
                    <w:top w:val="single" w:color="auto" w:sz="2" w:space="0"/>
                    <w:left w:val="single" w:color="auto" w:sz="2" w:space="0"/>
                    <w:bottom w:val="single" w:color="auto" w:sz="2" w:space="0"/>
                    <w:right w:val="single" w:color="auto" w:sz="2" w:space="0"/>
                  </w:tcBorders>
                  <w:vAlign w:val="center"/>
                </w:tcPr>
                <w:p w14:paraId="098E51C2">
                  <w:pPr>
                    <w:adjustRightInd w:val="0"/>
                    <w:jc w:val="center"/>
                    <w:rPr>
                      <w:b/>
                      <w:color w:val="auto"/>
                    </w:rPr>
                  </w:pPr>
                  <w:r>
                    <w:rPr>
                      <w:b/>
                      <w:color w:val="auto"/>
                    </w:rPr>
                    <w:t>Ⅰ</w:t>
                  </w:r>
                </w:p>
              </w:tc>
              <w:tc>
                <w:tcPr>
                  <w:tcW w:w="826" w:type="dxa"/>
                  <w:tcBorders>
                    <w:top w:val="single" w:color="auto" w:sz="2" w:space="0"/>
                    <w:left w:val="single" w:color="auto" w:sz="2" w:space="0"/>
                    <w:bottom w:val="single" w:color="auto" w:sz="2" w:space="0"/>
                    <w:right w:val="single" w:color="auto" w:sz="2" w:space="0"/>
                  </w:tcBorders>
                  <w:vAlign w:val="center"/>
                </w:tcPr>
                <w:p w14:paraId="2828550A">
                  <w:pPr>
                    <w:adjustRightInd w:val="0"/>
                    <w:jc w:val="center"/>
                    <w:rPr>
                      <w:b/>
                      <w:color w:val="auto"/>
                    </w:rPr>
                  </w:pPr>
                  <w:r>
                    <w:rPr>
                      <w:b/>
                      <w:color w:val="auto"/>
                    </w:rPr>
                    <w:t>Ⅱ</w:t>
                  </w:r>
                </w:p>
              </w:tc>
              <w:tc>
                <w:tcPr>
                  <w:tcW w:w="828" w:type="dxa"/>
                  <w:tcBorders>
                    <w:top w:val="single" w:color="auto" w:sz="2" w:space="0"/>
                    <w:left w:val="single" w:color="auto" w:sz="2" w:space="0"/>
                    <w:bottom w:val="single" w:color="auto" w:sz="2" w:space="0"/>
                    <w:right w:val="single" w:color="auto" w:sz="2" w:space="0"/>
                  </w:tcBorders>
                  <w:vAlign w:val="center"/>
                </w:tcPr>
                <w:p w14:paraId="1A739138">
                  <w:pPr>
                    <w:adjustRightInd w:val="0"/>
                    <w:jc w:val="center"/>
                    <w:rPr>
                      <w:b/>
                      <w:color w:val="auto"/>
                    </w:rPr>
                  </w:pPr>
                  <w:r>
                    <w:rPr>
                      <w:b/>
                      <w:color w:val="auto"/>
                    </w:rPr>
                    <w:t>Ⅲ</w:t>
                  </w:r>
                </w:p>
              </w:tc>
              <w:tc>
                <w:tcPr>
                  <w:tcW w:w="826" w:type="dxa"/>
                  <w:tcBorders>
                    <w:top w:val="single" w:color="auto" w:sz="2" w:space="0"/>
                    <w:left w:val="single" w:color="auto" w:sz="2" w:space="0"/>
                    <w:bottom w:val="single" w:color="auto" w:sz="2" w:space="0"/>
                    <w:right w:val="single" w:color="auto" w:sz="2" w:space="0"/>
                  </w:tcBorders>
                  <w:vAlign w:val="center"/>
                </w:tcPr>
                <w:p w14:paraId="16F819EC">
                  <w:pPr>
                    <w:adjustRightInd w:val="0"/>
                    <w:jc w:val="center"/>
                    <w:rPr>
                      <w:b/>
                      <w:color w:val="auto"/>
                    </w:rPr>
                  </w:pPr>
                  <w:r>
                    <w:rPr>
                      <w:b/>
                      <w:color w:val="auto"/>
                    </w:rPr>
                    <w:t>Ⅰ</w:t>
                  </w:r>
                </w:p>
              </w:tc>
              <w:tc>
                <w:tcPr>
                  <w:tcW w:w="826" w:type="dxa"/>
                  <w:tcBorders>
                    <w:top w:val="single" w:color="auto" w:sz="2" w:space="0"/>
                    <w:left w:val="single" w:color="auto" w:sz="2" w:space="0"/>
                    <w:bottom w:val="single" w:color="auto" w:sz="2" w:space="0"/>
                    <w:right w:val="single" w:color="auto" w:sz="2" w:space="0"/>
                  </w:tcBorders>
                  <w:vAlign w:val="center"/>
                </w:tcPr>
                <w:p w14:paraId="671EBBAD">
                  <w:pPr>
                    <w:adjustRightInd w:val="0"/>
                    <w:jc w:val="center"/>
                    <w:rPr>
                      <w:b/>
                      <w:color w:val="auto"/>
                    </w:rPr>
                  </w:pPr>
                  <w:r>
                    <w:rPr>
                      <w:b/>
                      <w:color w:val="auto"/>
                    </w:rPr>
                    <w:t>Ⅱ</w:t>
                  </w:r>
                </w:p>
              </w:tc>
              <w:tc>
                <w:tcPr>
                  <w:tcW w:w="828" w:type="dxa"/>
                  <w:tcBorders>
                    <w:top w:val="single" w:color="auto" w:sz="2" w:space="0"/>
                    <w:left w:val="single" w:color="auto" w:sz="2" w:space="0"/>
                    <w:bottom w:val="single" w:color="auto" w:sz="2" w:space="0"/>
                    <w:right w:val="single" w:color="auto" w:sz="2" w:space="0"/>
                  </w:tcBorders>
                  <w:vAlign w:val="center"/>
                </w:tcPr>
                <w:p w14:paraId="52501817">
                  <w:pPr>
                    <w:adjustRightInd w:val="0"/>
                    <w:jc w:val="center"/>
                    <w:rPr>
                      <w:b/>
                      <w:color w:val="auto"/>
                    </w:rPr>
                  </w:pPr>
                  <w:r>
                    <w:rPr>
                      <w:b/>
                      <w:color w:val="auto"/>
                    </w:rPr>
                    <w:t>Ⅲ</w:t>
                  </w:r>
                </w:p>
              </w:tc>
              <w:tc>
                <w:tcPr>
                  <w:tcW w:w="826" w:type="dxa"/>
                  <w:tcBorders>
                    <w:top w:val="single" w:color="auto" w:sz="2" w:space="0"/>
                    <w:left w:val="single" w:color="auto" w:sz="2" w:space="0"/>
                    <w:bottom w:val="single" w:color="auto" w:sz="2" w:space="0"/>
                    <w:right w:val="single" w:color="auto" w:sz="2" w:space="0"/>
                  </w:tcBorders>
                  <w:vAlign w:val="center"/>
                </w:tcPr>
                <w:p w14:paraId="59EEFF5F">
                  <w:pPr>
                    <w:adjustRightInd w:val="0"/>
                    <w:jc w:val="center"/>
                    <w:rPr>
                      <w:b/>
                      <w:color w:val="auto"/>
                    </w:rPr>
                  </w:pPr>
                  <w:r>
                    <w:rPr>
                      <w:b/>
                      <w:color w:val="auto"/>
                    </w:rPr>
                    <w:t>Ⅰ</w:t>
                  </w:r>
                </w:p>
              </w:tc>
              <w:tc>
                <w:tcPr>
                  <w:tcW w:w="826" w:type="dxa"/>
                  <w:tcBorders>
                    <w:top w:val="single" w:color="auto" w:sz="2" w:space="0"/>
                    <w:left w:val="single" w:color="auto" w:sz="2" w:space="0"/>
                    <w:bottom w:val="single" w:color="auto" w:sz="2" w:space="0"/>
                    <w:right w:val="single" w:color="auto" w:sz="2" w:space="0"/>
                  </w:tcBorders>
                  <w:vAlign w:val="center"/>
                </w:tcPr>
                <w:p w14:paraId="6391B8E8">
                  <w:pPr>
                    <w:adjustRightInd w:val="0"/>
                    <w:jc w:val="center"/>
                    <w:rPr>
                      <w:b/>
                      <w:color w:val="auto"/>
                    </w:rPr>
                  </w:pPr>
                  <w:r>
                    <w:rPr>
                      <w:b/>
                      <w:color w:val="auto"/>
                    </w:rPr>
                    <w:t>Ⅱ</w:t>
                  </w:r>
                </w:p>
              </w:tc>
              <w:tc>
                <w:tcPr>
                  <w:tcW w:w="828" w:type="dxa"/>
                  <w:tcBorders>
                    <w:top w:val="single" w:color="auto" w:sz="2" w:space="0"/>
                    <w:left w:val="single" w:color="auto" w:sz="2" w:space="0"/>
                    <w:bottom w:val="single" w:color="auto" w:sz="2" w:space="0"/>
                    <w:right w:val="single" w:color="auto" w:sz="2" w:space="0"/>
                  </w:tcBorders>
                  <w:vAlign w:val="center"/>
                </w:tcPr>
                <w:p w14:paraId="3022B1C1">
                  <w:pPr>
                    <w:adjustRightInd w:val="0"/>
                    <w:jc w:val="center"/>
                    <w:rPr>
                      <w:b/>
                      <w:color w:val="auto"/>
                    </w:rPr>
                  </w:pPr>
                  <w:r>
                    <w:rPr>
                      <w:b/>
                      <w:color w:val="auto"/>
                    </w:rPr>
                    <w:t>Ⅲ</w:t>
                  </w:r>
                </w:p>
              </w:tc>
            </w:tr>
            <w:tr w14:paraId="7283CA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7CEEC2A9">
                  <w:pPr>
                    <w:adjustRightInd w:val="0"/>
                    <w:jc w:val="center"/>
                    <w:rPr>
                      <w:color w:val="auto"/>
                    </w:rPr>
                  </w:pPr>
                  <w:r>
                    <w:rPr>
                      <w:color w:val="auto"/>
                    </w:rPr>
                    <w:t>A</w:t>
                  </w:r>
                </w:p>
              </w:tc>
              <w:tc>
                <w:tcPr>
                  <w:tcW w:w="1196" w:type="dxa"/>
                  <w:tcBorders>
                    <w:top w:val="single" w:color="auto" w:sz="2" w:space="0"/>
                    <w:left w:val="single" w:color="auto" w:sz="2" w:space="0"/>
                    <w:bottom w:val="single" w:color="auto" w:sz="2" w:space="0"/>
                    <w:right w:val="single" w:color="auto" w:sz="2" w:space="0"/>
                  </w:tcBorders>
                  <w:shd w:val="clear" w:color="auto" w:fill="FFFFFF"/>
                  <w:vAlign w:val="center"/>
                </w:tcPr>
                <w:p w14:paraId="6DE79C67">
                  <w:pPr>
                    <w:adjustRightInd w:val="0"/>
                    <w:jc w:val="center"/>
                    <w:rPr>
                      <w:color w:val="auto"/>
                    </w:rPr>
                  </w:pPr>
                  <w:r>
                    <w:rPr>
                      <w:color w:val="auto"/>
                    </w:rPr>
                    <w:t>&lt;2</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100D8E3C">
                  <w:pPr>
                    <w:adjustRightInd w:val="0"/>
                    <w:jc w:val="center"/>
                    <w:rPr>
                      <w:color w:val="auto"/>
                    </w:rPr>
                  </w:pPr>
                  <w:r>
                    <w:rPr>
                      <w:color w:val="auto"/>
                    </w:rPr>
                    <w:t>400</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34BDEB5C">
                  <w:pPr>
                    <w:adjustRightInd w:val="0"/>
                    <w:jc w:val="center"/>
                    <w:rPr>
                      <w:color w:val="auto"/>
                    </w:rPr>
                  </w:pPr>
                  <w:r>
                    <w:rPr>
                      <w:color w:val="auto"/>
                    </w:rPr>
                    <w:t>400</w:t>
                  </w:r>
                </w:p>
              </w:tc>
              <w:tc>
                <w:tcPr>
                  <w:tcW w:w="828" w:type="dxa"/>
                  <w:tcBorders>
                    <w:top w:val="single" w:color="auto" w:sz="2" w:space="0"/>
                    <w:left w:val="single" w:color="auto" w:sz="2" w:space="0"/>
                    <w:bottom w:val="single" w:color="auto" w:sz="2" w:space="0"/>
                    <w:right w:val="single" w:color="auto" w:sz="2" w:space="0"/>
                  </w:tcBorders>
                  <w:shd w:val="clear" w:color="auto" w:fill="FFFFFF"/>
                  <w:vAlign w:val="center"/>
                </w:tcPr>
                <w:p w14:paraId="19676E5C">
                  <w:pPr>
                    <w:adjustRightInd w:val="0"/>
                    <w:jc w:val="center"/>
                    <w:rPr>
                      <w:color w:val="auto"/>
                    </w:rPr>
                  </w:pPr>
                  <w:r>
                    <w:rPr>
                      <w:color w:val="auto"/>
                    </w:rPr>
                    <w:t>400</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622B0D1D">
                  <w:pPr>
                    <w:adjustRightInd w:val="0"/>
                    <w:jc w:val="center"/>
                    <w:rPr>
                      <w:color w:val="auto"/>
                    </w:rPr>
                  </w:pPr>
                  <w:r>
                    <w:rPr>
                      <w:color w:val="auto"/>
                    </w:rPr>
                    <w:t>400</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2E59396E">
                  <w:pPr>
                    <w:adjustRightInd w:val="0"/>
                    <w:jc w:val="center"/>
                    <w:rPr>
                      <w:color w:val="auto"/>
                    </w:rPr>
                  </w:pPr>
                  <w:r>
                    <w:rPr>
                      <w:color w:val="auto"/>
                    </w:rPr>
                    <w:t>400</w:t>
                  </w:r>
                </w:p>
              </w:tc>
              <w:tc>
                <w:tcPr>
                  <w:tcW w:w="828" w:type="dxa"/>
                  <w:tcBorders>
                    <w:top w:val="single" w:color="auto" w:sz="2" w:space="0"/>
                    <w:left w:val="single" w:color="auto" w:sz="2" w:space="0"/>
                    <w:bottom w:val="single" w:color="auto" w:sz="2" w:space="0"/>
                    <w:right w:val="single" w:color="auto" w:sz="2" w:space="0"/>
                  </w:tcBorders>
                  <w:shd w:val="clear" w:color="auto" w:fill="FFFFFF"/>
                  <w:vAlign w:val="center"/>
                </w:tcPr>
                <w:p w14:paraId="6185DF98">
                  <w:pPr>
                    <w:adjustRightInd w:val="0"/>
                    <w:jc w:val="center"/>
                    <w:rPr>
                      <w:color w:val="auto"/>
                    </w:rPr>
                  </w:pPr>
                  <w:r>
                    <w:rPr>
                      <w:color w:val="auto"/>
                    </w:rPr>
                    <w:t>400</w:t>
                  </w:r>
                </w:p>
              </w:tc>
              <w:tc>
                <w:tcPr>
                  <w:tcW w:w="826" w:type="dxa"/>
                  <w:tcBorders>
                    <w:top w:val="single" w:color="auto" w:sz="2" w:space="0"/>
                    <w:left w:val="single" w:color="auto" w:sz="2" w:space="0"/>
                    <w:bottom w:val="single" w:color="auto" w:sz="2" w:space="0"/>
                    <w:right w:val="single" w:color="auto" w:sz="2" w:space="0"/>
                  </w:tcBorders>
                  <w:vAlign w:val="center"/>
                </w:tcPr>
                <w:p w14:paraId="6818E9DB">
                  <w:pPr>
                    <w:adjustRightInd w:val="0"/>
                    <w:jc w:val="center"/>
                    <w:rPr>
                      <w:color w:val="auto"/>
                    </w:rPr>
                  </w:pPr>
                  <w:r>
                    <w:rPr>
                      <w:color w:val="auto"/>
                    </w:rPr>
                    <w:t>80</w:t>
                  </w:r>
                </w:p>
              </w:tc>
              <w:tc>
                <w:tcPr>
                  <w:tcW w:w="826" w:type="dxa"/>
                  <w:tcBorders>
                    <w:top w:val="single" w:color="auto" w:sz="2" w:space="0"/>
                    <w:left w:val="single" w:color="auto" w:sz="2" w:space="0"/>
                    <w:bottom w:val="single" w:color="auto" w:sz="2" w:space="0"/>
                    <w:right w:val="single" w:color="auto" w:sz="2" w:space="0"/>
                  </w:tcBorders>
                  <w:vAlign w:val="center"/>
                </w:tcPr>
                <w:p w14:paraId="409E5E71">
                  <w:pPr>
                    <w:adjustRightInd w:val="0"/>
                    <w:jc w:val="center"/>
                    <w:rPr>
                      <w:color w:val="auto"/>
                    </w:rPr>
                  </w:pPr>
                  <w:r>
                    <w:rPr>
                      <w:color w:val="auto"/>
                    </w:rPr>
                    <w:t>80</w:t>
                  </w:r>
                </w:p>
              </w:tc>
              <w:tc>
                <w:tcPr>
                  <w:tcW w:w="828" w:type="dxa"/>
                  <w:tcBorders>
                    <w:top w:val="single" w:color="auto" w:sz="2" w:space="0"/>
                    <w:left w:val="single" w:color="auto" w:sz="2" w:space="0"/>
                    <w:bottom w:val="single" w:color="auto" w:sz="2" w:space="0"/>
                    <w:right w:val="single" w:color="auto" w:sz="2" w:space="0"/>
                  </w:tcBorders>
                  <w:vAlign w:val="center"/>
                </w:tcPr>
                <w:p w14:paraId="6A38CD84">
                  <w:pPr>
                    <w:adjustRightInd w:val="0"/>
                    <w:jc w:val="center"/>
                    <w:rPr>
                      <w:color w:val="auto"/>
                    </w:rPr>
                  </w:pPr>
                  <w:r>
                    <w:rPr>
                      <w:color w:val="auto"/>
                    </w:rPr>
                    <w:t>80</w:t>
                  </w:r>
                </w:p>
              </w:tc>
            </w:tr>
            <w:tr w14:paraId="224B95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42E146F5">
                  <w:pPr>
                    <w:widowControl/>
                    <w:jc w:val="left"/>
                    <w:rPr>
                      <w:color w:val="auto"/>
                    </w:rPr>
                  </w:pPr>
                </w:p>
              </w:tc>
              <w:tc>
                <w:tcPr>
                  <w:tcW w:w="1196" w:type="dxa"/>
                  <w:tcBorders>
                    <w:top w:val="single" w:color="auto" w:sz="2" w:space="0"/>
                    <w:left w:val="single" w:color="auto" w:sz="2" w:space="0"/>
                    <w:bottom w:val="single" w:color="auto" w:sz="2" w:space="0"/>
                    <w:right w:val="single" w:color="auto" w:sz="2" w:space="0"/>
                  </w:tcBorders>
                  <w:shd w:val="clear" w:color="auto" w:fill="FFFFFF"/>
                  <w:vAlign w:val="center"/>
                </w:tcPr>
                <w:p w14:paraId="29432395">
                  <w:pPr>
                    <w:adjustRightInd w:val="0"/>
                    <w:jc w:val="center"/>
                    <w:rPr>
                      <w:color w:val="auto"/>
                    </w:rPr>
                  </w:pPr>
                  <w:r>
                    <w:rPr>
                      <w:color w:val="auto"/>
                    </w:rPr>
                    <w:t>2-4</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5BCB490D">
                  <w:pPr>
                    <w:adjustRightInd w:val="0"/>
                    <w:jc w:val="center"/>
                    <w:rPr>
                      <w:color w:val="auto"/>
                    </w:rPr>
                  </w:pPr>
                  <w:r>
                    <w:rPr>
                      <w:color w:val="auto"/>
                    </w:rPr>
                    <w:t>700</w:t>
                  </w:r>
                </w:p>
              </w:tc>
              <w:tc>
                <w:tcPr>
                  <w:tcW w:w="826" w:type="dxa"/>
                  <w:tcBorders>
                    <w:top w:val="single" w:color="auto" w:sz="2" w:space="0"/>
                    <w:left w:val="single" w:color="auto" w:sz="2" w:space="0"/>
                    <w:bottom w:val="single" w:color="auto" w:sz="2" w:space="0"/>
                    <w:right w:val="single" w:color="auto" w:sz="2" w:space="0"/>
                  </w:tcBorders>
                  <w:shd w:val="clear" w:color="auto" w:fill="7F7F7F"/>
                  <w:vAlign w:val="center"/>
                </w:tcPr>
                <w:p w14:paraId="5F97C24D">
                  <w:pPr>
                    <w:adjustRightInd w:val="0"/>
                    <w:jc w:val="center"/>
                    <w:rPr>
                      <w:color w:val="auto"/>
                    </w:rPr>
                  </w:pPr>
                  <w:r>
                    <w:rPr>
                      <w:color w:val="auto"/>
                    </w:rPr>
                    <w:t>470</w:t>
                  </w:r>
                </w:p>
              </w:tc>
              <w:tc>
                <w:tcPr>
                  <w:tcW w:w="828" w:type="dxa"/>
                  <w:tcBorders>
                    <w:top w:val="single" w:color="auto" w:sz="2" w:space="0"/>
                    <w:left w:val="single" w:color="auto" w:sz="2" w:space="0"/>
                    <w:bottom w:val="single" w:color="auto" w:sz="2" w:space="0"/>
                    <w:right w:val="single" w:color="auto" w:sz="2" w:space="0"/>
                  </w:tcBorders>
                  <w:shd w:val="clear" w:color="auto" w:fill="FFFFFF"/>
                  <w:vAlign w:val="center"/>
                </w:tcPr>
                <w:p w14:paraId="32A82134">
                  <w:pPr>
                    <w:adjustRightInd w:val="0"/>
                    <w:jc w:val="center"/>
                    <w:rPr>
                      <w:color w:val="auto"/>
                    </w:rPr>
                  </w:pPr>
                  <w:r>
                    <w:rPr>
                      <w:color w:val="auto"/>
                    </w:rPr>
                    <w:t>350</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3D31D154">
                  <w:pPr>
                    <w:adjustRightInd w:val="0"/>
                    <w:jc w:val="center"/>
                    <w:rPr>
                      <w:color w:val="auto"/>
                    </w:rPr>
                  </w:pPr>
                  <w:r>
                    <w:rPr>
                      <w:color w:val="auto"/>
                    </w:rPr>
                    <w:t>700</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2BFF96D5">
                  <w:pPr>
                    <w:adjustRightInd w:val="0"/>
                    <w:jc w:val="center"/>
                    <w:rPr>
                      <w:color w:val="auto"/>
                    </w:rPr>
                  </w:pPr>
                  <w:r>
                    <w:rPr>
                      <w:color w:val="auto"/>
                    </w:rPr>
                    <w:t>470</w:t>
                  </w:r>
                </w:p>
              </w:tc>
              <w:tc>
                <w:tcPr>
                  <w:tcW w:w="828" w:type="dxa"/>
                  <w:tcBorders>
                    <w:top w:val="single" w:color="auto" w:sz="2" w:space="0"/>
                    <w:left w:val="single" w:color="auto" w:sz="2" w:space="0"/>
                    <w:bottom w:val="single" w:color="auto" w:sz="2" w:space="0"/>
                    <w:right w:val="single" w:color="auto" w:sz="2" w:space="0"/>
                  </w:tcBorders>
                  <w:shd w:val="clear" w:color="auto" w:fill="FFFFFF"/>
                  <w:vAlign w:val="center"/>
                </w:tcPr>
                <w:p w14:paraId="0A13CA91">
                  <w:pPr>
                    <w:adjustRightInd w:val="0"/>
                    <w:jc w:val="center"/>
                    <w:rPr>
                      <w:color w:val="auto"/>
                    </w:rPr>
                  </w:pPr>
                  <w:r>
                    <w:rPr>
                      <w:color w:val="auto"/>
                    </w:rPr>
                    <w:t>350</w:t>
                  </w:r>
                </w:p>
              </w:tc>
              <w:tc>
                <w:tcPr>
                  <w:tcW w:w="826" w:type="dxa"/>
                  <w:tcBorders>
                    <w:top w:val="single" w:color="auto" w:sz="2" w:space="0"/>
                    <w:left w:val="single" w:color="auto" w:sz="2" w:space="0"/>
                    <w:bottom w:val="single" w:color="auto" w:sz="2" w:space="0"/>
                    <w:right w:val="single" w:color="auto" w:sz="2" w:space="0"/>
                  </w:tcBorders>
                  <w:vAlign w:val="center"/>
                </w:tcPr>
                <w:p w14:paraId="156E5138">
                  <w:pPr>
                    <w:adjustRightInd w:val="0"/>
                    <w:jc w:val="center"/>
                    <w:rPr>
                      <w:color w:val="auto"/>
                    </w:rPr>
                  </w:pPr>
                  <w:r>
                    <w:rPr>
                      <w:color w:val="auto"/>
                    </w:rPr>
                    <w:t>380</w:t>
                  </w:r>
                </w:p>
              </w:tc>
              <w:tc>
                <w:tcPr>
                  <w:tcW w:w="826" w:type="dxa"/>
                  <w:tcBorders>
                    <w:top w:val="single" w:color="auto" w:sz="2" w:space="0"/>
                    <w:left w:val="single" w:color="auto" w:sz="2" w:space="0"/>
                    <w:bottom w:val="single" w:color="auto" w:sz="2" w:space="0"/>
                    <w:right w:val="single" w:color="auto" w:sz="2" w:space="0"/>
                  </w:tcBorders>
                  <w:vAlign w:val="center"/>
                </w:tcPr>
                <w:p w14:paraId="79168C64">
                  <w:pPr>
                    <w:adjustRightInd w:val="0"/>
                    <w:jc w:val="center"/>
                    <w:rPr>
                      <w:color w:val="auto"/>
                    </w:rPr>
                  </w:pPr>
                  <w:r>
                    <w:rPr>
                      <w:color w:val="auto"/>
                    </w:rPr>
                    <w:t>250</w:t>
                  </w:r>
                </w:p>
              </w:tc>
              <w:tc>
                <w:tcPr>
                  <w:tcW w:w="828" w:type="dxa"/>
                  <w:tcBorders>
                    <w:top w:val="single" w:color="auto" w:sz="2" w:space="0"/>
                    <w:left w:val="single" w:color="auto" w:sz="2" w:space="0"/>
                    <w:bottom w:val="single" w:color="auto" w:sz="2" w:space="0"/>
                    <w:right w:val="single" w:color="auto" w:sz="2" w:space="0"/>
                  </w:tcBorders>
                  <w:vAlign w:val="center"/>
                </w:tcPr>
                <w:p w14:paraId="1D83F8ED">
                  <w:pPr>
                    <w:adjustRightInd w:val="0"/>
                    <w:jc w:val="center"/>
                    <w:rPr>
                      <w:color w:val="auto"/>
                    </w:rPr>
                  </w:pPr>
                  <w:r>
                    <w:rPr>
                      <w:color w:val="auto"/>
                    </w:rPr>
                    <w:t>190</w:t>
                  </w:r>
                </w:p>
              </w:tc>
            </w:tr>
            <w:tr w14:paraId="6EF0A1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C96432B">
                  <w:pPr>
                    <w:widowControl/>
                    <w:jc w:val="left"/>
                    <w:rPr>
                      <w:color w:val="auto"/>
                    </w:rPr>
                  </w:pPr>
                </w:p>
              </w:tc>
              <w:tc>
                <w:tcPr>
                  <w:tcW w:w="1196" w:type="dxa"/>
                  <w:tcBorders>
                    <w:top w:val="single" w:color="auto" w:sz="2" w:space="0"/>
                    <w:left w:val="single" w:color="auto" w:sz="2" w:space="0"/>
                    <w:bottom w:val="single" w:color="auto" w:sz="2" w:space="0"/>
                    <w:right w:val="single" w:color="auto" w:sz="2" w:space="0"/>
                  </w:tcBorders>
                  <w:shd w:val="clear" w:color="auto" w:fill="FFFFFF"/>
                  <w:vAlign w:val="center"/>
                </w:tcPr>
                <w:p w14:paraId="53A322B1">
                  <w:pPr>
                    <w:adjustRightInd w:val="0"/>
                    <w:jc w:val="center"/>
                    <w:rPr>
                      <w:color w:val="auto"/>
                    </w:rPr>
                  </w:pPr>
                  <w:r>
                    <w:rPr>
                      <w:color w:val="auto"/>
                    </w:rPr>
                    <w:t>&gt;4</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6149C246">
                  <w:pPr>
                    <w:adjustRightInd w:val="0"/>
                    <w:jc w:val="center"/>
                    <w:rPr>
                      <w:color w:val="auto"/>
                    </w:rPr>
                  </w:pPr>
                  <w:r>
                    <w:rPr>
                      <w:color w:val="auto"/>
                    </w:rPr>
                    <w:t>530</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0A9DD41A">
                  <w:pPr>
                    <w:adjustRightInd w:val="0"/>
                    <w:jc w:val="center"/>
                    <w:rPr>
                      <w:color w:val="auto"/>
                    </w:rPr>
                  </w:pPr>
                  <w:r>
                    <w:rPr>
                      <w:color w:val="auto"/>
                    </w:rPr>
                    <w:t>350</w:t>
                  </w:r>
                </w:p>
              </w:tc>
              <w:tc>
                <w:tcPr>
                  <w:tcW w:w="828" w:type="dxa"/>
                  <w:tcBorders>
                    <w:top w:val="single" w:color="auto" w:sz="2" w:space="0"/>
                    <w:left w:val="single" w:color="auto" w:sz="2" w:space="0"/>
                    <w:bottom w:val="single" w:color="auto" w:sz="2" w:space="0"/>
                    <w:right w:val="single" w:color="auto" w:sz="2" w:space="0"/>
                  </w:tcBorders>
                  <w:shd w:val="clear" w:color="auto" w:fill="FFFFFF"/>
                  <w:vAlign w:val="center"/>
                </w:tcPr>
                <w:p w14:paraId="7978E4A4">
                  <w:pPr>
                    <w:adjustRightInd w:val="0"/>
                    <w:jc w:val="center"/>
                    <w:rPr>
                      <w:color w:val="auto"/>
                    </w:rPr>
                  </w:pPr>
                  <w:r>
                    <w:rPr>
                      <w:color w:val="auto"/>
                    </w:rPr>
                    <w:t>260</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42F58E58">
                  <w:pPr>
                    <w:adjustRightInd w:val="0"/>
                    <w:jc w:val="center"/>
                    <w:rPr>
                      <w:color w:val="auto"/>
                    </w:rPr>
                  </w:pPr>
                  <w:r>
                    <w:rPr>
                      <w:color w:val="auto"/>
                    </w:rPr>
                    <w:t>530</w:t>
                  </w:r>
                </w:p>
              </w:tc>
              <w:tc>
                <w:tcPr>
                  <w:tcW w:w="826" w:type="dxa"/>
                  <w:tcBorders>
                    <w:top w:val="single" w:color="auto" w:sz="2" w:space="0"/>
                    <w:left w:val="single" w:color="auto" w:sz="2" w:space="0"/>
                    <w:bottom w:val="single" w:color="auto" w:sz="2" w:space="0"/>
                    <w:right w:val="single" w:color="auto" w:sz="2" w:space="0"/>
                  </w:tcBorders>
                  <w:shd w:val="clear" w:color="auto" w:fill="FFFFFF"/>
                  <w:vAlign w:val="center"/>
                </w:tcPr>
                <w:p w14:paraId="77BD4E42">
                  <w:pPr>
                    <w:adjustRightInd w:val="0"/>
                    <w:jc w:val="center"/>
                    <w:rPr>
                      <w:color w:val="auto"/>
                    </w:rPr>
                  </w:pPr>
                  <w:r>
                    <w:rPr>
                      <w:color w:val="auto"/>
                    </w:rPr>
                    <w:t>350</w:t>
                  </w:r>
                </w:p>
              </w:tc>
              <w:tc>
                <w:tcPr>
                  <w:tcW w:w="828" w:type="dxa"/>
                  <w:tcBorders>
                    <w:top w:val="single" w:color="auto" w:sz="2" w:space="0"/>
                    <w:left w:val="single" w:color="auto" w:sz="2" w:space="0"/>
                    <w:bottom w:val="single" w:color="auto" w:sz="2" w:space="0"/>
                    <w:right w:val="single" w:color="auto" w:sz="2" w:space="0"/>
                  </w:tcBorders>
                  <w:shd w:val="clear" w:color="auto" w:fill="FFFFFF"/>
                  <w:vAlign w:val="center"/>
                </w:tcPr>
                <w:p w14:paraId="0904733F">
                  <w:pPr>
                    <w:adjustRightInd w:val="0"/>
                    <w:jc w:val="center"/>
                    <w:rPr>
                      <w:color w:val="auto"/>
                    </w:rPr>
                  </w:pPr>
                  <w:r>
                    <w:rPr>
                      <w:color w:val="auto"/>
                    </w:rPr>
                    <w:t>260</w:t>
                  </w:r>
                </w:p>
              </w:tc>
              <w:tc>
                <w:tcPr>
                  <w:tcW w:w="826" w:type="dxa"/>
                  <w:tcBorders>
                    <w:top w:val="single" w:color="auto" w:sz="2" w:space="0"/>
                    <w:left w:val="single" w:color="auto" w:sz="2" w:space="0"/>
                    <w:bottom w:val="single" w:color="auto" w:sz="2" w:space="0"/>
                    <w:right w:val="single" w:color="auto" w:sz="2" w:space="0"/>
                  </w:tcBorders>
                  <w:vAlign w:val="center"/>
                </w:tcPr>
                <w:p w14:paraId="14369ECA">
                  <w:pPr>
                    <w:adjustRightInd w:val="0"/>
                    <w:jc w:val="center"/>
                    <w:rPr>
                      <w:color w:val="auto"/>
                    </w:rPr>
                  </w:pPr>
                  <w:r>
                    <w:rPr>
                      <w:color w:val="auto"/>
                    </w:rPr>
                    <w:t>290</w:t>
                  </w:r>
                </w:p>
              </w:tc>
              <w:tc>
                <w:tcPr>
                  <w:tcW w:w="826" w:type="dxa"/>
                  <w:tcBorders>
                    <w:top w:val="single" w:color="auto" w:sz="2" w:space="0"/>
                    <w:left w:val="single" w:color="auto" w:sz="2" w:space="0"/>
                    <w:bottom w:val="single" w:color="auto" w:sz="2" w:space="0"/>
                    <w:right w:val="single" w:color="auto" w:sz="2" w:space="0"/>
                  </w:tcBorders>
                  <w:vAlign w:val="center"/>
                </w:tcPr>
                <w:p w14:paraId="06AF8AAA">
                  <w:pPr>
                    <w:adjustRightInd w:val="0"/>
                    <w:jc w:val="center"/>
                    <w:rPr>
                      <w:color w:val="auto"/>
                    </w:rPr>
                  </w:pPr>
                  <w:r>
                    <w:rPr>
                      <w:color w:val="auto"/>
                    </w:rPr>
                    <w:t>190</w:t>
                  </w:r>
                </w:p>
              </w:tc>
              <w:tc>
                <w:tcPr>
                  <w:tcW w:w="828" w:type="dxa"/>
                  <w:tcBorders>
                    <w:top w:val="single" w:color="auto" w:sz="2" w:space="0"/>
                    <w:left w:val="single" w:color="auto" w:sz="2" w:space="0"/>
                    <w:bottom w:val="single" w:color="auto" w:sz="2" w:space="0"/>
                    <w:right w:val="single" w:color="auto" w:sz="2" w:space="0"/>
                  </w:tcBorders>
                  <w:vAlign w:val="center"/>
                </w:tcPr>
                <w:p w14:paraId="5C3AF367">
                  <w:pPr>
                    <w:adjustRightInd w:val="0"/>
                    <w:jc w:val="center"/>
                    <w:rPr>
                      <w:color w:val="auto"/>
                    </w:rPr>
                  </w:pPr>
                  <w:r>
                    <w:rPr>
                      <w:color w:val="auto"/>
                    </w:rPr>
                    <w:t>140</w:t>
                  </w:r>
                </w:p>
              </w:tc>
            </w:tr>
            <w:tr w14:paraId="3700A3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6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02B24148">
                  <w:pPr>
                    <w:adjustRightInd w:val="0"/>
                    <w:jc w:val="center"/>
                    <w:rPr>
                      <w:color w:val="auto"/>
                    </w:rPr>
                  </w:pPr>
                  <w:r>
                    <w:rPr>
                      <w:color w:val="auto"/>
                    </w:rPr>
                    <w:t>B</w:t>
                  </w:r>
                </w:p>
              </w:tc>
              <w:tc>
                <w:tcPr>
                  <w:tcW w:w="1196" w:type="dxa"/>
                  <w:tcBorders>
                    <w:top w:val="single" w:color="auto" w:sz="2" w:space="0"/>
                    <w:left w:val="single" w:color="auto" w:sz="2" w:space="0"/>
                    <w:bottom w:val="single" w:color="auto" w:sz="2" w:space="0"/>
                    <w:right w:val="single" w:color="auto" w:sz="2" w:space="0"/>
                  </w:tcBorders>
                  <w:shd w:val="clear" w:color="auto" w:fill="FFFFFF"/>
                  <w:vAlign w:val="center"/>
                </w:tcPr>
                <w:p w14:paraId="1306EC38">
                  <w:pPr>
                    <w:adjustRightInd w:val="0"/>
                    <w:jc w:val="center"/>
                    <w:rPr>
                      <w:color w:val="auto"/>
                    </w:rPr>
                  </w:pPr>
                  <w:r>
                    <w:rPr>
                      <w:color w:val="auto"/>
                    </w:rPr>
                    <w:t>&lt;2</w:t>
                  </w:r>
                </w:p>
              </w:tc>
              <w:tc>
                <w:tcPr>
                  <w:tcW w:w="2480"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40E4B95D">
                  <w:pPr>
                    <w:adjustRightInd w:val="0"/>
                    <w:jc w:val="center"/>
                    <w:rPr>
                      <w:color w:val="auto"/>
                    </w:rPr>
                  </w:pPr>
                  <w:r>
                    <w:rPr>
                      <w:color w:val="auto"/>
                    </w:rPr>
                    <w:t>0.01</w:t>
                  </w:r>
                </w:p>
              </w:tc>
              <w:tc>
                <w:tcPr>
                  <w:tcW w:w="2480"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4418B31E">
                  <w:pPr>
                    <w:adjustRightInd w:val="0"/>
                    <w:jc w:val="center"/>
                    <w:rPr>
                      <w:color w:val="auto"/>
                    </w:rPr>
                  </w:pPr>
                  <w:r>
                    <w:rPr>
                      <w:color w:val="auto"/>
                    </w:rPr>
                    <w:t>0.015</w:t>
                  </w:r>
                </w:p>
              </w:tc>
              <w:tc>
                <w:tcPr>
                  <w:tcW w:w="2480" w:type="dxa"/>
                  <w:gridSpan w:val="3"/>
                  <w:tcBorders>
                    <w:top w:val="single" w:color="auto" w:sz="2" w:space="0"/>
                    <w:left w:val="single" w:color="auto" w:sz="2" w:space="0"/>
                    <w:bottom w:val="single" w:color="auto" w:sz="2" w:space="0"/>
                    <w:right w:val="single" w:color="auto" w:sz="2" w:space="0"/>
                  </w:tcBorders>
                  <w:vAlign w:val="center"/>
                </w:tcPr>
                <w:p w14:paraId="177C8691">
                  <w:pPr>
                    <w:adjustRightInd w:val="0"/>
                    <w:jc w:val="center"/>
                    <w:rPr>
                      <w:color w:val="auto"/>
                    </w:rPr>
                  </w:pPr>
                  <w:r>
                    <w:rPr>
                      <w:color w:val="auto"/>
                    </w:rPr>
                    <w:t>0.015</w:t>
                  </w:r>
                </w:p>
              </w:tc>
            </w:tr>
            <w:tr w14:paraId="13A62E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5812A102">
                  <w:pPr>
                    <w:widowControl/>
                    <w:jc w:val="left"/>
                    <w:rPr>
                      <w:color w:val="auto"/>
                    </w:rPr>
                  </w:pPr>
                </w:p>
              </w:tc>
              <w:tc>
                <w:tcPr>
                  <w:tcW w:w="1196" w:type="dxa"/>
                  <w:tcBorders>
                    <w:top w:val="single" w:color="auto" w:sz="2" w:space="0"/>
                    <w:left w:val="single" w:color="auto" w:sz="2" w:space="0"/>
                    <w:bottom w:val="single" w:color="auto" w:sz="2" w:space="0"/>
                    <w:right w:val="single" w:color="auto" w:sz="2" w:space="0"/>
                  </w:tcBorders>
                  <w:shd w:val="clear" w:color="auto" w:fill="FFFFFF"/>
                  <w:vAlign w:val="center"/>
                </w:tcPr>
                <w:p w14:paraId="62F0B085">
                  <w:pPr>
                    <w:adjustRightInd w:val="0"/>
                    <w:jc w:val="center"/>
                    <w:rPr>
                      <w:color w:val="auto"/>
                    </w:rPr>
                  </w:pPr>
                  <w:r>
                    <w:rPr>
                      <w:color w:val="auto"/>
                    </w:rPr>
                    <w:t>&gt;2</w:t>
                  </w:r>
                </w:p>
              </w:tc>
              <w:tc>
                <w:tcPr>
                  <w:tcW w:w="2480" w:type="dxa"/>
                  <w:gridSpan w:val="3"/>
                  <w:tcBorders>
                    <w:top w:val="single" w:color="auto" w:sz="2" w:space="0"/>
                    <w:left w:val="single" w:color="auto" w:sz="2" w:space="0"/>
                    <w:bottom w:val="single" w:color="auto" w:sz="2" w:space="0"/>
                    <w:right w:val="single" w:color="auto" w:sz="2" w:space="0"/>
                  </w:tcBorders>
                  <w:shd w:val="clear" w:color="auto" w:fill="7F7F7F"/>
                  <w:vAlign w:val="center"/>
                </w:tcPr>
                <w:p w14:paraId="437C1C74">
                  <w:pPr>
                    <w:adjustRightInd w:val="0"/>
                    <w:jc w:val="center"/>
                    <w:rPr>
                      <w:color w:val="auto"/>
                    </w:rPr>
                  </w:pPr>
                  <w:r>
                    <w:rPr>
                      <w:color w:val="auto"/>
                    </w:rPr>
                    <w:t>0.021</w:t>
                  </w:r>
                </w:p>
              </w:tc>
              <w:tc>
                <w:tcPr>
                  <w:tcW w:w="2480"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554206C3">
                  <w:pPr>
                    <w:adjustRightInd w:val="0"/>
                    <w:jc w:val="center"/>
                    <w:rPr>
                      <w:color w:val="auto"/>
                    </w:rPr>
                  </w:pPr>
                  <w:r>
                    <w:rPr>
                      <w:color w:val="auto"/>
                    </w:rPr>
                    <w:t>0.036</w:t>
                  </w:r>
                </w:p>
              </w:tc>
              <w:tc>
                <w:tcPr>
                  <w:tcW w:w="2480" w:type="dxa"/>
                  <w:gridSpan w:val="3"/>
                  <w:tcBorders>
                    <w:top w:val="single" w:color="auto" w:sz="2" w:space="0"/>
                    <w:left w:val="single" w:color="auto" w:sz="2" w:space="0"/>
                    <w:bottom w:val="single" w:color="auto" w:sz="2" w:space="0"/>
                    <w:right w:val="single" w:color="auto" w:sz="2" w:space="0"/>
                  </w:tcBorders>
                  <w:vAlign w:val="center"/>
                </w:tcPr>
                <w:p w14:paraId="53623251">
                  <w:pPr>
                    <w:adjustRightInd w:val="0"/>
                    <w:jc w:val="center"/>
                    <w:rPr>
                      <w:color w:val="auto"/>
                    </w:rPr>
                  </w:pPr>
                  <w:r>
                    <w:rPr>
                      <w:color w:val="auto"/>
                    </w:rPr>
                    <w:t>0.036</w:t>
                  </w:r>
                </w:p>
              </w:tc>
            </w:tr>
            <w:tr w14:paraId="404175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2ADC8E7C">
                  <w:pPr>
                    <w:adjustRightInd w:val="0"/>
                    <w:jc w:val="center"/>
                    <w:rPr>
                      <w:color w:val="auto"/>
                    </w:rPr>
                  </w:pPr>
                  <w:r>
                    <w:rPr>
                      <w:color w:val="auto"/>
                    </w:rPr>
                    <w:t>C</w:t>
                  </w:r>
                </w:p>
              </w:tc>
              <w:tc>
                <w:tcPr>
                  <w:tcW w:w="1196" w:type="dxa"/>
                  <w:tcBorders>
                    <w:top w:val="single" w:color="auto" w:sz="2" w:space="0"/>
                    <w:left w:val="single" w:color="auto" w:sz="2" w:space="0"/>
                    <w:bottom w:val="single" w:color="auto" w:sz="2" w:space="0"/>
                    <w:right w:val="single" w:color="auto" w:sz="2" w:space="0"/>
                  </w:tcBorders>
                  <w:shd w:val="clear" w:color="auto" w:fill="FFFFFF"/>
                  <w:vAlign w:val="center"/>
                </w:tcPr>
                <w:p w14:paraId="2C8B0B38">
                  <w:pPr>
                    <w:adjustRightInd w:val="0"/>
                    <w:jc w:val="center"/>
                    <w:rPr>
                      <w:color w:val="auto"/>
                    </w:rPr>
                  </w:pPr>
                  <w:r>
                    <w:rPr>
                      <w:color w:val="auto"/>
                    </w:rPr>
                    <w:t>&lt;2</w:t>
                  </w:r>
                </w:p>
              </w:tc>
              <w:tc>
                <w:tcPr>
                  <w:tcW w:w="2480"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17FAA462">
                  <w:pPr>
                    <w:adjustRightInd w:val="0"/>
                    <w:jc w:val="center"/>
                    <w:rPr>
                      <w:color w:val="auto"/>
                    </w:rPr>
                  </w:pPr>
                  <w:r>
                    <w:rPr>
                      <w:color w:val="auto"/>
                    </w:rPr>
                    <w:t>1.85</w:t>
                  </w:r>
                </w:p>
              </w:tc>
              <w:tc>
                <w:tcPr>
                  <w:tcW w:w="2480"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4B1A50DF">
                  <w:pPr>
                    <w:adjustRightInd w:val="0"/>
                    <w:jc w:val="center"/>
                    <w:rPr>
                      <w:color w:val="auto"/>
                    </w:rPr>
                  </w:pPr>
                  <w:r>
                    <w:rPr>
                      <w:color w:val="auto"/>
                    </w:rPr>
                    <w:t>1.79</w:t>
                  </w:r>
                </w:p>
              </w:tc>
              <w:tc>
                <w:tcPr>
                  <w:tcW w:w="2480" w:type="dxa"/>
                  <w:gridSpan w:val="3"/>
                  <w:tcBorders>
                    <w:top w:val="single" w:color="auto" w:sz="2" w:space="0"/>
                    <w:left w:val="single" w:color="auto" w:sz="2" w:space="0"/>
                    <w:bottom w:val="single" w:color="auto" w:sz="2" w:space="0"/>
                    <w:right w:val="single" w:color="auto" w:sz="2" w:space="0"/>
                  </w:tcBorders>
                  <w:vAlign w:val="center"/>
                </w:tcPr>
                <w:p w14:paraId="33855601">
                  <w:pPr>
                    <w:adjustRightInd w:val="0"/>
                    <w:jc w:val="center"/>
                    <w:rPr>
                      <w:color w:val="auto"/>
                    </w:rPr>
                  </w:pPr>
                  <w:r>
                    <w:rPr>
                      <w:color w:val="auto"/>
                    </w:rPr>
                    <w:t>1.79</w:t>
                  </w:r>
                </w:p>
              </w:tc>
            </w:tr>
            <w:tr w14:paraId="553D3D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553B4A22">
                  <w:pPr>
                    <w:widowControl/>
                    <w:jc w:val="left"/>
                    <w:rPr>
                      <w:color w:val="auto"/>
                    </w:rPr>
                  </w:pPr>
                </w:p>
              </w:tc>
              <w:tc>
                <w:tcPr>
                  <w:tcW w:w="1196" w:type="dxa"/>
                  <w:tcBorders>
                    <w:top w:val="single" w:color="auto" w:sz="2" w:space="0"/>
                    <w:left w:val="single" w:color="auto" w:sz="2" w:space="0"/>
                    <w:bottom w:val="single" w:color="auto" w:sz="2" w:space="0"/>
                    <w:right w:val="single" w:color="auto" w:sz="2" w:space="0"/>
                  </w:tcBorders>
                  <w:shd w:val="clear" w:color="auto" w:fill="FFFFFF"/>
                  <w:vAlign w:val="center"/>
                </w:tcPr>
                <w:p w14:paraId="2798D89D">
                  <w:pPr>
                    <w:adjustRightInd w:val="0"/>
                    <w:jc w:val="center"/>
                    <w:rPr>
                      <w:color w:val="auto"/>
                    </w:rPr>
                  </w:pPr>
                  <w:r>
                    <w:rPr>
                      <w:color w:val="auto"/>
                    </w:rPr>
                    <w:t>&gt;2</w:t>
                  </w:r>
                </w:p>
              </w:tc>
              <w:tc>
                <w:tcPr>
                  <w:tcW w:w="2480" w:type="dxa"/>
                  <w:gridSpan w:val="3"/>
                  <w:tcBorders>
                    <w:top w:val="single" w:color="auto" w:sz="2" w:space="0"/>
                    <w:left w:val="single" w:color="auto" w:sz="2" w:space="0"/>
                    <w:bottom w:val="single" w:color="auto" w:sz="2" w:space="0"/>
                    <w:right w:val="single" w:color="auto" w:sz="2" w:space="0"/>
                  </w:tcBorders>
                  <w:shd w:val="clear" w:color="auto" w:fill="7F7F7F"/>
                  <w:vAlign w:val="center"/>
                </w:tcPr>
                <w:p w14:paraId="281BF5C8">
                  <w:pPr>
                    <w:adjustRightInd w:val="0"/>
                    <w:jc w:val="center"/>
                    <w:rPr>
                      <w:color w:val="auto"/>
                    </w:rPr>
                  </w:pPr>
                  <w:r>
                    <w:rPr>
                      <w:color w:val="auto"/>
                    </w:rPr>
                    <w:t>1.85</w:t>
                  </w:r>
                </w:p>
              </w:tc>
              <w:tc>
                <w:tcPr>
                  <w:tcW w:w="2480"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7F10EE46">
                  <w:pPr>
                    <w:adjustRightInd w:val="0"/>
                    <w:jc w:val="center"/>
                    <w:rPr>
                      <w:color w:val="auto"/>
                    </w:rPr>
                  </w:pPr>
                  <w:r>
                    <w:rPr>
                      <w:color w:val="auto"/>
                    </w:rPr>
                    <w:t>1.77</w:t>
                  </w:r>
                </w:p>
              </w:tc>
              <w:tc>
                <w:tcPr>
                  <w:tcW w:w="2480" w:type="dxa"/>
                  <w:gridSpan w:val="3"/>
                  <w:tcBorders>
                    <w:top w:val="single" w:color="auto" w:sz="2" w:space="0"/>
                    <w:left w:val="single" w:color="auto" w:sz="2" w:space="0"/>
                    <w:bottom w:val="single" w:color="auto" w:sz="2" w:space="0"/>
                    <w:right w:val="single" w:color="auto" w:sz="2" w:space="0"/>
                  </w:tcBorders>
                  <w:vAlign w:val="center"/>
                </w:tcPr>
                <w:p w14:paraId="52E55FAA">
                  <w:pPr>
                    <w:adjustRightInd w:val="0"/>
                    <w:jc w:val="center"/>
                    <w:rPr>
                      <w:color w:val="auto"/>
                    </w:rPr>
                  </w:pPr>
                  <w:r>
                    <w:rPr>
                      <w:color w:val="auto"/>
                    </w:rPr>
                    <w:t>1.77</w:t>
                  </w:r>
                </w:p>
              </w:tc>
            </w:tr>
            <w:tr w14:paraId="7ECE7F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2FD6149D">
                  <w:pPr>
                    <w:adjustRightInd w:val="0"/>
                    <w:jc w:val="center"/>
                    <w:rPr>
                      <w:color w:val="auto"/>
                    </w:rPr>
                  </w:pPr>
                  <w:r>
                    <w:rPr>
                      <w:color w:val="auto"/>
                    </w:rPr>
                    <w:t>D</w:t>
                  </w:r>
                </w:p>
              </w:tc>
              <w:tc>
                <w:tcPr>
                  <w:tcW w:w="1196" w:type="dxa"/>
                  <w:tcBorders>
                    <w:top w:val="single" w:color="auto" w:sz="2" w:space="0"/>
                    <w:left w:val="single" w:color="auto" w:sz="2" w:space="0"/>
                    <w:bottom w:val="single" w:color="auto" w:sz="2" w:space="0"/>
                    <w:right w:val="single" w:color="auto" w:sz="2" w:space="0"/>
                  </w:tcBorders>
                  <w:shd w:val="clear" w:color="auto" w:fill="FFFFFF"/>
                  <w:vAlign w:val="center"/>
                </w:tcPr>
                <w:p w14:paraId="0155D39B">
                  <w:pPr>
                    <w:adjustRightInd w:val="0"/>
                    <w:jc w:val="center"/>
                    <w:rPr>
                      <w:color w:val="auto"/>
                    </w:rPr>
                  </w:pPr>
                  <w:r>
                    <w:rPr>
                      <w:color w:val="auto"/>
                    </w:rPr>
                    <w:t>&lt;2</w:t>
                  </w:r>
                </w:p>
              </w:tc>
              <w:tc>
                <w:tcPr>
                  <w:tcW w:w="2480"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75B8FD4C">
                  <w:pPr>
                    <w:adjustRightInd w:val="0"/>
                    <w:jc w:val="center"/>
                    <w:rPr>
                      <w:color w:val="auto"/>
                    </w:rPr>
                  </w:pPr>
                  <w:r>
                    <w:rPr>
                      <w:color w:val="auto"/>
                    </w:rPr>
                    <w:t>0.78</w:t>
                  </w:r>
                </w:p>
              </w:tc>
              <w:tc>
                <w:tcPr>
                  <w:tcW w:w="2480"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6ADD8FCB">
                  <w:pPr>
                    <w:adjustRightInd w:val="0"/>
                    <w:jc w:val="center"/>
                    <w:rPr>
                      <w:color w:val="auto"/>
                    </w:rPr>
                  </w:pPr>
                  <w:r>
                    <w:rPr>
                      <w:color w:val="auto"/>
                    </w:rPr>
                    <w:t>0.78</w:t>
                  </w:r>
                </w:p>
              </w:tc>
              <w:tc>
                <w:tcPr>
                  <w:tcW w:w="2480" w:type="dxa"/>
                  <w:gridSpan w:val="3"/>
                  <w:tcBorders>
                    <w:top w:val="single" w:color="auto" w:sz="2" w:space="0"/>
                    <w:left w:val="single" w:color="auto" w:sz="2" w:space="0"/>
                    <w:bottom w:val="single" w:color="auto" w:sz="2" w:space="0"/>
                    <w:right w:val="single" w:color="auto" w:sz="2" w:space="0"/>
                  </w:tcBorders>
                  <w:vAlign w:val="center"/>
                </w:tcPr>
                <w:p w14:paraId="5B351BB0">
                  <w:pPr>
                    <w:adjustRightInd w:val="0"/>
                    <w:jc w:val="center"/>
                    <w:rPr>
                      <w:color w:val="auto"/>
                    </w:rPr>
                  </w:pPr>
                  <w:r>
                    <w:rPr>
                      <w:color w:val="auto"/>
                    </w:rPr>
                    <w:t>0.57</w:t>
                  </w:r>
                </w:p>
              </w:tc>
            </w:tr>
            <w:tr w14:paraId="1336B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jc w:val="center"/>
              </w:trPr>
              <w:tc>
                <w:tcPr>
                  <w:tcW w:w="76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07266ECD">
                  <w:pPr>
                    <w:widowControl/>
                    <w:jc w:val="left"/>
                    <w:rPr>
                      <w:color w:val="auto"/>
                    </w:rPr>
                  </w:pPr>
                </w:p>
              </w:tc>
              <w:tc>
                <w:tcPr>
                  <w:tcW w:w="1196" w:type="dxa"/>
                  <w:tcBorders>
                    <w:top w:val="single" w:color="auto" w:sz="2" w:space="0"/>
                    <w:left w:val="single" w:color="auto" w:sz="2" w:space="0"/>
                    <w:bottom w:val="single" w:color="auto" w:sz="2" w:space="0"/>
                    <w:right w:val="single" w:color="auto" w:sz="2" w:space="0"/>
                  </w:tcBorders>
                  <w:shd w:val="clear" w:color="auto" w:fill="FFFFFF"/>
                  <w:vAlign w:val="center"/>
                </w:tcPr>
                <w:p w14:paraId="6D204BFD">
                  <w:pPr>
                    <w:adjustRightInd w:val="0"/>
                    <w:jc w:val="center"/>
                    <w:rPr>
                      <w:color w:val="auto"/>
                    </w:rPr>
                  </w:pPr>
                  <w:r>
                    <w:rPr>
                      <w:color w:val="auto"/>
                    </w:rPr>
                    <w:t>&gt;2</w:t>
                  </w:r>
                </w:p>
              </w:tc>
              <w:tc>
                <w:tcPr>
                  <w:tcW w:w="2480" w:type="dxa"/>
                  <w:gridSpan w:val="3"/>
                  <w:tcBorders>
                    <w:top w:val="single" w:color="auto" w:sz="2" w:space="0"/>
                    <w:left w:val="single" w:color="auto" w:sz="2" w:space="0"/>
                    <w:bottom w:val="single" w:color="auto" w:sz="2" w:space="0"/>
                    <w:right w:val="single" w:color="auto" w:sz="2" w:space="0"/>
                  </w:tcBorders>
                  <w:shd w:val="clear" w:color="auto" w:fill="7F7F7F"/>
                  <w:vAlign w:val="center"/>
                </w:tcPr>
                <w:p w14:paraId="4A88BB4F">
                  <w:pPr>
                    <w:adjustRightInd w:val="0"/>
                    <w:jc w:val="center"/>
                    <w:rPr>
                      <w:color w:val="auto"/>
                    </w:rPr>
                  </w:pPr>
                  <w:r>
                    <w:rPr>
                      <w:color w:val="auto"/>
                    </w:rPr>
                    <w:t>0.84</w:t>
                  </w:r>
                </w:p>
              </w:tc>
              <w:tc>
                <w:tcPr>
                  <w:tcW w:w="2480" w:type="dxa"/>
                  <w:gridSpan w:val="3"/>
                  <w:tcBorders>
                    <w:top w:val="single" w:color="auto" w:sz="2" w:space="0"/>
                    <w:left w:val="single" w:color="auto" w:sz="2" w:space="0"/>
                    <w:bottom w:val="single" w:color="auto" w:sz="2" w:space="0"/>
                    <w:right w:val="single" w:color="auto" w:sz="2" w:space="0"/>
                  </w:tcBorders>
                  <w:shd w:val="clear" w:color="auto" w:fill="FFFFFF"/>
                  <w:vAlign w:val="center"/>
                </w:tcPr>
                <w:p w14:paraId="03F23B1F">
                  <w:pPr>
                    <w:adjustRightInd w:val="0"/>
                    <w:jc w:val="center"/>
                    <w:rPr>
                      <w:color w:val="auto"/>
                    </w:rPr>
                  </w:pPr>
                  <w:r>
                    <w:rPr>
                      <w:color w:val="auto"/>
                    </w:rPr>
                    <w:t>0.84</w:t>
                  </w:r>
                </w:p>
              </w:tc>
              <w:tc>
                <w:tcPr>
                  <w:tcW w:w="2480" w:type="dxa"/>
                  <w:gridSpan w:val="3"/>
                  <w:tcBorders>
                    <w:top w:val="single" w:color="auto" w:sz="2" w:space="0"/>
                    <w:left w:val="single" w:color="auto" w:sz="2" w:space="0"/>
                    <w:bottom w:val="single" w:color="auto" w:sz="2" w:space="0"/>
                    <w:right w:val="single" w:color="auto" w:sz="2" w:space="0"/>
                  </w:tcBorders>
                  <w:vAlign w:val="center"/>
                </w:tcPr>
                <w:p w14:paraId="3B93D06A">
                  <w:pPr>
                    <w:adjustRightInd w:val="0"/>
                    <w:jc w:val="center"/>
                    <w:rPr>
                      <w:color w:val="auto"/>
                    </w:rPr>
                  </w:pPr>
                  <w:r>
                    <w:rPr>
                      <w:color w:val="auto"/>
                    </w:rPr>
                    <w:t>0.76</w:t>
                  </w:r>
                </w:p>
              </w:tc>
            </w:tr>
          </w:tbl>
          <w:p w14:paraId="0D1FB51A">
            <w:pPr>
              <w:pStyle w:val="3"/>
              <w:spacing w:line="360" w:lineRule="auto"/>
              <w:ind w:firstLine="480" w:firstLineChars="200"/>
              <w:outlineLvl w:val="2"/>
              <w:rPr>
                <w:color w:val="auto"/>
                <w:sz w:val="24"/>
              </w:rPr>
            </w:pPr>
            <w:r>
              <w:rPr>
                <w:rFonts w:hint="default" w:ascii="Times New Roman" w:hAnsi="Times New Roman" w:eastAsia="Times New Roman"/>
                <w:color w:val="auto"/>
                <w:sz w:val="24"/>
                <w:szCs w:val="24"/>
                <w:lang w:val="zh-CN"/>
              </w:rPr>
              <w:t>根据《大气有害物质无组织排放卫生防护距离推导技术导则》（GB/T39499-2020），</w:t>
            </w:r>
            <w:r>
              <w:rPr>
                <w:color w:val="auto"/>
                <w:sz w:val="24"/>
              </w:rPr>
              <w:t>“卫生防护距离在100米以内时,级差为50米；超过100米但小于或等于1000米时,级差为100米；超过1000米以上</w:t>
            </w:r>
            <w:r>
              <w:rPr>
                <w:rFonts w:hint="eastAsia"/>
                <w:color w:val="auto"/>
                <w:sz w:val="24"/>
              </w:rPr>
              <w:t>，</w:t>
            </w:r>
            <w:r>
              <w:rPr>
                <w:color w:val="auto"/>
                <w:sz w:val="24"/>
              </w:rPr>
              <w:t>级差为200米。无组织排放多种有害气体的工业企业</w:t>
            </w:r>
            <w:r>
              <w:rPr>
                <w:rFonts w:hint="eastAsia"/>
                <w:color w:val="auto"/>
                <w:sz w:val="24"/>
              </w:rPr>
              <w:t>，</w:t>
            </w:r>
            <w:r>
              <w:rPr>
                <w:color w:val="auto"/>
                <w:sz w:val="24"/>
              </w:rPr>
              <w:t>按Qc/Cm的最大值计算其所需卫生防护距离,但当按两种或两种以上的有害气体的Qc/Cm值计算的卫生防护距离在同一级别时,该类工业企业的卫生防护距离级别应提高一级”。</w:t>
            </w:r>
          </w:p>
          <w:p w14:paraId="46936114">
            <w:pPr>
              <w:jc w:val="center"/>
              <w:rPr>
                <w:b/>
                <w:bCs/>
                <w:color w:val="auto"/>
              </w:rPr>
            </w:pPr>
            <w:r>
              <w:rPr>
                <w:rFonts w:hint="eastAsia"/>
                <w:b/>
                <w:bCs/>
                <w:color w:val="auto"/>
                <w:sz w:val="24"/>
                <w:szCs w:val="24"/>
              </w:rPr>
              <w:t>表4-14  卫生防护距离计算结果表</w:t>
            </w:r>
          </w:p>
          <w:tbl>
            <w:tblPr>
              <w:tblStyle w:val="22"/>
              <w:tblW w:w="907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4"/>
              <w:gridCol w:w="1521"/>
              <w:gridCol w:w="1654"/>
              <w:gridCol w:w="2069"/>
              <w:gridCol w:w="1405"/>
              <w:gridCol w:w="1338"/>
            </w:tblGrid>
            <w:tr w14:paraId="109C3B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 w:hRule="atLeast"/>
                <w:jc w:val="center"/>
              </w:trPr>
              <w:tc>
                <w:tcPr>
                  <w:tcW w:w="1084" w:type="dxa"/>
                  <w:tcBorders>
                    <w:top w:val="single" w:color="auto" w:sz="2" w:space="0"/>
                    <w:left w:val="single" w:color="auto" w:sz="2" w:space="0"/>
                    <w:bottom w:val="single" w:color="auto" w:sz="2" w:space="0"/>
                    <w:right w:val="single" w:color="auto" w:sz="2" w:space="0"/>
                  </w:tcBorders>
                  <w:vAlign w:val="center"/>
                </w:tcPr>
                <w:p w14:paraId="462A8CF5">
                  <w:pPr>
                    <w:adjustRightInd w:val="0"/>
                    <w:jc w:val="center"/>
                    <w:rPr>
                      <w:b/>
                      <w:color w:val="auto"/>
                    </w:rPr>
                  </w:pPr>
                  <w:r>
                    <w:rPr>
                      <w:b/>
                      <w:color w:val="auto"/>
                    </w:rPr>
                    <w:t>面源</w:t>
                  </w:r>
                </w:p>
                <w:p w14:paraId="593C046B">
                  <w:pPr>
                    <w:adjustRightInd w:val="0"/>
                    <w:jc w:val="center"/>
                    <w:rPr>
                      <w:b/>
                      <w:color w:val="auto"/>
                    </w:rPr>
                  </w:pPr>
                  <w:r>
                    <w:rPr>
                      <w:b/>
                      <w:color w:val="auto"/>
                    </w:rPr>
                    <w:t>名称</w:t>
                  </w:r>
                </w:p>
              </w:tc>
              <w:tc>
                <w:tcPr>
                  <w:tcW w:w="1521" w:type="dxa"/>
                  <w:tcBorders>
                    <w:top w:val="single" w:color="auto" w:sz="2" w:space="0"/>
                    <w:left w:val="single" w:color="auto" w:sz="2" w:space="0"/>
                    <w:bottom w:val="single" w:color="auto" w:sz="2" w:space="0"/>
                    <w:right w:val="single" w:color="auto" w:sz="2" w:space="0"/>
                  </w:tcBorders>
                  <w:vAlign w:val="center"/>
                </w:tcPr>
                <w:p w14:paraId="57152A3B">
                  <w:pPr>
                    <w:adjustRightInd w:val="0"/>
                    <w:jc w:val="center"/>
                    <w:rPr>
                      <w:b/>
                      <w:color w:val="auto"/>
                    </w:rPr>
                  </w:pPr>
                  <w:r>
                    <w:rPr>
                      <w:b/>
                      <w:color w:val="auto"/>
                    </w:rPr>
                    <w:t>污染物</w:t>
                  </w:r>
                </w:p>
              </w:tc>
              <w:tc>
                <w:tcPr>
                  <w:tcW w:w="1654" w:type="dxa"/>
                  <w:tcBorders>
                    <w:top w:val="single" w:color="auto" w:sz="2" w:space="0"/>
                    <w:left w:val="single" w:color="auto" w:sz="2" w:space="0"/>
                    <w:bottom w:val="single" w:color="auto" w:sz="2" w:space="0"/>
                    <w:right w:val="single" w:color="auto" w:sz="2" w:space="0"/>
                  </w:tcBorders>
                  <w:vAlign w:val="center"/>
                </w:tcPr>
                <w:p w14:paraId="6EADE434">
                  <w:pPr>
                    <w:adjustRightInd w:val="0"/>
                    <w:jc w:val="center"/>
                    <w:rPr>
                      <w:b/>
                      <w:color w:val="auto"/>
                    </w:rPr>
                  </w:pPr>
                  <w:r>
                    <w:rPr>
                      <w:b/>
                      <w:color w:val="auto"/>
                    </w:rPr>
                    <w:t>面源面积（m</w:t>
                  </w:r>
                  <w:r>
                    <w:rPr>
                      <w:b/>
                      <w:color w:val="auto"/>
                      <w:vertAlign w:val="superscript"/>
                    </w:rPr>
                    <w:t>2</w:t>
                  </w:r>
                  <w:r>
                    <w:rPr>
                      <w:b/>
                      <w:color w:val="auto"/>
                    </w:rPr>
                    <w:t>）</w:t>
                  </w:r>
                </w:p>
              </w:tc>
              <w:tc>
                <w:tcPr>
                  <w:tcW w:w="2069" w:type="dxa"/>
                  <w:tcBorders>
                    <w:top w:val="single" w:color="auto" w:sz="2" w:space="0"/>
                    <w:left w:val="single" w:color="auto" w:sz="2" w:space="0"/>
                    <w:bottom w:val="single" w:color="auto" w:sz="2" w:space="0"/>
                    <w:right w:val="single" w:color="auto" w:sz="2" w:space="0"/>
                  </w:tcBorders>
                  <w:vAlign w:val="center"/>
                </w:tcPr>
                <w:p w14:paraId="15D06BA7">
                  <w:pPr>
                    <w:adjustRightInd w:val="0"/>
                    <w:jc w:val="center"/>
                    <w:rPr>
                      <w:b/>
                      <w:color w:val="auto"/>
                    </w:rPr>
                  </w:pPr>
                  <w:r>
                    <w:rPr>
                      <w:b/>
                      <w:color w:val="auto"/>
                    </w:rPr>
                    <w:t>排放速率（kg/h）</w:t>
                  </w:r>
                </w:p>
              </w:tc>
              <w:tc>
                <w:tcPr>
                  <w:tcW w:w="1405" w:type="dxa"/>
                  <w:tcBorders>
                    <w:top w:val="single" w:color="auto" w:sz="2" w:space="0"/>
                    <w:left w:val="single" w:color="auto" w:sz="2" w:space="0"/>
                    <w:bottom w:val="single" w:color="auto" w:sz="2" w:space="0"/>
                    <w:right w:val="single" w:color="auto" w:sz="2" w:space="0"/>
                  </w:tcBorders>
                  <w:vAlign w:val="center"/>
                </w:tcPr>
                <w:p w14:paraId="4D0737ED">
                  <w:pPr>
                    <w:adjustRightInd w:val="0"/>
                    <w:jc w:val="center"/>
                    <w:rPr>
                      <w:b/>
                      <w:color w:val="auto"/>
                    </w:rPr>
                  </w:pPr>
                  <w:r>
                    <w:rPr>
                      <w:b/>
                      <w:color w:val="auto"/>
                    </w:rPr>
                    <w:t>卫生防护距离计算(m)</w:t>
                  </w:r>
                </w:p>
              </w:tc>
              <w:tc>
                <w:tcPr>
                  <w:tcW w:w="1338" w:type="dxa"/>
                  <w:tcBorders>
                    <w:top w:val="single" w:color="auto" w:sz="2" w:space="0"/>
                    <w:left w:val="single" w:color="auto" w:sz="2" w:space="0"/>
                    <w:bottom w:val="single" w:color="auto" w:sz="2" w:space="0"/>
                    <w:right w:val="single" w:color="auto" w:sz="2" w:space="0"/>
                  </w:tcBorders>
                  <w:vAlign w:val="center"/>
                </w:tcPr>
                <w:p w14:paraId="0E4B22F2">
                  <w:pPr>
                    <w:adjustRightInd w:val="0"/>
                    <w:jc w:val="center"/>
                    <w:rPr>
                      <w:b/>
                      <w:color w:val="auto"/>
                    </w:rPr>
                  </w:pPr>
                  <w:r>
                    <w:rPr>
                      <w:b/>
                      <w:color w:val="auto"/>
                    </w:rPr>
                    <w:t>卫生防护距离(m)</w:t>
                  </w:r>
                </w:p>
              </w:tc>
            </w:tr>
            <w:tr w14:paraId="558367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084" w:type="dxa"/>
                  <w:vMerge w:val="restart"/>
                  <w:tcBorders>
                    <w:left w:val="single" w:color="auto" w:sz="2" w:space="0"/>
                    <w:right w:val="single" w:color="auto" w:sz="2" w:space="0"/>
                  </w:tcBorders>
                  <w:vAlign w:val="center"/>
                </w:tcPr>
                <w:p w14:paraId="299DC5FF">
                  <w:pPr>
                    <w:adjustRightInd w:val="0"/>
                    <w:jc w:val="center"/>
                    <w:rPr>
                      <w:color w:val="auto"/>
                    </w:rPr>
                  </w:pPr>
                  <w:r>
                    <w:rPr>
                      <w:rFonts w:hint="eastAsia"/>
                      <w:color w:val="auto"/>
                    </w:rPr>
                    <w:t>生产车间</w:t>
                  </w:r>
                </w:p>
              </w:tc>
              <w:tc>
                <w:tcPr>
                  <w:tcW w:w="1521" w:type="dxa"/>
                  <w:tcBorders>
                    <w:top w:val="single" w:color="auto" w:sz="2" w:space="0"/>
                    <w:left w:val="single" w:color="auto" w:sz="2" w:space="0"/>
                    <w:bottom w:val="single" w:color="auto" w:sz="2" w:space="0"/>
                    <w:right w:val="single" w:color="auto" w:sz="2" w:space="0"/>
                  </w:tcBorders>
                  <w:vAlign w:val="center"/>
                </w:tcPr>
                <w:p w14:paraId="3E8A114C">
                  <w:pPr>
                    <w:jc w:val="center"/>
                    <w:rPr>
                      <w:bCs/>
                      <w:color w:val="auto"/>
                    </w:rPr>
                  </w:pPr>
                  <w:r>
                    <w:rPr>
                      <w:rFonts w:hint="eastAsia"/>
                      <w:color w:val="auto"/>
                    </w:rPr>
                    <w:t>非甲烷总烃</w:t>
                  </w:r>
                </w:p>
              </w:tc>
              <w:tc>
                <w:tcPr>
                  <w:tcW w:w="1654" w:type="dxa"/>
                  <w:tcBorders>
                    <w:top w:val="single" w:color="auto" w:sz="2" w:space="0"/>
                    <w:left w:val="single" w:color="auto" w:sz="2" w:space="0"/>
                    <w:bottom w:val="single" w:color="auto" w:sz="2" w:space="0"/>
                    <w:right w:val="single" w:color="auto" w:sz="2" w:space="0"/>
                  </w:tcBorders>
                  <w:vAlign w:val="center"/>
                </w:tcPr>
                <w:p w14:paraId="0FE443D7">
                  <w:pPr>
                    <w:spacing w:line="0" w:lineRule="atLeast"/>
                    <w:jc w:val="center"/>
                    <w:rPr>
                      <w:color w:val="auto"/>
                    </w:rPr>
                  </w:pPr>
                  <w:r>
                    <w:rPr>
                      <w:rFonts w:hint="eastAsia"/>
                      <w:color w:val="auto"/>
                    </w:rPr>
                    <w:t>3989.96</w:t>
                  </w:r>
                </w:p>
              </w:tc>
              <w:tc>
                <w:tcPr>
                  <w:tcW w:w="2069" w:type="dxa"/>
                  <w:tcBorders>
                    <w:top w:val="single" w:color="auto" w:sz="2" w:space="0"/>
                    <w:left w:val="single" w:color="auto" w:sz="2" w:space="0"/>
                    <w:bottom w:val="single" w:color="auto" w:sz="2" w:space="0"/>
                    <w:right w:val="single" w:color="auto" w:sz="2" w:space="0"/>
                  </w:tcBorders>
                  <w:vAlign w:val="center"/>
                </w:tcPr>
                <w:p w14:paraId="0238BBE8">
                  <w:pPr>
                    <w:jc w:val="center"/>
                    <w:rPr>
                      <w:color w:val="auto"/>
                    </w:rPr>
                  </w:pPr>
                  <w:r>
                    <w:rPr>
                      <w:rFonts w:hint="eastAsia"/>
                      <w:color w:val="auto"/>
                    </w:rPr>
                    <w:t>0.36</w:t>
                  </w:r>
                </w:p>
              </w:tc>
              <w:tc>
                <w:tcPr>
                  <w:tcW w:w="1405" w:type="dxa"/>
                  <w:tcBorders>
                    <w:top w:val="single" w:color="auto" w:sz="2" w:space="0"/>
                    <w:left w:val="single" w:color="auto" w:sz="2" w:space="0"/>
                    <w:bottom w:val="single" w:color="auto" w:sz="2" w:space="0"/>
                    <w:right w:val="single" w:color="auto" w:sz="2" w:space="0"/>
                  </w:tcBorders>
                  <w:vAlign w:val="center"/>
                </w:tcPr>
                <w:p w14:paraId="17AEE6C8">
                  <w:pPr>
                    <w:jc w:val="center"/>
                    <w:rPr>
                      <w:color w:val="auto"/>
                    </w:rPr>
                  </w:pPr>
                  <w:r>
                    <w:rPr>
                      <w:rFonts w:hint="eastAsia"/>
                      <w:color w:val="auto"/>
                    </w:rPr>
                    <w:t>0.497</w:t>
                  </w:r>
                </w:p>
              </w:tc>
              <w:tc>
                <w:tcPr>
                  <w:tcW w:w="1338" w:type="dxa"/>
                  <w:tcBorders>
                    <w:top w:val="single" w:color="auto" w:sz="2" w:space="0"/>
                    <w:left w:val="single" w:color="auto" w:sz="2" w:space="0"/>
                    <w:bottom w:val="single" w:color="auto" w:sz="2" w:space="0"/>
                    <w:right w:val="single" w:color="auto" w:sz="2" w:space="0"/>
                  </w:tcBorders>
                  <w:vAlign w:val="center"/>
                </w:tcPr>
                <w:p w14:paraId="76CABECF">
                  <w:pPr>
                    <w:adjustRightInd w:val="0"/>
                    <w:jc w:val="center"/>
                    <w:rPr>
                      <w:color w:val="auto"/>
                    </w:rPr>
                  </w:pPr>
                  <w:r>
                    <w:rPr>
                      <w:rFonts w:hint="eastAsia"/>
                      <w:color w:val="auto"/>
                    </w:rPr>
                    <w:t>50</w:t>
                  </w:r>
                </w:p>
              </w:tc>
            </w:tr>
            <w:tr w14:paraId="3E2E63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084" w:type="dxa"/>
                  <w:vMerge w:val="continue"/>
                  <w:tcBorders>
                    <w:left w:val="single" w:color="auto" w:sz="2" w:space="0"/>
                    <w:right w:val="single" w:color="auto" w:sz="2" w:space="0"/>
                  </w:tcBorders>
                  <w:vAlign w:val="center"/>
                </w:tcPr>
                <w:p w14:paraId="587BA8FD">
                  <w:pPr>
                    <w:adjustRightInd w:val="0"/>
                    <w:jc w:val="center"/>
                    <w:rPr>
                      <w:rFonts w:hint="eastAsia"/>
                      <w:color w:val="auto"/>
                    </w:rPr>
                  </w:pPr>
                </w:p>
              </w:tc>
              <w:tc>
                <w:tcPr>
                  <w:tcW w:w="1521" w:type="dxa"/>
                  <w:tcBorders>
                    <w:top w:val="single" w:color="auto" w:sz="2" w:space="0"/>
                    <w:left w:val="single" w:color="auto" w:sz="2" w:space="0"/>
                    <w:bottom w:val="single" w:color="auto" w:sz="2" w:space="0"/>
                    <w:right w:val="single" w:color="auto" w:sz="2" w:space="0"/>
                  </w:tcBorders>
                  <w:vAlign w:val="center"/>
                </w:tcPr>
                <w:p w14:paraId="3414EB0F">
                  <w:pPr>
                    <w:jc w:val="center"/>
                    <w:rPr>
                      <w:rFonts w:hint="eastAsia"/>
                      <w:color w:val="auto"/>
                    </w:rPr>
                  </w:pPr>
                  <w:r>
                    <w:rPr>
                      <w:rFonts w:hint="eastAsia"/>
                      <w:color w:val="auto"/>
                      <w:lang w:val="en-US" w:eastAsia="zh-CN"/>
                    </w:rPr>
                    <w:t>颗粒物</w:t>
                  </w:r>
                </w:p>
              </w:tc>
              <w:tc>
                <w:tcPr>
                  <w:tcW w:w="1654" w:type="dxa"/>
                  <w:tcBorders>
                    <w:top w:val="single" w:color="auto" w:sz="2" w:space="0"/>
                    <w:left w:val="single" w:color="auto" w:sz="2" w:space="0"/>
                    <w:right w:val="single" w:color="auto" w:sz="2" w:space="0"/>
                  </w:tcBorders>
                  <w:vAlign w:val="center"/>
                </w:tcPr>
                <w:p w14:paraId="6E1EC0CF">
                  <w:pPr>
                    <w:spacing w:line="0" w:lineRule="atLeast"/>
                    <w:jc w:val="center"/>
                    <w:rPr>
                      <w:rFonts w:hint="eastAsia"/>
                      <w:color w:val="auto"/>
                    </w:rPr>
                  </w:pPr>
                  <w:r>
                    <w:rPr>
                      <w:rFonts w:hint="eastAsia"/>
                      <w:color w:val="auto"/>
                    </w:rPr>
                    <w:t>3989.96</w:t>
                  </w:r>
                </w:p>
              </w:tc>
              <w:tc>
                <w:tcPr>
                  <w:tcW w:w="2069" w:type="dxa"/>
                  <w:tcBorders>
                    <w:top w:val="single" w:color="auto" w:sz="2" w:space="0"/>
                    <w:left w:val="single" w:color="auto" w:sz="2" w:space="0"/>
                    <w:bottom w:val="single" w:color="auto" w:sz="2" w:space="0"/>
                    <w:right w:val="single" w:color="auto" w:sz="2" w:space="0"/>
                  </w:tcBorders>
                  <w:vAlign w:val="center"/>
                </w:tcPr>
                <w:p w14:paraId="4C26884C">
                  <w:pPr>
                    <w:jc w:val="center"/>
                    <w:rPr>
                      <w:rFonts w:hint="default" w:eastAsia="宋体"/>
                      <w:color w:val="auto"/>
                      <w:lang w:val="en-US" w:eastAsia="zh-CN"/>
                    </w:rPr>
                  </w:pPr>
                  <w:r>
                    <w:rPr>
                      <w:rFonts w:hint="eastAsia"/>
                      <w:color w:val="auto"/>
                      <w:lang w:val="en-US" w:eastAsia="zh-CN"/>
                    </w:rPr>
                    <w:t>0.001</w:t>
                  </w:r>
                </w:p>
              </w:tc>
              <w:tc>
                <w:tcPr>
                  <w:tcW w:w="1405" w:type="dxa"/>
                  <w:tcBorders>
                    <w:top w:val="single" w:color="auto" w:sz="2" w:space="0"/>
                    <w:left w:val="single" w:color="auto" w:sz="2" w:space="0"/>
                    <w:bottom w:val="single" w:color="auto" w:sz="2" w:space="0"/>
                    <w:right w:val="single" w:color="auto" w:sz="2" w:space="0"/>
                  </w:tcBorders>
                  <w:vAlign w:val="center"/>
                </w:tcPr>
                <w:p w14:paraId="13944E3D">
                  <w:pPr>
                    <w:jc w:val="center"/>
                    <w:rPr>
                      <w:rFonts w:hint="default" w:eastAsia="宋体"/>
                      <w:color w:val="auto"/>
                      <w:lang w:val="en-US" w:eastAsia="zh-CN"/>
                    </w:rPr>
                  </w:pPr>
                  <w:r>
                    <w:rPr>
                      <w:rFonts w:hint="eastAsia"/>
                      <w:color w:val="auto"/>
                      <w:lang w:val="en-US" w:eastAsia="zh-CN"/>
                    </w:rPr>
                    <w:t>0.084</w:t>
                  </w:r>
                </w:p>
              </w:tc>
              <w:tc>
                <w:tcPr>
                  <w:tcW w:w="1338" w:type="dxa"/>
                  <w:tcBorders>
                    <w:top w:val="single" w:color="auto" w:sz="2" w:space="0"/>
                    <w:left w:val="single" w:color="auto" w:sz="2" w:space="0"/>
                    <w:bottom w:val="single" w:color="auto" w:sz="2" w:space="0"/>
                    <w:right w:val="single" w:color="auto" w:sz="2" w:space="0"/>
                  </w:tcBorders>
                  <w:vAlign w:val="center"/>
                </w:tcPr>
                <w:p w14:paraId="4D203685">
                  <w:pPr>
                    <w:adjustRightInd w:val="0"/>
                    <w:jc w:val="center"/>
                    <w:rPr>
                      <w:rFonts w:hint="eastAsia"/>
                      <w:color w:val="auto"/>
                    </w:rPr>
                  </w:pPr>
                  <w:r>
                    <w:rPr>
                      <w:rFonts w:hint="eastAsia"/>
                      <w:color w:val="auto"/>
                    </w:rPr>
                    <w:t>50</w:t>
                  </w:r>
                </w:p>
              </w:tc>
            </w:tr>
          </w:tbl>
          <w:p w14:paraId="09612D98">
            <w:pPr>
              <w:spacing w:line="360" w:lineRule="auto"/>
              <w:ind w:firstLine="480" w:firstLineChars="200"/>
              <w:rPr>
                <w:color w:val="auto"/>
                <w:sz w:val="24"/>
              </w:rPr>
            </w:pPr>
            <w:r>
              <w:rPr>
                <w:rFonts w:hint="eastAsia"/>
                <w:color w:val="auto"/>
                <w:sz w:val="24"/>
              </w:rPr>
              <w:t>由上表可知，本项目建成后的卫生防护距离设置为整个</w:t>
            </w:r>
            <w:r>
              <w:rPr>
                <w:rFonts w:hint="eastAsia"/>
                <w:color w:val="auto"/>
                <w:sz w:val="24"/>
                <w:lang w:val="en-US" w:eastAsia="zh-CN"/>
              </w:rPr>
              <w:t>车间</w:t>
            </w:r>
            <w:r>
              <w:rPr>
                <w:rFonts w:hint="eastAsia"/>
                <w:color w:val="auto"/>
                <w:sz w:val="24"/>
              </w:rPr>
              <w:t>外扩100米形成的包络区域。该范围内主要为工业企业，无居民、学校等环境敏感保护目标</w:t>
            </w:r>
            <w:r>
              <w:rPr>
                <w:rFonts w:hint="eastAsia"/>
                <w:color w:val="auto"/>
                <w:sz w:val="24"/>
                <w:lang w:val="en-US" w:eastAsia="zh-CN"/>
              </w:rPr>
              <w:t>，</w:t>
            </w:r>
            <w:r>
              <w:rPr>
                <w:rFonts w:hint="eastAsia"/>
                <w:color w:val="auto"/>
                <w:sz w:val="24"/>
              </w:rPr>
              <w:t>可满足卫生防护距离设置要求，将来在该卫生防护距离范围也不得新建居民、学校、医院等属于环境保护目标的项目。</w:t>
            </w:r>
          </w:p>
          <w:p w14:paraId="53129E34">
            <w:pPr>
              <w:pStyle w:val="3"/>
              <w:ind w:firstLine="480" w:firstLineChars="200"/>
              <w:outlineLvl w:val="2"/>
              <w:rPr>
                <w:color w:val="auto"/>
                <w:sz w:val="24"/>
              </w:rPr>
            </w:pPr>
            <w:r>
              <w:rPr>
                <w:rFonts w:hint="eastAsia"/>
                <w:color w:val="auto"/>
                <w:sz w:val="24"/>
              </w:rPr>
              <w:t>评价结果表明，本项目建成投产后，排放的大气污染物对周围地区空气质量影响在可接受范围内。</w:t>
            </w:r>
          </w:p>
          <w:p w14:paraId="01632265">
            <w:pPr>
              <w:spacing w:line="360" w:lineRule="auto"/>
              <w:ind w:firstLine="480" w:firstLineChars="200"/>
              <w:rPr>
                <w:color w:val="auto"/>
                <w:sz w:val="24"/>
                <w:szCs w:val="24"/>
              </w:rPr>
            </w:pPr>
            <w:r>
              <w:rPr>
                <w:rFonts w:hint="eastAsia"/>
                <w:color w:val="auto"/>
                <w:sz w:val="24"/>
                <w:szCs w:val="24"/>
              </w:rPr>
              <w:t>1.6环境影响分析</w:t>
            </w:r>
          </w:p>
          <w:p w14:paraId="4D6426AD">
            <w:pPr>
              <w:pStyle w:val="3"/>
              <w:spacing w:line="360" w:lineRule="auto"/>
              <w:ind w:firstLine="480" w:firstLineChars="200"/>
              <w:outlineLvl w:val="2"/>
              <w:rPr>
                <w:color w:val="auto"/>
                <w:sz w:val="24"/>
                <w:szCs w:val="24"/>
              </w:rPr>
            </w:pPr>
            <w:r>
              <w:rPr>
                <w:bCs/>
                <w:color w:val="auto"/>
                <w:sz w:val="24"/>
                <w:szCs w:val="24"/>
              </w:rPr>
              <w:t>企业卫生</w:t>
            </w:r>
            <w:r>
              <w:rPr>
                <w:rFonts w:hint="eastAsia"/>
                <w:bCs/>
                <w:color w:val="auto"/>
                <w:sz w:val="24"/>
                <w:szCs w:val="24"/>
              </w:rPr>
              <w:t>防护</w:t>
            </w:r>
            <w:r>
              <w:rPr>
                <w:bCs/>
                <w:color w:val="auto"/>
                <w:sz w:val="24"/>
                <w:szCs w:val="24"/>
              </w:rPr>
              <w:t>距离内不涉及居民点等大气环境敏感目标</w:t>
            </w:r>
            <w:r>
              <w:rPr>
                <w:rFonts w:hint="eastAsia"/>
                <w:bCs/>
                <w:color w:val="auto"/>
                <w:sz w:val="24"/>
                <w:szCs w:val="24"/>
              </w:rPr>
              <w:t>，</w:t>
            </w:r>
            <w:r>
              <w:rPr>
                <w:bCs/>
                <w:color w:val="auto"/>
                <w:sz w:val="24"/>
                <w:szCs w:val="24"/>
              </w:rPr>
              <w:t>本项目涉及废气污染物为</w:t>
            </w:r>
            <w:r>
              <w:rPr>
                <w:rFonts w:hint="eastAsia"/>
                <w:bCs/>
                <w:color w:val="auto"/>
                <w:sz w:val="24"/>
                <w:szCs w:val="24"/>
              </w:rPr>
              <w:t>非甲烷总烃、颗粒物</w:t>
            </w:r>
            <w:r>
              <w:rPr>
                <w:bCs/>
                <w:color w:val="auto"/>
                <w:sz w:val="24"/>
                <w:szCs w:val="24"/>
              </w:rPr>
              <w:t>，</w:t>
            </w:r>
            <w:r>
              <w:rPr>
                <w:rFonts w:hint="eastAsia"/>
                <w:bCs/>
                <w:color w:val="auto"/>
                <w:sz w:val="24"/>
                <w:szCs w:val="24"/>
              </w:rPr>
              <w:t>废气经收集后</w:t>
            </w:r>
            <w:r>
              <w:rPr>
                <w:bCs/>
                <w:color w:val="auto"/>
                <w:sz w:val="24"/>
                <w:szCs w:val="24"/>
              </w:rPr>
              <w:t>通过</w:t>
            </w:r>
            <w:r>
              <w:rPr>
                <w:rFonts w:hint="eastAsia"/>
                <w:bCs/>
                <w:color w:val="auto"/>
                <w:sz w:val="24"/>
                <w:szCs w:val="24"/>
              </w:rPr>
              <w:t>废气处理装置</w:t>
            </w:r>
            <w:r>
              <w:rPr>
                <w:bCs/>
                <w:color w:val="auto"/>
                <w:sz w:val="24"/>
                <w:szCs w:val="24"/>
              </w:rPr>
              <w:t>有效处理后排放，最终污染物排放量较小，</w:t>
            </w:r>
            <w:r>
              <w:rPr>
                <w:rFonts w:hint="eastAsia"/>
                <w:color w:val="auto"/>
                <w:sz w:val="24"/>
                <w:szCs w:val="24"/>
              </w:rPr>
              <w:t>对周边大气环境影响可接受。</w:t>
            </w:r>
          </w:p>
          <w:p w14:paraId="32173E86">
            <w:pPr>
              <w:spacing w:line="360" w:lineRule="auto"/>
              <w:ind w:firstLine="480" w:firstLineChars="200"/>
              <w:jc w:val="left"/>
              <w:rPr>
                <w:color w:val="auto"/>
              </w:rPr>
            </w:pPr>
            <w:r>
              <w:rPr>
                <w:rFonts w:hint="eastAsia"/>
                <w:color w:val="auto"/>
                <w:sz w:val="24"/>
                <w:szCs w:val="24"/>
              </w:rPr>
              <w:t>1.7环境管理要求</w:t>
            </w:r>
          </w:p>
          <w:p w14:paraId="6CCE013D">
            <w:pPr>
              <w:pStyle w:val="3"/>
              <w:spacing w:line="360" w:lineRule="auto"/>
              <w:ind w:firstLine="480" w:firstLineChars="200"/>
              <w:outlineLvl w:val="2"/>
              <w:rPr>
                <w:bCs/>
                <w:color w:val="auto"/>
                <w:sz w:val="24"/>
                <w:szCs w:val="24"/>
              </w:rPr>
            </w:pPr>
            <w:r>
              <w:rPr>
                <w:rFonts w:hint="eastAsia"/>
                <w:bCs/>
                <w:color w:val="auto"/>
                <w:sz w:val="24"/>
                <w:szCs w:val="24"/>
              </w:rPr>
              <w:t>建设项目应设环保专员进行环保日常管理，运营期要确保环保设施的运行，并定期检查其效果，了解建设项目的污染因子的变化情况，建立健全环保档案，为保护和改善区域环境质量作好组织和监督工作，环境管理具体内容如下：</w:t>
            </w:r>
          </w:p>
          <w:p w14:paraId="21198C2B">
            <w:pPr>
              <w:pStyle w:val="3"/>
              <w:spacing w:line="360" w:lineRule="auto"/>
              <w:ind w:firstLine="480" w:firstLineChars="200"/>
              <w:outlineLvl w:val="2"/>
              <w:rPr>
                <w:bCs/>
                <w:color w:val="auto"/>
                <w:sz w:val="24"/>
                <w:szCs w:val="24"/>
              </w:rPr>
            </w:pPr>
            <w:r>
              <w:rPr>
                <w:rFonts w:hint="eastAsia"/>
                <w:bCs/>
                <w:color w:val="auto"/>
                <w:sz w:val="24"/>
                <w:szCs w:val="24"/>
              </w:rPr>
              <w:t>①严格执行国家环境保护有关政策和法规，及时协助有关环保部门进行建设工程项目环境保护设施的验收工作。</w:t>
            </w:r>
          </w:p>
          <w:p w14:paraId="1F172C24">
            <w:pPr>
              <w:pStyle w:val="3"/>
              <w:spacing w:line="360" w:lineRule="auto"/>
              <w:ind w:firstLine="480" w:firstLineChars="200"/>
              <w:outlineLvl w:val="2"/>
              <w:rPr>
                <w:bCs/>
                <w:color w:val="auto"/>
                <w:sz w:val="24"/>
                <w:szCs w:val="24"/>
              </w:rPr>
            </w:pPr>
            <w:r>
              <w:rPr>
                <w:rFonts w:hint="eastAsia"/>
                <w:bCs/>
                <w:color w:val="auto"/>
                <w:sz w:val="24"/>
                <w:szCs w:val="24"/>
              </w:rPr>
              <w:t>②建立健全环境管理制度，设置专职或兼职环保人员，负责日常环保安全，定期检查环保管理和环境监测工作，委托资质单位定期对废气污染物浓度进行检测，确保污染物稳定达标排放。</w:t>
            </w:r>
          </w:p>
          <w:p w14:paraId="61F9954A">
            <w:pPr>
              <w:pStyle w:val="3"/>
              <w:spacing w:line="360" w:lineRule="auto"/>
              <w:ind w:firstLine="480" w:firstLineChars="200"/>
              <w:outlineLvl w:val="2"/>
              <w:rPr>
                <w:bCs/>
                <w:color w:val="auto"/>
                <w:sz w:val="24"/>
                <w:szCs w:val="24"/>
              </w:rPr>
            </w:pPr>
            <w:r>
              <w:rPr>
                <w:rFonts w:hint="eastAsia"/>
                <w:bCs/>
                <w:color w:val="auto"/>
                <w:sz w:val="24"/>
                <w:szCs w:val="24"/>
              </w:rPr>
              <w:t>③含</w:t>
            </w:r>
            <w:r>
              <w:rPr>
                <w:bCs/>
                <w:color w:val="auto"/>
                <w:sz w:val="24"/>
                <w:szCs w:val="24"/>
              </w:rPr>
              <w:t>VOCs</w:t>
            </w:r>
            <w:r>
              <w:rPr>
                <w:rFonts w:hint="eastAsia"/>
                <w:bCs/>
                <w:color w:val="auto"/>
                <w:sz w:val="24"/>
                <w:szCs w:val="24"/>
              </w:rPr>
              <w:t>物料应储存于密闭的容器中，盛装</w:t>
            </w:r>
            <w:r>
              <w:rPr>
                <w:bCs/>
                <w:color w:val="auto"/>
                <w:sz w:val="24"/>
                <w:szCs w:val="24"/>
              </w:rPr>
              <w:t>VOCs</w:t>
            </w:r>
            <w:r>
              <w:rPr>
                <w:rFonts w:hint="eastAsia"/>
                <w:bCs/>
                <w:color w:val="auto"/>
                <w:sz w:val="24"/>
                <w:szCs w:val="24"/>
              </w:rPr>
              <w:t>物料的容器应存放于密闭空间，</w:t>
            </w:r>
            <w:r>
              <w:rPr>
                <w:bCs/>
                <w:color w:val="auto"/>
                <w:sz w:val="24"/>
                <w:szCs w:val="24"/>
              </w:rPr>
              <w:t>VOCs</w:t>
            </w:r>
            <w:r>
              <w:rPr>
                <w:rFonts w:hint="eastAsia"/>
                <w:bCs/>
                <w:color w:val="auto"/>
                <w:sz w:val="24"/>
                <w:szCs w:val="24"/>
              </w:rPr>
              <w:t>物料的转移和输送过程应保持密闭。</w:t>
            </w:r>
          </w:p>
          <w:p w14:paraId="24F80C68">
            <w:pPr>
              <w:pStyle w:val="3"/>
              <w:spacing w:line="360" w:lineRule="auto"/>
              <w:ind w:firstLine="480" w:firstLineChars="200"/>
              <w:outlineLvl w:val="2"/>
              <w:rPr>
                <w:color w:val="auto"/>
                <w:sz w:val="24"/>
                <w:szCs w:val="24"/>
              </w:rPr>
            </w:pPr>
            <w:r>
              <w:rPr>
                <w:rFonts w:hint="eastAsia"/>
                <w:bCs/>
                <w:color w:val="auto"/>
                <w:sz w:val="24"/>
                <w:szCs w:val="24"/>
              </w:rPr>
              <w:t>④吸附装置应记录吸附剂种类、更换</w:t>
            </w:r>
            <w:r>
              <w:rPr>
                <w:bCs/>
                <w:color w:val="auto"/>
                <w:sz w:val="24"/>
                <w:szCs w:val="24"/>
              </w:rPr>
              <w:t>/</w:t>
            </w:r>
            <w:r>
              <w:rPr>
                <w:rFonts w:hint="eastAsia"/>
                <w:bCs/>
                <w:color w:val="auto"/>
                <w:sz w:val="24"/>
                <w:szCs w:val="24"/>
              </w:rPr>
              <w:t>再生周期与更换量、操作温度等，记录项目废气处理的活性炭更换和处置记录；其他污染控制设备，应记录维护事项，并每日记录主要操作参数。</w:t>
            </w:r>
          </w:p>
          <w:p w14:paraId="57CE76B9">
            <w:pPr>
              <w:spacing w:line="360" w:lineRule="auto"/>
              <w:ind w:firstLine="480" w:firstLineChars="200"/>
              <w:jc w:val="left"/>
              <w:rPr>
                <w:rFonts w:hint="eastAsia"/>
                <w:color w:val="auto"/>
                <w:sz w:val="24"/>
                <w:szCs w:val="24"/>
              </w:rPr>
            </w:pPr>
          </w:p>
          <w:p w14:paraId="2A71E7CD">
            <w:pPr>
              <w:spacing w:line="360" w:lineRule="auto"/>
              <w:ind w:firstLine="480" w:firstLineChars="200"/>
              <w:jc w:val="left"/>
              <w:rPr>
                <w:color w:val="auto"/>
                <w:sz w:val="24"/>
                <w:szCs w:val="24"/>
              </w:rPr>
            </w:pPr>
            <w:r>
              <w:rPr>
                <w:rFonts w:hint="eastAsia"/>
                <w:color w:val="auto"/>
                <w:sz w:val="24"/>
                <w:szCs w:val="24"/>
              </w:rPr>
              <w:t>二、废水环境影响和保护措施</w:t>
            </w:r>
          </w:p>
          <w:p w14:paraId="6AD98EA2">
            <w:pPr>
              <w:spacing w:line="360" w:lineRule="auto"/>
              <w:ind w:firstLine="480" w:firstLineChars="200"/>
              <w:rPr>
                <w:color w:val="auto"/>
                <w:sz w:val="24"/>
              </w:rPr>
            </w:pPr>
            <w:r>
              <w:rPr>
                <w:rFonts w:hint="eastAsia"/>
                <w:color w:val="auto"/>
                <w:sz w:val="24"/>
              </w:rPr>
              <w:t>2.1废水产生情况</w:t>
            </w:r>
          </w:p>
          <w:p w14:paraId="0F0DB117">
            <w:pPr>
              <w:spacing w:line="360" w:lineRule="auto"/>
              <w:ind w:firstLine="480" w:firstLineChars="200"/>
              <w:rPr>
                <w:color w:val="auto"/>
                <w:sz w:val="24"/>
              </w:rPr>
            </w:pPr>
            <w:r>
              <w:rPr>
                <w:rFonts w:hint="eastAsia"/>
                <w:color w:val="auto"/>
                <w:sz w:val="24"/>
              </w:rPr>
              <w:t>2.1.1源强核算方法</w:t>
            </w:r>
          </w:p>
          <w:p w14:paraId="1155CD86">
            <w:pPr>
              <w:jc w:val="center"/>
              <w:rPr>
                <w:b/>
                <w:bCs/>
                <w:color w:val="auto"/>
                <w:sz w:val="24"/>
                <w:szCs w:val="24"/>
              </w:rPr>
            </w:pPr>
            <w:r>
              <w:rPr>
                <w:rFonts w:hint="eastAsia"/>
                <w:b/>
                <w:bCs/>
                <w:color w:val="auto"/>
                <w:sz w:val="24"/>
                <w:szCs w:val="24"/>
              </w:rPr>
              <w:t>表4-15  源强核算方法</w:t>
            </w:r>
          </w:p>
          <w:tbl>
            <w:tblPr>
              <w:tblStyle w:val="23"/>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756"/>
              <w:gridCol w:w="1247"/>
              <w:gridCol w:w="1811"/>
              <w:gridCol w:w="2217"/>
            </w:tblGrid>
            <w:tr w14:paraId="2922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tcPr>
                <w:p w14:paraId="17013A79">
                  <w:pPr>
                    <w:jc w:val="center"/>
                    <w:rPr>
                      <w:b/>
                      <w:bCs/>
                      <w:color w:val="auto"/>
                    </w:rPr>
                  </w:pPr>
                  <w:r>
                    <w:rPr>
                      <w:rFonts w:hint="eastAsia"/>
                      <w:b/>
                      <w:bCs/>
                      <w:color w:val="auto"/>
                    </w:rPr>
                    <w:t>类别</w:t>
                  </w:r>
                </w:p>
              </w:tc>
              <w:tc>
                <w:tcPr>
                  <w:tcW w:w="1756" w:type="dxa"/>
                </w:tcPr>
                <w:p w14:paraId="6A5DCA12">
                  <w:pPr>
                    <w:jc w:val="center"/>
                    <w:rPr>
                      <w:b/>
                      <w:bCs/>
                      <w:color w:val="auto"/>
                    </w:rPr>
                  </w:pPr>
                  <w:r>
                    <w:rPr>
                      <w:rFonts w:hint="eastAsia"/>
                      <w:b/>
                      <w:bCs/>
                      <w:color w:val="auto"/>
                    </w:rPr>
                    <w:t>产污工序</w:t>
                  </w:r>
                </w:p>
              </w:tc>
              <w:tc>
                <w:tcPr>
                  <w:tcW w:w="1247" w:type="dxa"/>
                </w:tcPr>
                <w:p w14:paraId="26D89B1E">
                  <w:pPr>
                    <w:jc w:val="center"/>
                    <w:rPr>
                      <w:b/>
                      <w:bCs/>
                      <w:color w:val="auto"/>
                    </w:rPr>
                  </w:pPr>
                  <w:r>
                    <w:rPr>
                      <w:rFonts w:hint="eastAsia"/>
                      <w:b/>
                      <w:bCs/>
                      <w:color w:val="auto"/>
                    </w:rPr>
                    <w:t>污染物</w:t>
                  </w:r>
                </w:p>
              </w:tc>
              <w:tc>
                <w:tcPr>
                  <w:tcW w:w="1811" w:type="dxa"/>
                </w:tcPr>
                <w:p w14:paraId="26AA1BCB">
                  <w:pPr>
                    <w:jc w:val="center"/>
                    <w:rPr>
                      <w:b/>
                      <w:bCs/>
                      <w:color w:val="auto"/>
                    </w:rPr>
                  </w:pPr>
                  <w:r>
                    <w:rPr>
                      <w:rFonts w:hint="eastAsia"/>
                      <w:b/>
                      <w:bCs/>
                      <w:color w:val="auto"/>
                    </w:rPr>
                    <w:t>污染因子</w:t>
                  </w:r>
                </w:p>
              </w:tc>
              <w:tc>
                <w:tcPr>
                  <w:tcW w:w="2217" w:type="dxa"/>
                </w:tcPr>
                <w:p w14:paraId="17BE90F7">
                  <w:pPr>
                    <w:jc w:val="center"/>
                    <w:rPr>
                      <w:b/>
                      <w:bCs/>
                      <w:color w:val="auto"/>
                    </w:rPr>
                  </w:pPr>
                  <w:r>
                    <w:rPr>
                      <w:rFonts w:hint="eastAsia"/>
                      <w:b/>
                      <w:bCs/>
                      <w:color w:val="auto"/>
                    </w:rPr>
                    <w:t>源强核算方法</w:t>
                  </w:r>
                </w:p>
              </w:tc>
            </w:tr>
            <w:tr w14:paraId="7F8A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restart"/>
                  <w:vAlign w:val="center"/>
                </w:tcPr>
                <w:p w14:paraId="1F5CB275">
                  <w:pPr>
                    <w:jc w:val="center"/>
                    <w:rPr>
                      <w:color w:val="auto"/>
                    </w:rPr>
                  </w:pPr>
                  <w:r>
                    <w:rPr>
                      <w:rFonts w:hint="eastAsia"/>
                      <w:color w:val="auto"/>
                    </w:rPr>
                    <w:t>废水污染物</w:t>
                  </w:r>
                </w:p>
              </w:tc>
              <w:tc>
                <w:tcPr>
                  <w:tcW w:w="1756" w:type="dxa"/>
                  <w:vAlign w:val="center"/>
                </w:tcPr>
                <w:p w14:paraId="289C9132">
                  <w:pPr>
                    <w:jc w:val="center"/>
                    <w:rPr>
                      <w:color w:val="auto"/>
                    </w:rPr>
                  </w:pPr>
                  <w:r>
                    <w:rPr>
                      <w:rFonts w:hint="eastAsia"/>
                      <w:color w:val="auto"/>
                    </w:rPr>
                    <w:t>生活污水</w:t>
                  </w:r>
                </w:p>
              </w:tc>
              <w:tc>
                <w:tcPr>
                  <w:tcW w:w="1247" w:type="dxa"/>
                  <w:vAlign w:val="center"/>
                </w:tcPr>
                <w:p w14:paraId="5370AB30">
                  <w:pPr>
                    <w:jc w:val="center"/>
                    <w:rPr>
                      <w:color w:val="auto"/>
                    </w:rPr>
                  </w:pPr>
                  <w:r>
                    <w:rPr>
                      <w:rFonts w:hint="eastAsia"/>
                      <w:color w:val="auto"/>
                    </w:rPr>
                    <w:t>生活废水</w:t>
                  </w:r>
                </w:p>
              </w:tc>
              <w:tc>
                <w:tcPr>
                  <w:tcW w:w="1811" w:type="dxa"/>
                  <w:vAlign w:val="center"/>
                </w:tcPr>
                <w:p w14:paraId="3FA354D9">
                  <w:pPr>
                    <w:jc w:val="center"/>
                    <w:rPr>
                      <w:color w:val="auto"/>
                    </w:rPr>
                  </w:pPr>
                  <w:r>
                    <w:rPr>
                      <w:rFonts w:hint="eastAsia"/>
                      <w:color w:val="auto"/>
                    </w:rPr>
                    <w:t>pH、COD、SS、氨氮、总磷、总氮</w:t>
                  </w:r>
                </w:p>
              </w:tc>
              <w:tc>
                <w:tcPr>
                  <w:tcW w:w="2217" w:type="dxa"/>
                  <w:vAlign w:val="center"/>
                </w:tcPr>
                <w:p w14:paraId="3D1C6BBF">
                  <w:pPr>
                    <w:jc w:val="center"/>
                    <w:rPr>
                      <w:color w:val="auto"/>
                    </w:rPr>
                  </w:pPr>
                  <w:r>
                    <w:rPr>
                      <w:rFonts w:hint="eastAsia"/>
                      <w:color w:val="auto"/>
                    </w:rPr>
                    <w:t>产排污系数法</w:t>
                  </w:r>
                </w:p>
                <w:p w14:paraId="45668F27">
                  <w:pPr>
                    <w:jc w:val="center"/>
                    <w:rPr>
                      <w:color w:val="auto"/>
                    </w:rPr>
                  </w:pPr>
                  <w:r>
                    <w:rPr>
                      <w:rFonts w:hint="eastAsia"/>
                      <w:color w:val="auto"/>
                    </w:rPr>
                    <w:t>污染物浓度：类比法</w:t>
                  </w:r>
                </w:p>
              </w:tc>
            </w:tr>
            <w:tr w14:paraId="1BE4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continue"/>
                </w:tcPr>
                <w:p w14:paraId="38BDF346">
                  <w:pPr>
                    <w:jc w:val="center"/>
                    <w:rPr>
                      <w:color w:val="auto"/>
                    </w:rPr>
                  </w:pPr>
                </w:p>
              </w:tc>
              <w:tc>
                <w:tcPr>
                  <w:tcW w:w="1756" w:type="dxa"/>
                  <w:vAlign w:val="center"/>
                </w:tcPr>
                <w:p w14:paraId="56106F75">
                  <w:pPr>
                    <w:jc w:val="center"/>
                    <w:rPr>
                      <w:color w:val="auto"/>
                    </w:rPr>
                  </w:pPr>
                  <w:r>
                    <w:rPr>
                      <w:rFonts w:hint="eastAsia"/>
                      <w:color w:val="auto"/>
                    </w:rPr>
                    <w:t>食堂废水</w:t>
                  </w:r>
                </w:p>
              </w:tc>
              <w:tc>
                <w:tcPr>
                  <w:tcW w:w="1247" w:type="dxa"/>
                  <w:vAlign w:val="center"/>
                </w:tcPr>
                <w:p w14:paraId="3176B490">
                  <w:pPr>
                    <w:jc w:val="center"/>
                    <w:rPr>
                      <w:color w:val="auto"/>
                    </w:rPr>
                  </w:pPr>
                  <w:r>
                    <w:rPr>
                      <w:rFonts w:hint="eastAsia"/>
                      <w:color w:val="auto"/>
                    </w:rPr>
                    <w:t>食堂废水</w:t>
                  </w:r>
                </w:p>
              </w:tc>
              <w:tc>
                <w:tcPr>
                  <w:tcW w:w="1811" w:type="dxa"/>
                  <w:vAlign w:val="center"/>
                </w:tcPr>
                <w:p w14:paraId="2ACBA2FA">
                  <w:pPr>
                    <w:jc w:val="center"/>
                    <w:rPr>
                      <w:color w:val="auto"/>
                    </w:rPr>
                  </w:pPr>
                  <w:r>
                    <w:rPr>
                      <w:rFonts w:hint="eastAsia"/>
                      <w:color w:val="auto"/>
                    </w:rPr>
                    <w:t>pH、COD、SS、氨氮、总磷、总氮、动植物油</w:t>
                  </w:r>
                </w:p>
              </w:tc>
              <w:tc>
                <w:tcPr>
                  <w:tcW w:w="2217" w:type="dxa"/>
                  <w:vAlign w:val="center"/>
                </w:tcPr>
                <w:p w14:paraId="364D1B84">
                  <w:pPr>
                    <w:jc w:val="center"/>
                    <w:rPr>
                      <w:color w:val="auto"/>
                    </w:rPr>
                  </w:pPr>
                  <w:r>
                    <w:rPr>
                      <w:rFonts w:hint="eastAsia"/>
                      <w:color w:val="auto"/>
                    </w:rPr>
                    <w:t>水量：产排污系数法</w:t>
                  </w:r>
                </w:p>
                <w:p w14:paraId="278A4562">
                  <w:pPr>
                    <w:jc w:val="center"/>
                    <w:rPr>
                      <w:color w:val="auto"/>
                    </w:rPr>
                  </w:pPr>
                  <w:r>
                    <w:rPr>
                      <w:rFonts w:hint="eastAsia"/>
                      <w:color w:val="auto"/>
                    </w:rPr>
                    <w:t>污染物浓度：类比法</w:t>
                  </w:r>
                </w:p>
              </w:tc>
            </w:tr>
            <w:tr w14:paraId="5FF5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6" w:type="dxa"/>
                  <w:vMerge w:val="continue"/>
                </w:tcPr>
                <w:p w14:paraId="3442EC00">
                  <w:pPr>
                    <w:jc w:val="center"/>
                    <w:rPr>
                      <w:color w:val="auto"/>
                    </w:rPr>
                  </w:pPr>
                </w:p>
              </w:tc>
              <w:tc>
                <w:tcPr>
                  <w:tcW w:w="1756" w:type="dxa"/>
                  <w:vAlign w:val="center"/>
                </w:tcPr>
                <w:p w14:paraId="6950F852">
                  <w:pPr>
                    <w:jc w:val="center"/>
                    <w:rPr>
                      <w:color w:val="auto"/>
                    </w:rPr>
                  </w:pPr>
                  <w:r>
                    <w:rPr>
                      <w:rFonts w:hint="eastAsia"/>
                      <w:color w:val="auto"/>
                    </w:rPr>
                    <w:t>绿化</w:t>
                  </w:r>
                </w:p>
              </w:tc>
              <w:tc>
                <w:tcPr>
                  <w:tcW w:w="1247" w:type="dxa"/>
                  <w:vAlign w:val="center"/>
                </w:tcPr>
                <w:p w14:paraId="5F96ED8B">
                  <w:pPr>
                    <w:jc w:val="center"/>
                    <w:rPr>
                      <w:color w:val="auto"/>
                    </w:rPr>
                  </w:pPr>
                  <w:r>
                    <w:rPr>
                      <w:rFonts w:hint="eastAsia"/>
                      <w:color w:val="auto"/>
                    </w:rPr>
                    <w:t>绿化用水</w:t>
                  </w:r>
                </w:p>
              </w:tc>
              <w:tc>
                <w:tcPr>
                  <w:tcW w:w="1811" w:type="dxa"/>
                  <w:vAlign w:val="center"/>
                </w:tcPr>
                <w:p w14:paraId="25852674">
                  <w:pPr>
                    <w:jc w:val="center"/>
                    <w:rPr>
                      <w:color w:val="auto"/>
                    </w:rPr>
                  </w:pPr>
                  <w:r>
                    <w:rPr>
                      <w:rFonts w:hint="eastAsia"/>
                      <w:color w:val="auto"/>
                    </w:rPr>
                    <w:t>/</w:t>
                  </w:r>
                </w:p>
              </w:tc>
              <w:tc>
                <w:tcPr>
                  <w:tcW w:w="2217" w:type="dxa"/>
                  <w:vAlign w:val="center"/>
                </w:tcPr>
                <w:p w14:paraId="147BB58B">
                  <w:pPr>
                    <w:jc w:val="center"/>
                    <w:rPr>
                      <w:color w:val="auto"/>
                    </w:rPr>
                  </w:pPr>
                  <w:r>
                    <w:rPr>
                      <w:rFonts w:hint="eastAsia"/>
                      <w:color w:val="auto"/>
                    </w:rPr>
                    <w:t>水量：产排污系数法</w:t>
                  </w:r>
                </w:p>
              </w:tc>
            </w:tr>
          </w:tbl>
          <w:p w14:paraId="72341991">
            <w:pPr>
              <w:spacing w:line="360" w:lineRule="auto"/>
              <w:ind w:firstLine="480" w:firstLineChars="200"/>
              <w:rPr>
                <w:color w:val="auto"/>
                <w:sz w:val="24"/>
              </w:rPr>
            </w:pPr>
            <w:r>
              <w:rPr>
                <w:rFonts w:hint="eastAsia"/>
                <w:color w:val="auto"/>
                <w:sz w:val="24"/>
              </w:rPr>
              <w:t>2.1.2源强核算过程</w:t>
            </w:r>
          </w:p>
          <w:p w14:paraId="5124FC4E">
            <w:pPr>
              <w:numPr>
                <w:ilvl w:val="0"/>
                <w:numId w:val="8"/>
              </w:numPr>
              <w:spacing w:line="360" w:lineRule="auto"/>
              <w:ind w:left="-60" w:leftChars="0" w:firstLine="480" w:firstLineChars="0"/>
              <w:rPr>
                <w:color w:val="auto"/>
                <w:sz w:val="24"/>
              </w:rPr>
            </w:pPr>
            <w:r>
              <w:rPr>
                <w:rFonts w:hint="eastAsia"/>
                <w:color w:val="auto"/>
                <w:sz w:val="24"/>
              </w:rPr>
              <w:t>生活污水</w:t>
            </w:r>
          </w:p>
          <w:p w14:paraId="31AABAA5">
            <w:pPr>
              <w:spacing w:line="360" w:lineRule="auto"/>
              <w:ind w:firstLine="480" w:firstLineChars="200"/>
              <w:rPr>
                <w:color w:val="auto"/>
                <w:sz w:val="24"/>
              </w:rPr>
            </w:pPr>
            <w:r>
              <w:rPr>
                <w:rFonts w:hint="eastAsia"/>
                <w:color w:val="auto"/>
                <w:sz w:val="24"/>
                <w:szCs w:val="24"/>
              </w:rPr>
              <w:t>本项目员工260人，</w:t>
            </w:r>
            <w:r>
              <w:rPr>
                <w:bCs/>
                <w:color w:val="auto"/>
                <w:sz w:val="24"/>
                <w:szCs w:val="24"/>
              </w:rPr>
              <w:t>根据《</w:t>
            </w:r>
            <w:r>
              <w:rPr>
                <w:rFonts w:hint="eastAsia"/>
                <w:bCs/>
                <w:color w:val="auto"/>
                <w:sz w:val="24"/>
                <w:szCs w:val="24"/>
              </w:rPr>
              <w:t>江苏省林牧渔业、工业、服务业和生活用水定额（2019年修订）</w:t>
            </w:r>
            <w:r>
              <w:rPr>
                <w:bCs/>
                <w:color w:val="auto"/>
                <w:sz w:val="24"/>
                <w:szCs w:val="24"/>
              </w:rPr>
              <w:t>》，</w:t>
            </w:r>
            <w:r>
              <w:rPr>
                <w:rFonts w:hint="eastAsia"/>
                <w:bCs/>
                <w:color w:val="auto"/>
                <w:sz w:val="24"/>
                <w:szCs w:val="24"/>
              </w:rPr>
              <w:t>人均生活用水量以100L/d计，年工作300天，据此全年生活用水量约7800m</w:t>
            </w:r>
            <w:r>
              <w:rPr>
                <w:rFonts w:hint="eastAsia"/>
                <w:bCs/>
                <w:color w:val="auto"/>
                <w:sz w:val="24"/>
                <w:szCs w:val="24"/>
                <w:vertAlign w:val="superscript"/>
              </w:rPr>
              <w:t>3</w:t>
            </w:r>
            <w:r>
              <w:rPr>
                <w:rFonts w:hint="eastAsia"/>
                <w:bCs/>
                <w:color w:val="auto"/>
                <w:sz w:val="24"/>
                <w:szCs w:val="24"/>
              </w:rPr>
              <w:t>，生活污水产生量以用水量的80%计，则生活污水产生量为6240m</w:t>
            </w:r>
            <w:r>
              <w:rPr>
                <w:rFonts w:hint="eastAsia"/>
                <w:bCs/>
                <w:color w:val="auto"/>
                <w:sz w:val="24"/>
                <w:szCs w:val="24"/>
                <w:vertAlign w:val="superscript"/>
              </w:rPr>
              <w:t>3</w:t>
            </w:r>
            <w:r>
              <w:rPr>
                <w:rFonts w:hint="eastAsia"/>
                <w:bCs/>
                <w:color w:val="auto"/>
                <w:sz w:val="24"/>
                <w:szCs w:val="24"/>
              </w:rPr>
              <w:t>/a。</w:t>
            </w:r>
            <w:r>
              <w:rPr>
                <w:rFonts w:hint="eastAsia"/>
                <w:color w:val="auto"/>
                <w:sz w:val="24"/>
                <w:szCs w:val="24"/>
              </w:rPr>
              <w:t>生活污水经污水管网进</w:t>
            </w:r>
            <w:r>
              <w:rPr>
                <w:rFonts w:hint="eastAsia"/>
                <w:color w:val="auto"/>
                <w:sz w:val="24"/>
                <w:lang w:eastAsia="zh-CN"/>
              </w:rPr>
              <w:t>常州市金坛区溪城污水处理有限公司直溪污水处理厂</w:t>
            </w:r>
            <w:r>
              <w:rPr>
                <w:rFonts w:hint="eastAsia"/>
                <w:color w:val="auto"/>
                <w:sz w:val="24"/>
                <w:szCs w:val="24"/>
              </w:rPr>
              <w:t>处理集中处理，尾水排入通济河。</w:t>
            </w:r>
          </w:p>
          <w:p w14:paraId="174FDFC9">
            <w:pPr>
              <w:numPr>
                <w:ilvl w:val="0"/>
                <w:numId w:val="8"/>
              </w:numPr>
              <w:spacing w:line="360" w:lineRule="auto"/>
              <w:ind w:left="-60" w:leftChars="0" w:firstLine="480" w:firstLineChars="0"/>
              <w:rPr>
                <w:color w:val="auto"/>
                <w:sz w:val="24"/>
              </w:rPr>
            </w:pPr>
            <w:r>
              <w:rPr>
                <w:rFonts w:hint="eastAsia"/>
                <w:color w:val="auto"/>
                <w:sz w:val="24"/>
              </w:rPr>
              <w:t>食堂废水</w:t>
            </w:r>
          </w:p>
          <w:p w14:paraId="6F740E8F">
            <w:pPr>
              <w:spacing w:line="360" w:lineRule="auto"/>
              <w:ind w:firstLine="480" w:firstLineChars="200"/>
              <w:rPr>
                <w:color w:val="auto"/>
                <w:sz w:val="24"/>
              </w:rPr>
            </w:pPr>
            <w:r>
              <w:rPr>
                <w:color w:val="auto"/>
                <w:sz w:val="24"/>
              </w:rPr>
              <w:t>全厂职工定员</w:t>
            </w:r>
            <w:r>
              <w:rPr>
                <w:rFonts w:hint="eastAsia"/>
                <w:color w:val="auto"/>
                <w:sz w:val="24"/>
              </w:rPr>
              <w:t>2</w:t>
            </w:r>
            <w:r>
              <w:rPr>
                <w:color w:val="auto"/>
                <w:sz w:val="24"/>
              </w:rPr>
              <w:t>60人，根据《建筑给水排水设计</w:t>
            </w:r>
            <w:r>
              <w:rPr>
                <w:rFonts w:hint="eastAsia"/>
                <w:color w:val="auto"/>
                <w:sz w:val="24"/>
                <w:lang w:val="en-US" w:eastAsia="zh-CN"/>
              </w:rPr>
              <w:t>标准</w:t>
            </w:r>
            <w:r>
              <w:rPr>
                <w:color w:val="auto"/>
                <w:sz w:val="24"/>
              </w:rPr>
              <w:t>》中有关用水指标计算，员工食堂用水以20L/次•人计算，年用餐300次，用水量</w:t>
            </w:r>
            <w:r>
              <w:rPr>
                <w:rFonts w:hint="eastAsia"/>
                <w:color w:val="auto"/>
                <w:sz w:val="24"/>
              </w:rPr>
              <w:t>15</w:t>
            </w:r>
            <w:r>
              <w:rPr>
                <w:color w:val="auto"/>
                <w:sz w:val="24"/>
              </w:rPr>
              <w:t>60</w:t>
            </w:r>
            <w:r>
              <w:rPr>
                <w:rFonts w:hint="eastAsia"/>
                <w:color w:val="auto"/>
                <w:sz w:val="24"/>
              </w:rPr>
              <w:t>t</w:t>
            </w:r>
            <w:r>
              <w:rPr>
                <w:color w:val="auto"/>
                <w:sz w:val="24"/>
              </w:rPr>
              <w:t>/a，产污系数取0.8，则食堂废水产生量为</w:t>
            </w:r>
            <w:r>
              <w:rPr>
                <w:rFonts w:hint="eastAsia"/>
                <w:color w:val="auto"/>
                <w:sz w:val="24"/>
              </w:rPr>
              <w:t>1248t</w:t>
            </w:r>
            <w:r>
              <w:rPr>
                <w:color w:val="auto"/>
                <w:sz w:val="24"/>
              </w:rPr>
              <w:t>/a。</w:t>
            </w:r>
          </w:p>
          <w:p w14:paraId="0C7275E1">
            <w:pPr>
              <w:numPr>
                <w:ilvl w:val="0"/>
                <w:numId w:val="8"/>
              </w:numPr>
              <w:spacing w:line="360" w:lineRule="auto"/>
              <w:ind w:left="-60" w:leftChars="0" w:firstLine="480" w:firstLineChars="0"/>
              <w:rPr>
                <w:color w:val="auto"/>
                <w:sz w:val="24"/>
              </w:rPr>
            </w:pPr>
            <w:r>
              <w:rPr>
                <w:rFonts w:hint="eastAsia"/>
                <w:color w:val="auto"/>
                <w:sz w:val="24"/>
              </w:rPr>
              <w:t>磨削配水</w:t>
            </w:r>
          </w:p>
          <w:p w14:paraId="33444B14">
            <w:pPr>
              <w:spacing w:line="360" w:lineRule="auto"/>
              <w:ind w:left="420" w:leftChars="200"/>
              <w:rPr>
                <w:color w:val="auto"/>
                <w:sz w:val="24"/>
              </w:rPr>
            </w:pPr>
            <w:r>
              <w:rPr>
                <w:rFonts w:hint="eastAsia"/>
                <w:color w:val="auto"/>
                <w:sz w:val="24"/>
              </w:rPr>
              <w:t>磨削液配水比为1：5，磨削液用量为6t/a，因此磨削用水量为30t/a。</w:t>
            </w:r>
          </w:p>
          <w:p w14:paraId="786C3CA8">
            <w:pPr>
              <w:numPr>
                <w:ilvl w:val="0"/>
                <w:numId w:val="8"/>
              </w:numPr>
              <w:spacing w:line="360" w:lineRule="auto"/>
              <w:ind w:left="-60" w:leftChars="0" w:firstLine="480" w:firstLineChars="0"/>
              <w:rPr>
                <w:color w:val="auto"/>
                <w:sz w:val="24"/>
              </w:rPr>
            </w:pPr>
            <w:r>
              <w:rPr>
                <w:rFonts w:hint="eastAsia"/>
                <w:color w:val="auto"/>
                <w:sz w:val="24"/>
              </w:rPr>
              <w:t>绿化用水</w:t>
            </w:r>
          </w:p>
          <w:p w14:paraId="298D3BD3">
            <w:pPr>
              <w:spacing w:line="360" w:lineRule="auto"/>
              <w:ind w:firstLine="480" w:firstLineChars="200"/>
              <w:rPr>
                <w:color w:val="auto"/>
                <w:sz w:val="24"/>
              </w:rPr>
            </w:pPr>
            <w:r>
              <w:rPr>
                <w:rFonts w:hint="eastAsia"/>
                <w:color w:val="auto"/>
                <w:sz w:val="24"/>
              </w:rPr>
              <w:t>建设项目绿化面积为1475m</w:t>
            </w:r>
            <w:r>
              <w:rPr>
                <w:rFonts w:hint="eastAsia"/>
                <w:color w:val="auto"/>
                <w:sz w:val="24"/>
                <w:vertAlign w:val="superscript"/>
              </w:rPr>
              <w:t>2</w:t>
            </w:r>
            <w:r>
              <w:rPr>
                <w:rFonts w:hint="eastAsia"/>
                <w:color w:val="auto"/>
                <w:sz w:val="24"/>
              </w:rPr>
              <w:t>,依据《建筑给水排水设计</w:t>
            </w:r>
            <w:r>
              <w:rPr>
                <w:rFonts w:hint="eastAsia"/>
                <w:color w:val="auto"/>
                <w:sz w:val="24"/>
                <w:lang w:val="en-US" w:eastAsia="zh-CN"/>
              </w:rPr>
              <w:t>标准</w:t>
            </w:r>
            <w:r>
              <w:rPr>
                <w:rFonts w:hint="eastAsia"/>
                <w:color w:val="auto"/>
                <w:sz w:val="24"/>
              </w:rPr>
              <w:t>》(GB5001</w:t>
            </w:r>
            <w:r>
              <w:rPr>
                <w:rFonts w:hint="eastAsia"/>
                <w:color w:val="auto"/>
                <w:sz w:val="24"/>
                <w:lang w:val="en-US" w:eastAsia="zh-CN"/>
              </w:rPr>
              <w:t>5-2019)</w:t>
            </w:r>
            <w:r>
              <w:rPr>
                <w:rFonts w:hint="eastAsia"/>
                <w:color w:val="auto"/>
                <w:sz w:val="24"/>
              </w:rPr>
              <w:t>绿化用水定额为2L/（m2·d），绿化天数为100d/a，则绿化用水量为295t/a。</w:t>
            </w:r>
          </w:p>
        </w:tc>
      </w:tr>
    </w:tbl>
    <w:p w14:paraId="54D619B1">
      <w:pPr>
        <w:pStyle w:val="3"/>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2"/>
        <w:tblW w:w="14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14399"/>
      </w:tblGrid>
      <w:tr w14:paraId="73AE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4" w:hRule="atLeast"/>
          <w:jc w:val="center"/>
        </w:trPr>
        <w:tc>
          <w:tcPr>
            <w:tcW w:w="364" w:type="dxa"/>
          </w:tcPr>
          <w:p w14:paraId="5279E3BD">
            <w:pPr>
              <w:pStyle w:val="2"/>
              <w:keepLines/>
              <w:pageBreakBefore/>
              <w:overflowPunct/>
              <w:snapToGrid/>
              <w:spacing w:before="0" w:after="0" w:line="360" w:lineRule="auto"/>
              <w:ind w:left="0" w:firstLine="0"/>
              <w:rPr>
                <w:rFonts w:eastAsia="宋体"/>
                <w:color w:val="auto"/>
                <w:sz w:val="28"/>
                <w:szCs w:val="44"/>
              </w:rPr>
            </w:pPr>
          </w:p>
        </w:tc>
        <w:tc>
          <w:tcPr>
            <w:tcW w:w="14218" w:type="dxa"/>
          </w:tcPr>
          <w:p w14:paraId="4828E5DC">
            <w:pPr>
              <w:spacing w:line="276" w:lineRule="auto"/>
              <w:ind w:firstLine="480" w:firstLineChars="200"/>
              <w:jc w:val="left"/>
              <w:rPr>
                <w:b/>
                <w:color w:val="auto"/>
                <w:sz w:val="24"/>
                <w:szCs w:val="22"/>
              </w:rPr>
            </w:pPr>
            <w:r>
              <w:rPr>
                <w:rFonts w:hint="eastAsia"/>
                <w:color w:val="auto"/>
                <w:sz w:val="24"/>
              </w:rPr>
              <w:t>2.1.3废水产生及排放情况汇总</w:t>
            </w:r>
          </w:p>
          <w:p w14:paraId="2AF98115">
            <w:pPr>
              <w:spacing w:line="276" w:lineRule="auto"/>
              <w:jc w:val="center"/>
              <w:rPr>
                <w:b/>
                <w:color w:val="auto"/>
                <w:sz w:val="24"/>
                <w:szCs w:val="22"/>
              </w:rPr>
            </w:pPr>
            <w:r>
              <w:rPr>
                <w:b/>
                <w:color w:val="auto"/>
                <w:sz w:val="24"/>
                <w:szCs w:val="22"/>
              </w:rPr>
              <w:t>表</w:t>
            </w:r>
            <w:r>
              <w:rPr>
                <w:rFonts w:hint="eastAsia"/>
                <w:b/>
                <w:color w:val="auto"/>
                <w:sz w:val="24"/>
                <w:szCs w:val="22"/>
              </w:rPr>
              <w:t>4-16  本项目</w:t>
            </w:r>
            <w:r>
              <w:rPr>
                <w:b/>
                <w:color w:val="auto"/>
                <w:sz w:val="24"/>
                <w:szCs w:val="22"/>
              </w:rPr>
              <w:t>水污染物产生及排放情况表</w:t>
            </w:r>
          </w:p>
          <w:tbl>
            <w:tblPr>
              <w:tblStyle w:val="22"/>
              <w:tblW w:w="13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22"/>
              <w:gridCol w:w="1140"/>
              <w:gridCol w:w="1076"/>
              <w:gridCol w:w="988"/>
              <w:gridCol w:w="585"/>
              <w:gridCol w:w="455"/>
              <w:gridCol w:w="1140"/>
              <w:gridCol w:w="1076"/>
              <w:gridCol w:w="988"/>
              <w:gridCol w:w="713"/>
              <w:gridCol w:w="713"/>
              <w:gridCol w:w="1102"/>
              <w:gridCol w:w="1948"/>
            </w:tblGrid>
            <w:tr w14:paraId="123B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restart"/>
                  <w:tcBorders>
                    <w:tl2br w:val="nil"/>
                    <w:tr2bl w:val="nil"/>
                  </w:tcBorders>
                  <w:tcMar>
                    <w:top w:w="0" w:type="dxa"/>
                    <w:left w:w="57" w:type="dxa"/>
                    <w:bottom w:w="0" w:type="dxa"/>
                    <w:right w:w="57" w:type="dxa"/>
                  </w:tcMar>
                  <w:vAlign w:val="center"/>
                </w:tcPr>
                <w:p w14:paraId="49A14131">
                  <w:pPr>
                    <w:jc w:val="center"/>
                    <w:rPr>
                      <w:b/>
                      <w:bCs/>
                      <w:color w:val="auto"/>
                    </w:rPr>
                  </w:pPr>
                  <w:r>
                    <w:rPr>
                      <w:b/>
                      <w:bCs/>
                      <w:color w:val="auto"/>
                    </w:rPr>
                    <w:t>污染源</w:t>
                  </w:r>
                </w:p>
              </w:tc>
              <w:tc>
                <w:tcPr>
                  <w:tcW w:w="822" w:type="dxa"/>
                  <w:vMerge w:val="restart"/>
                  <w:tcBorders>
                    <w:tl2br w:val="nil"/>
                    <w:tr2bl w:val="nil"/>
                  </w:tcBorders>
                  <w:tcMar>
                    <w:top w:w="0" w:type="dxa"/>
                    <w:left w:w="57" w:type="dxa"/>
                    <w:bottom w:w="0" w:type="dxa"/>
                    <w:right w:w="57" w:type="dxa"/>
                  </w:tcMar>
                  <w:vAlign w:val="center"/>
                </w:tcPr>
                <w:p w14:paraId="5409E33E">
                  <w:pPr>
                    <w:jc w:val="center"/>
                    <w:rPr>
                      <w:b/>
                      <w:bCs/>
                      <w:color w:val="auto"/>
                    </w:rPr>
                  </w:pPr>
                  <w:r>
                    <w:rPr>
                      <w:b/>
                      <w:bCs/>
                      <w:color w:val="auto"/>
                    </w:rPr>
                    <w:t>污染物</w:t>
                  </w:r>
                </w:p>
              </w:tc>
              <w:tc>
                <w:tcPr>
                  <w:tcW w:w="3204" w:type="dxa"/>
                  <w:gridSpan w:val="3"/>
                  <w:tcBorders>
                    <w:tl2br w:val="nil"/>
                    <w:tr2bl w:val="nil"/>
                  </w:tcBorders>
                  <w:tcMar>
                    <w:top w:w="0" w:type="dxa"/>
                    <w:left w:w="57" w:type="dxa"/>
                    <w:bottom w:w="0" w:type="dxa"/>
                    <w:right w:w="57" w:type="dxa"/>
                  </w:tcMar>
                  <w:vAlign w:val="center"/>
                </w:tcPr>
                <w:p w14:paraId="0BAAE5CE">
                  <w:pPr>
                    <w:jc w:val="center"/>
                    <w:rPr>
                      <w:b/>
                      <w:bCs/>
                      <w:color w:val="auto"/>
                    </w:rPr>
                  </w:pPr>
                  <w:r>
                    <w:rPr>
                      <w:b/>
                      <w:bCs/>
                      <w:color w:val="auto"/>
                    </w:rPr>
                    <w:t>污染物产生</w:t>
                  </w:r>
                </w:p>
              </w:tc>
              <w:tc>
                <w:tcPr>
                  <w:tcW w:w="1040" w:type="dxa"/>
                  <w:gridSpan w:val="2"/>
                  <w:tcBorders>
                    <w:tl2br w:val="nil"/>
                    <w:tr2bl w:val="nil"/>
                  </w:tcBorders>
                  <w:tcMar>
                    <w:top w:w="0" w:type="dxa"/>
                    <w:left w:w="57" w:type="dxa"/>
                    <w:bottom w:w="0" w:type="dxa"/>
                    <w:right w:w="57" w:type="dxa"/>
                  </w:tcMar>
                  <w:vAlign w:val="center"/>
                </w:tcPr>
                <w:p w14:paraId="7E589048">
                  <w:pPr>
                    <w:jc w:val="center"/>
                    <w:rPr>
                      <w:b/>
                      <w:bCs/>
                      <w:color w:val="auto"/>
                    </w:rPr>
                  </w:pPr>
                  <w:r>
                    <w:rPr>
                      <w:b/>
                      <w:bCs/>
                      <w:color w:val="auto"/>
                    </w:rPr>
                    <w:t>治理措施</w:t>
                  </w:r>
                </w:p>
              </w:tc>
              <w:tc>
                <w:tcPr>
                  <w:tcW w:w="3204" w:type="dxa"/>
                  <w:gridSpan w:val="3"/>
                  <w:tcBorders>
                    <w:tl2br w:val="nil"/>
                    <w:tr2bl w:val="nil"/>
                  </w:tcBorders>
                  <w:tcMar>
                    <w:top w:w="0" w:type="dxa"/>
                    <w:left w:w="57" w:type="dxa"/>
                    <w:bottom w:w="0" w:type="dxa"/>
                    <w:right w:w="57" w:type="dxa"/>
                  </w:tcMar>
                  <w:vAlign w:val="center"/>
                </w:tcPr>
                <w:p w14:paraId="274B4845">
                  <w:pPr>
                    <w:jc w:val="center"/>
                    <w:rPr>
                      <w:b/>
                      <w:bCs/>
                      <w:color w:val="auto"/>
                    </w:rPr>
                  </w:pPr>
                  <w:r>
                    <w:rPr>
                      <w:b/>
                      <w:bCs/>
                      <w:color w:val="auto"/>
                    </w:rPr>
                    <w:t>污染物排放</w:t>
                  </w:r>
                </w:p>
              </w:tc>
              <w:tc>
                <w:tcPr>
                  <w:tcW w:w="713" w:type="dxa"/>
                  <w:vMerge w:val="restart"/>
                  <w:tcBorders>
                    <w:tl2br w:val="nil"/>
                    <w:tr2bl w:val="nil"/>
                  </w:tcBorders>
                  <w:tcMar>
                    <w:top w:w="0" w:type="dxa"/>
                    <w:left w:w="57" w:type="dxa"/>
                    <w:bottom w:w="0" w:type="dxa"/>
                    <w:right w:w="57" w:type="dxa"/>
                  </w:tcMar>
                  <w:vAlign w:val="center"/>
                </w:tcPr>
                <w:p w14:paraId="46139FDB">
                  <w:pPr>
                    <w:jc w:val="center"/>
                    <w:rPr>
                      <w:b/>
                      <w:bCs/>
                      <w:color w:val="auto"/>
                    </w:rPr>
                  </w:pPr>
                  <w:r>
                    <w:rPr>
                      <w:rFonts w:hint="eastAsia"/>
                      <w:b/>
                      <w:bCs/>
                      <w:color w:val="auto"/>
                    </w:rPr>
                    <w:t>标准限值</w:t>
                  </w:r>
                </w:p>
              </w:tc>
              <w:tc>
                <w:tcPr>
                  <w:tcW w:w="713" w:type="dxa"/>
                  <w:vMerge w:val="restart"/>
                  <w:tcBorders>
                    <w:tl2br w:val="nil"/>
                    <w:tr2bl w:val="nil"/>
                  </w:tcBorders>
                  <w:tcMar>
                    <w:top w:w="0" w:type="dxa"/>
                    <w:left w:w="57" w:type="dxa"/>
                    <w:bottom w:w="0" w:type="dxa"/>
                    <w:right w:w="57" w:type="dxa"/>
                  </w:tcMar>
                  <w:vAlign w:val="center"/>
                </w:tcPr>
                <w:p w14:paraId="2CC54EC5">
                  <w:pPr>
                    <w:jc w:val="center"/>
                    <w:rPr>
                      <w:b/>
                      <w:bCs/>
                      <w:color w:val="auto"/>
                    </w:rPr>
                  </w:pPr>
                  <w:r>
                    <w:rPr>
                      <w:rFonts w:hint="eastAsia"/>
                      <w:b/>
                      <w:bCs/>
                      <w:color w:val="auto"/>
                    </w:rPr>
                    <w:t>达标情况</w:t>
                  </w:r>
                </w:p>
              </w:tc>
              <w:tc>
                <w:tcPr>
                  <w:tcW w:w="1102" w:type="dxa"/>
                  <w:vMerge w:val="restart"/>
                  <w:tcBorders>
                    <w:tl2br w:val="nil"/>
                    <w:tr2bl w:val="nil"/>
                  </w:tcBorders>
                  <w:tcMar>
                    <w:top w:w="0" w:type="dxa"/>
                    <w:left w:w="57" w:type="dxa"/>
                    <w:bottom w:w="0" w:type="dxa"/>
                    <w:right w:w="57" w:type="dxa"/>
                  </w:tcMar>
                  <w:vAlign w:val="center"/>
                </w:tcPr>
                <w:p w14:paraId="6035A090">
                  <w:pPr>
                    <w:jc w:val="center"/>
                    <w:rPr>
                      <w:b/>
                      <w:bCs/>
                      <w:color w:val="auto"/>
                    </w:rPr>
                  </w:pPr>
                  <w:r>
                    <w:rPr>
                      <w:rFonts w:hint="eastAsia"/>
                      <w:b/>
                      <w:bCs/>
                      <w:color w:val="auto"/>
                    </w:rPr>
                    <w:t>是否为可行技术</w:t>
                  </w:r>
                </w:p>
              </w:tc>
              <w:tc>
                <w:tcPr>
                  <w:tcW w:w="1948" w:type="dxa"/>
                  <w:vMerge w:val="restart"/>
                  <w:tcBorders>
                    <w:tl2br w:val="nil"/>
                    <w:tr2bl w:val="nil"/>
                  </w:tcBorders>
                  <w:tcMar>
                    <w:top w:w="0" w:type="dxa"/>
                    <w:left w:w="57" w:type="dxa"/>
                    <w:bottom w:w="0" w:type="dxa"/>
                    <w:right w:w="57" w:type="dxa"/>
                  </w:tcMar>
                  <w:vAlign w:val="center"/>
                </w:tcPr>
                <w:p w14:paraId="4BD6BA06">
                  <w:pPr>
                    <w:jc w:val="center"/>
                    <w:rPr>
                      <w:b/>
                      <w:bCs/>
                      <w:color w:val="auto"/>
                    </w:rPr>
                  </w:pPr>
                  <w:r>
                    <w:rPr>
                      <w:rFonts w:hint="eastAsia"/>
                      <w:b/>
                      <w:bCs/>
                      <w:color w:val="auto"/>
                    </w:rPr>
                    <w:t>排放方式</w:t>
                  </w:r>
                </w:p>
              </w:tc>
            </w:tr>
            <w:tr w14:paraId="7391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1CF35593">
                  <w:pPr>
                    <w:jc w:val="center"/>
                    <w:rPr>
                      <w:color w:val="auto"/>
                    </w:rPr>
                  </w:pPr>
                </w:p>
              </w:tc>
              <w:tc>
                <w:tcPr>
                  <w:tcW w:w="822" w:type="dxa"/>
                  <w:vMerge w:val="continue"/>
                  <w:tcBorders>
                    <w:tl2br w:val="nil"/>
                    <w:tr2bl w:val="nil"/>
                  </w:tcBorders>
                  <w:tcMar>
                    <w:top w:w="0" w:type="dxa"/>
                    <w:left w:w="57" w:type="dxa"/>
                    <w:bottom w:w="0" w:type="dxa"/>
                    <w:right w:w="57" w:type="dxa"/>
                  </w:tcMar>
                  <w:vAlign w:val="center"/>
                </w:tcPr>
                <w:p w14:paraId="4AD5E342">
                  <w:pPr>
                    <w:jc w:val="center"/>
                    <w:rPr>
                      <w:color w:val="auto"/>
                    </w:rPr>
                  </w:pPr>
                </w:p>
              </w:tc>
              <w:tc>
                <w:tcPr>
                  <w:tcW w:w="1140" w:type="dxa"/>
                  <w:tcBorders>
                    <w:tl2br w:val="nil"/>
                    <w:tr2bl w:val="nil"/>
                  </w:tcBorders>
                  <w:tcMar>
                    <w:top w:w="0" w:type="dxa"/>
                    <w:left w:w="57" w:type="dxa"/>
                    <w:bottom w:w="0" w:type="dxa"/>
                    <w:right w:w="57" w:type="dxa"/>
                  </w:tcMar>
                  <w:vAlign w:val="center"/>
                </w:tcPr>
                <w:p w14:paraId="1436212E">
                  <w:pPr>
                    <w:jc w:val="center"/>
                    <w:rPr>
                      <w:b/>
                      <w:bCs/>
                      <w:color w:val="auto"/>
                    </w:rPr>
                  </w:pPr>
                  <w:r>
                    <w:rPr>
                      <w:b/>
                      <w:bCs/>
                      <w:color w:val="auto"/>
                    </w:rPr>
                    <w:t>废水产生量t/a</w:t>
                  </w:r>
                </w:p>
              </w:tc>
              <w:tc>
                <w:tcPr>
                  <w:tcW w:w="1076" w:type="dxa"/>
                  <w:tcBorders>
                    <w:tl2br w:val="nil"/>
                    <w:tr2bl w:val="nil"/>
                  </w:tcBorders>
                  <w:tcMar>
                    <w:top w:w="0" w:type="dxa"/>
                    <w:left w:w="57" w:type="dxa"/>
                    <w:bottom w:w="0" w:type="dxa"/>
                    <w:right w:w="57" w:type="dxa"/>
                  </w:tcMar>
                  <w:vAlign w:val="center"/>
                </w:tcPr>
                <w:p w14:paraId="1A01B208">
                  <w:pPr>
                    <w:jc w:val="center"/>
                    <w:rPr>
                      <w:b/>
                      <w:bCs/>
                      <w:color w:val="auto"/>
                    </w:rPr>
                  </w:pPr>
                  <w:r>
                    <w:rPr>
                      <w:b/>
                      <w:bCs/>
                      <w:color w:val="auto"/>
                    </w:rPr>
                    <w:t>产生浓度mg/L</w:t>
                  </w:r>
                </w:p>
              </w:tc>
              <w:tc>
                <w:tcPr>
                  <w:tcW w:w="988" w:type="dxa"/>
                  <w:tcBorders>
                    <w:tl2br w:val="nil"/>
                    <w:tr2bl w:val="nil"/>
                  </w:tcBorders>
                  <w:tcMar>
                    <w:top w:w="0" w:type="dxa"/>
                    <w:left w:w="57" w:type="dxa"/>
                    <w:bottom w:w="0" w:type="dxa"/>
                    <w:right w:w="57" w:type="dxa"/>
                  </w:tcMar>
                  <w:vAlign w:val="center"/>
                </w:tcPr>
                <w:p w14:paraId="30016D8D">
                  <w:pPr>
                    <w:jc w:val="center"/>
                    <w:rPr>
                      <w:b/>
                      <w:bCs/>
                      <w:color w:val="auto"/>
                    </w:rPr>
                  </w:pPr>
                  <w:r>
                    <w:rPr>
                      <w:b/>
                      <w:bCs/>
                      <w:color w:val="auto"/>
                    </w:rPr>
                    <w:t>产生量t/a</w:t>
                  </w:r>
                </w:p>
              </w:tc>
              <w:tc>
                <w:tcPr>
                  <w:tcW w:w="585" w:type="dxa"/>
                  <w:tcBorders>
                    <w:tl2br w:val="nil"/>
                    <w:tr2bl w:val="nil"/>
                  </w:tcBorders>
                  <w:tcMar>
                    <w:top w:w="0" w:type="dxa"/>
                    <w:left w:w="57" w:type="dxa"/>
                    <w:bottom w:w="0" w:type="dxa"/>
                    <w:right w:w="57" w:type="dxa"/>
                  </w:tcMar>
                  <w:vAlign w:val="center"/>
                </w:tcPr>
                <w:p w14:paraId="442B5FFD">
                  <w:pPr>
                    <w:jc w:val="center"/>
                    <w:rPr>
                      <w:b/>
                      <w:bCs/>
                      <w:color w:val="auto"/>
                    </w:rPr>
                  </w:pPr>
                  <w:r>
                    <w:rPr>
                      <w:b/>
                      <w:bCs/>
                      <w:color w:val="auto"/>
                    </w:rPr>
                    <w:t>工艺</w:t>
                  </w:r>
                </w:p>
              </w:tc>
              <w:tc>
                <w:tcPr>
                  <w:tcW w:w="455" w:type="dxa"/>
                  <w:tcBorders>
                    <w:tl2br w:val="nil"/>
                    <w:tr2bl w:val="nil"/>
                  </w:tcBorders>
                  <w:tcMar>
                    <w:top w:w="0" w:type="dxa"/>
                    <w:left w:w="57" w:type="dxa"/>
                    <w:bottom w:w="0" w:type="dxa"/>
                    <w:right w:w="57" w:type="dxa"/>
                  </w:tcMar>
                  <w:vAlign w:val="center"/>
                </w:tcPr>
                <w:p w14:paraId="04F993CE">
                  <w:pPr>
                    <w:jc w:val="center"/>
                    <w:rPr>
                      <w:b/>
                      <w:bCs/>
                      <w:color w:val="auto"/>
                    </w:rPr>
                  </w:pPr>
                  <w:r>
                    <w:rPr>
                      <w:b/>
                      <w:bCs/>
                      <w:color w:val="auto"/>
                    </w:rPr>
                    <w:t>效率</w:t>
                  </w:r>
                </w:p>
                <w:p w14:paraId="6DB0914C">
                  <w:pPr>
                    <w:jc w:val="center"/>
                    <w:rPr>
                      <w:b/>
                      <w:bCs/>
                      <w:color w:val="auto"/>
                    </w:rPr>
                  </w:pPr>
                  <w:r>
                    <w:rPr>
                      <w:b/>
                      <w:bCs/>
                      <w:color w:val="auto"/>
                    </w:rPr>
                    <w:t>%</w:t>
                  </w:r>
                </w:p>
              </w:tc>
              <w:tc>
                <w:tcPr>
                  <w:tcW w:w="1140" w:type="dxa"/>
                  <w:tcBorders>
                    <w:tl2br w:val="nil"/>
                    <w:tr2bl w:val="nil"/>
                  </w:tcBorders>
                  <w:tcMar>
                    <w:top w:w="0" w:type="dxa"/>
                    <w:left w:w="57" w:type="dxa"/>
                    <w:bottom w:w="0" w:type="dxa"/>
                    <w:right w:w="57" w:type="dxa"/>
                  </w:tcMar>
                  <w:vAlign w:val="center"/>
                </w:tcPr>
                <w:p w14:paraId="3D4A31FA">
                  <w:pPr>
                    <w:jc w:val="center"/>
                    <w:rPr>
                      <w:b/>
                      <w:bCs/>
                      <w:color w:val="auto"/>
                    </w:rPr>
                  </w:pPr>
                  <w:r>
                    <w:rPr>
                      <w:b/>
                      <w:bCs/>
                      <w:color w:val="auto"/>
                    </w:rPr>
                    <w:t>废水排放量t/a</w:t>
                  </w:r>
                </w:p>
              </w:tc>
              <w:tc>
                <w:tcPr>
                  <w:tcW w:w="1076" w:type="dxa"/>
                  <w:tcBorders>
                    <w:tl2br w:val="nil"/>
                    <w:tr2bl w:val="nil"/>
                  </w:tcBorders>
                  <w:tcMar>
                    <w:top w:w="0" w:type="dxa"/>
                    <w:left w:w="57" w:type="dxa"/>
                    <w:bottom w:w="0" w:type="dxa"/>
                    <w:right w:w="57" w:type="dxa"/>
                  </w:tcMar>
                  <w:vAlign w:val="center"/>
                </w:tcPr>
                <w:p w14:paraId="6552AD60">
                  <w:pPr>
                    <w:jc w:val="center"/>
                    <w:rPr>
                      <w:b/>
                      <w:bCs/>
                      <w:color w:val="auto"/>
                    </w:rPr>
                  </w:pPr>
                  <w:r>
                    <w:rPr>
                      <w:b/>
                      <w:bCs/>
                      <w:color w:val="auto"/>
                    </w:rPr>
                    <w:t>排放浓度mg/L</w:t>
                  </w:r>
                </w:p>
              </w:tc>
              <w:tc>
                <w:tcPr>
                  <w:tcW w:w="988" w:type="dxa"/>
                  <w:tcBorders>
                    <w:tl2br w:val="nil"/>
                    <w:tr2bl w:val="nil"/>
                  </w:tcBorders>
                  <w:tcMar>
                    <w:top w:w="0" w:type="dxa"/>
                    <w:left w:w="57" w:type="dxa"/>
                    <w:bottom w:w="0" w:type="dxa"/>
                    <w:right w:w="57" w:type="dxa"/>
                  </w:tcMar>
                  <w:vAlign w:val="center"/>
                </w:tcPr>
                <w:p w14:paraId="0C2E4E92">
                  <w:pPr>
                    <w:jc w:val="center"/>
                    <w:rPr>
                      <w:b/>
                      <w:bCs/>
                      <w:color w:val="auto"/>
                    </w:rPr>
                  </w:pPr>
                  <w:r>
                    <w:rPr>
                      <w:b/>
                      <w:bCs/>
                      <w:color w:val="auto"/>
                    </w:rPr>
                    <w:t>排放量t/a</w:t>
                  </w:r>
                </w:p>
              </w:tc>
              <w:tc>
                <w:tcPr>
                  <w:tcW w:w="713" w:type="dxa"/>
                  <w:vMerge w:val="continue"/>
                  <w:tcBorders>
                    <w:tl2br w:val="nil"/>
                    <w:tr2bl w:val="nil"/>
                  </w:tcBorders>
                  <w:tcMar>
                    <w:top w:w="0" w:type="dxa"/>
                    <w:left w:w="57" w:type="dxa"/>
                    <w:bottom w:w="0" w:type="dxa"/>
                    <w:right w:w="57" w:type="dxa"/>
                  </w:tcMar>
                  <w:vAlign w:val="center"/>
                </w:tcPr>
                <w:p w14:paraId="660D4D82">
                  <w:pPr>
                    <w:jc w:val="center"/>
                    <w:rPr>
                      <w:color w:val="auto"/>
                    </w:rPr>
                  </w:pPr>
                </w:p>
              </w:tc>
              <w:tc>
                <w:tcPr>
                  <w:tcW w:w="713" w:type="dxa"/>
                  <w:vMerge w:val="continue"/>
                  <w:tcBorders>
                    <w:tl2br w:val="nil"/>
                    <w:tr2bl w:val="nil"/>
                  </w:tcBorders>
                  <w:tcMar>
                    <w:top w:w="0" w:type="dxa"/>
                    <w:left w:w="57" w:type="dxa"/>
                    <w:bottom w:w="0" w:type="dxa"/>
                    <w:right w:w="57" w:type="dxa"/>
                  </w:tcMar>
                  <w:vAlign w:val="center"/>
                </w:tcPr>
                <w:p w14:paraId="40326F0F">
                  <w:pPr>
                    <w:jc w:val="center"/>
                    <w:rPr>
                      <w:color w:val="auto"/>
                    </w:rPr>
                  </w:pPr>
                </w:p>
              </w:tc>
              <w:tc>
                <w:tcPr>
                  <w:tcW w:w="1102" w:type="dxa"/>
                  <w:vMerge w:val="continue"/>
                  <w:tcBorders>
                    <w:tl2br w:val="nil"/>
                    <w:tr2bl w:val="nil"/>
                  </w:tcBorders>
                  <w:tcMar>
                    <w:top w:w="0" w:type="dxa"/>
                    <w:left w:w="57" w:type="dxa"/>
                    <w:bottom w:w="0" w:type="dxa"/>
                    <w:right w:w="57" w:type="dxa"/>
                  </w:tcMar>
                  <w:vAlign w:val="center"/>
                </w:tcPr>
                <w:p w14:paraId="58ACE675">
                  <w:pPr>
                    <w:jc w:val="center"/>
                    <w:rPr>
                      <w:color w:val="auto"/>
                    </w:rPr>
                  </w:pPr>
                </w:p>
              </w:tc>
              <w:tc>
                <w:tcPr>
                  <w:tcW w:w="1948" w:type="dxa"/>
                  <w:vMerge w:val="continue"/>
                  <w:tcBorders>
                    <w:tl2br w:val="nil"/>
                    <w:tr2bl w:val="nil"/>
                  </w:tcBorders>
                  <w:tcMar>
                    <w:top w:w="0" w:type="dxa"/>
                    <w:left w:w="57" w:type="dxa"/>
                    <w:bottom w:w="0" w:type="dxa"/>
                    <w:right w:w="57" w:type="dxa"/>
                  </w:tcMar>
                  <w:vAlign w:val="center"/>
                </w:tcPr>
                <w:p w14:paraId="14E23FBB">
                  <w:pPr>
                    <w:jc w:val="center"/>
                    <w:rPr>
                      <w:color w:val="auto"/>
                    </w:rPr>
                  </w:pPr>
                </w:p>
              </w:tc>
            </w:tr>
            <w:tr w14:paraId="1631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972" w:type="dxa"/>
                  <w:vMerge w:val="restart"/>
                  <w:tcBorders>
                    <w:tl2br w:val="nil"/>
                    <w:tr2bl w:val="nil"/>
                  </w:tcBorders>
                  <w:tcMar>
                    <w:top w:w="0" w:type="dxa"/>
                    <w:left w:w="57" w:type="dxa"/>
                    <w:bottom w:w="0" w:type="dxa"/>
                    <w:right w:w="57" w:type="dxa"/>
                  </w:tcMar>
                  <w:vAlign w:val="center"/>
                </w:tcPr>
                <w:p w14:paraId="6CE48153">
                  <w:pPr>
                    <w:jc w:val="center"/>
                    <w:rPr>
                      <w:color w:val="auto"/>
                    </w:rPr>
                  </w:pPr>
                  <w:r>
                    <w:rPr>
                      <w:color w:val="auto"/>
                    </w:rPr>
                    <w:t>职工生活污水</w:t>
                  </w:r>
                </w:p>
              </w:tc>
              <w:tc>
                <w:tcPr>
                  <w:tcW w:w="822" w:type="dxa"/>
                  <w:tcBorders>
                    <w:tl2br w:val="nil"/>
                    <w:tr2bl w:val="nil"/>
                  </w:tcBorders>
                  <w:tcMar>
                    <w:top w:w="0" w:type="dxa"/>
                    <w:left w:w="57" w:type="dxa"/>
                    <w:bottom w:w="0" w:type="dxa"/>
                    <w:right w:w="57" w:type="dxa"/>
                  </w:tcMar>
                  <w:vAlign w:val="center"/>
                </w:tcPr>
                <w:p w14:paraId="68BDF28E">
                  <w:pPr>
                    <w:jc w:val="center"/>
                    <w:rPr>
                      <w:color w:val="auto"/>
                    </w:rPr>
                  </w:pPr>
                  <w:r>
                    <w:rPr>
                      <w:color w:val="auto"/>
                    </w:rPr>
                    <w:t>COD</w:t>
                  </w:r>
                </w:p>
              </w:tc>
              <w:tc>
                <w:tcPr>
                  <w:tcW w:w="1140" w:type="dxa"/>
                  <w:vMerge w:val="restart"/>
                  <w:tcBorders>
                    <w:tl2br w:val="nil"/>
                    <w:tr2bl w:val="nil"/>
                  </w:tcBorders>
                  <w:tcMar>
                    <w:top w:w="0" w:type="dxa"/>
                    <w:left w:w="57" w:type="dxa"/>
                    <w:bottom w:w="0" w:type="dxa"/>
                    <w:right w:w="57" w:type="dxa"/>
                  </w:tcMar>
                  <w:vAlign w:val="center"/>
                </w:tcPr>
                <w:p w14:paraId="3C5AA8E2">
                  <w:pPr>
                    <w:jc w:val="center"/>
                    <w:rPr>
                      <w:color w:val="auto"/>
                    </w:rPr>
                  </w:pPr>
                  <w:r>
                    <w:rPr>
                      <w:rFonts w:hint="eastAsia"/>
                      <w:color w:val="auto"/>
                    </w:rPr>
                    <w:t>6240</w:t>
                  </w:r>
                </w:p>
              </w:tc>
              <w:tc>
                <w:tcPr>
                  <w:tcW w:w="1076" w:type="dxa"/>
                  <w:tcBorders>
                    <w:tl2br w:val="nil"/>
                    <w:tr2bl w:val="nil"/>
                  </w:tcBorders>
                  <w:tcMar>
                    <w:top w:w="0" w:type="dxa"/>
                    <w:left w:w="57" w:type="dxa"/>
                    <w:bottom w:w="0" w:type="dxa"/>
                    <w:right w:w="57" w:type="dxa"/>
                  </w:tcMar>
                  <w:vAlign w:val="center"/>
                </w:tcPr>
                <w:p w14:paraId="13908CC8">
                  <w:pPr>
                    <w:jc w:val="center"/>
                    <w:rPr>
                      <w:color w:val="auto"/>
                    </w:rPr>
                  </w:pPr>
                  <w:r>
                    <w:rPr>
                      <w:rFonts w:hint="eastAsia"/>
                      <w:color w:val="auto"/>
                      <w:lang w:val="en-US" w:eastAsia="zh-CN"/>
                    </w:rPr>
                    <w:t>4</w:t>
                  </w:r>
                  <w:r>
                    <w:rPr>
                      <w:color w:val="auto"/>
                    </w:rPr>
                    <w:t>00</w:t>
                  </w:r>
                </w:p>
              </w:tc>
              <w:tc>
                <w:tcPr>
                  <w:tcW w:w="988" w:type="dxa"/>
                  <w:tcBorders>
                    <w:tl2br w:val="nil"/>
                    <w:tr2bl w:val="nil"/>
                  </w:tcBorders>
                  <w:tcMar>
                    <w:top w:w="0" w:type="dxa"/>
                    <w:left w:w="57" w:type="dxa"/>
                    <w:bottom w:w="0" w:type="dxa"/>
                    <w:right w:w="57" w:type="dxa"/>
                  </w:tcMar>
                  <w:vAlign w:val="center"/>
                </w:tcPr>
                <w:p w14:paraId="4D4E5639">
                  <w:pPr>
                    <w:jc w:val="center"/>
                    <w:rPr>
                      <w:rFonts w:hint="default" w:eastAsia="宋体"/>
                      <w:color w:val="auto"/>
                      <w:lang w:val="en-US" w:eastAsia="zh-CN"/>
                    </w:rPr>
                  </w:pPr>
                  <w:r>
                    <w:rPr>
                      <w:rFonts w:hint="eastAsia"/>
                      <w:color w:val="auto"/>
                      <w:lang w:val="en-US" w:eastAsia="zh-CN"/>
                    </w:rPr>
                    <w:t>2.496</w:t>
                  </w:r>
                </w:p>
              </w:tc>
              <w:tc>
                <w:tcPr>
                  <w:tcW w:w="585" w:type="dxa"/>
                  <w:vMerge w:val="restart"/>
                  <w:tcBorders>
                    <w:tl2br w:val="nil"/>
                    <w:tr2bl w:val="nil"/>
                  </w:tcBorders>
                  <w:tcMar>
                    <w:top w:w="0" w:type="dxa"/>
                    <w:left w:w="57" w:type="dxa"/>
                    <w:bottom w:w="0" w:type="dxa"/>
                    <w:right w:w="57" w:type="dxa"/>
                  </w:tcMar>
                  <w:vAlign w:val="center"/>
                </w:tcPr>
                <w:p w14:paraId="541BF671">
                  <w:pPr>
                    <w:jc w:val="center"/>
                    <w:rPr>
                      <w:color w:val="auto"/>
                    </w:rPr>
                  </w:pPr>
                  <w:r>
                    <w:rPr>
                      <w:color w:val="auto"/>
                    </w:rPr>
                    <w:t>化粪池</w:t>
                  </w:r>
                </w:p>
              </w:tc>
              <w:tc>
                <w:tcPr>
                  <w:tcW w:w="455" w:type="dxa"/>
                  <w:tcBorders>
                    <w:tl2br w:val="nil"/>
                    <w:tr2bl w:val="nil"/>
                  </w:tcBorders>
                  <w:tcMar>
                    <w:top w:w="0" w:type="dxa"/>
                    <w:left w:w="57" w:type="dxa"/>
                    <w:bottom w:w="0" w:type="dxa"/>
                    <w:right w:w="57" w:type="dxa"/>
                  </w:tcMar>
                  <w:vAlign w:val="center"/>
                </w:tcPr>
                <w:p w14:paraId="51AD3498">
                  <w:pPr>
                    <w:jc w:val="center"/>
                    <w:rPr>
                      <w:color w:val="auto"/>
                    </w:rPr>
                  </w:pPr>
                  <w:r>
                    <w:rPr>
                      <w:color w:val="auto"/>
                    </w:rPr>
                    <w:t>/</w:t>
                  </w:r>
                </w:p>
              </w:tc>
              <w:tc>
                <w:tcPr>
                  <w:tcW w:w="1140" w:type="dxa"/>
                  <w:vMerge w:val="restart"/>
                  <w:tcBorders>
                    <w:tl2br w:val="nil"/>
                    <w:tr2bl w:val="nil"/>
                  </w:tcBorders>
                  <w:tcMar>
                    <w:top w:w="0" w:type="dxa"/>
                    <w:left w:w="57" w:type="dxa"/>
                    <w:bottom w:w="0" w:type="dxa"/>
                    <w:right w:w="57" w:type="dxa"/>
                  </w:tcMar>
                  <w:vAlign w:val="center"/>
                </w:tcPr>
                <w:p w14:paraId="44279B5A">
                  <w:pPr>
                    <w:jc w:val="center"/>
                    <w:rPr>
                      <w:color w:val="auto"/>
                    </w:rPr>
                  </w:pPr>
                  <w:r>
                    <w:rPr>
                      <w:rFonts w:hint="eastAsia"/>
                      <w:color w:val="auto"/>
                    </w:rPr>
                    <w:t>6240</w:t>
                  </w:r>
                </w:p>
              </w:tc>
              <w:tc>
                <w:tcPr>
                  <w:tcW w:w="1076" w:type="dxa"/>
                  <w:tcBorders>
                    <w:tl2br w:val="nil"/>
                    <w:tr2bl w:val="nil"/>
                  </w:tcBorders>
                  <w:tcMar>
                    <w:top w:w="0" w:type="dxa"/>
                    <w:left w:w="57" w:type="dxa"/>
                    <w:bottom w:w="0" w:type="dxa"/>
                    <w:right w:w="57" w:type="dxa"/>
                  </w:tcMar>
                  <w:vAlign w:val="center"/>
                </w:tcPr>
                <w:p w14:paraId="31E48C80">
                  <w:pPr>
                    <w:jc w:val="center"/>
                    <w:rPr>
                      <w:color w:val="auto"/>
                    </w:rPr>
                  </w:pPr>
                  <w:r>
                    <w:rPr>
                      <w:rFonts w:hint="eastAsia"/>
                      <w:color w:val="auto"/>
                      <w:lang w:val="en-US" w:eastAsia="zh-CN"/>
                    </w:rPr>
                    <w:t>4</w:t>
                  </w:r>
                  <w:r>
                    <w:rPr>
                      <w:color w:val="auto"/>
                    </w:rPr>
                    <w:t>00</w:t>
                  </w:r>
                </w:p>
              </w:tc>
              <w:tc>
                <w:tcPr>
                  <w:tcW w:w="988" w:type="dxa"/>
                  <w:tcBorders>
                    <w:tl2br w:val="nil"/>
                    <w:tr2bl w:val="nil"/>
                  </w:tcBorders>
                  <w:tcMar>
                    <w:top w:w="0" w:type="dxa"/>
                    <w:left w:w="57" w:type="dxa"/>
                    <w:bottom w:w="0" w:type="dxa"/>
                    <w:right w:w="57" w:type="dxa"/>
                  </w:tcMar>
                  <w:vAlign w:val="center"/>
                </w:tcPr>
                <w:p w14:paraId="212287E7">
                  <w:pPr>
                    <w:jc w:val="center"/>
                    <w:rPr>
                      <w:color w:val="auto"/>
                    </w:rPr>
                  </w:pPr>
                  <w:r>
                    <w:rPr>
                      <w:rFonts w:hint="eastAsia"/>
                      <w:color w:val="auto"/>
                      <w:lang w:val="en-US" w:eastAsia="zh-CN"/>
                    </w:rPr>
                    <w:t>2.496</w:t>
                  </w:r>
                </w:p>
              </w:tc>
              <w:tc>
                <w:tcPr>
                  <w:tcW w:w="713" w:type="dxa"/>
                  <w:tcBorders>
                    <w:tl2br w:val="nil"/>
                    <w:tr2bl w:val="nil"/>
                  </w:tcBorders>
                  <w:tcMar>
                    <w:top w:w="0" w:type="dxa"/>
                    <w:left w:w="57" w:type="dxa"/>
                    <w:bottom w:w="0" w:type="dxa"/>
                    <w:right w:w="57" w:type="dxa"/>
                  </w:tcMar>
                  <w:vAlign w:val="center"/>
                </w:tcPr>
                <w:p w14:paraId="17B28EA9">
                  <w:pPr>
                    <w:jc w:val="center"/>
                    <w:rPr>
                      <w:rFonts w:hint="eastAsia" w:eastAsia="宋体"/>
                      <w:color w:val="auto"/>
                      <w:lang w:val="en-US" w:eastAsia="zh-CN"/>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4D75D969">
                  <w:pPr>
                    <w:jc w:val="center"/>
                    <w:rPr>
                      <w:color w:val="auto"/>
                    </w:rPr>
                  </w:pPr>
                  <w:r>
                    <w:rPr>
                      <w:rFonts w:hint="eastAsia"/>
                      <w:color w:val="auto"/>
                      <w:lang w:val="en-US" w:eastAsia="zh-CN"/>
                    </w:rPr>
                    <w:t>/</w:t>
                  </w:r>
                </w:p>
              </w:tc>
              <w:tc>
                <w:tcPr>
                  <w:tcW w:w="1102" w:type="dxa"/>
                  <w:vMerge w:val="restart"/>
                  <w:tcBorders>
                    <w:tl2br w:val="nil"/>
                    <w:tr2bl w:val="nil"/>
                  </w:tcBorders>
                  <w:tcMar>
                    <w:top w:w="0" w:type="dxa"/>
                    <w:left w:w="57" w:type="dxa"/>
                    <w:bottom w:w="0" w:type="dxa"/>
                    <w:right w:w="57" w:type="dxa"/>
                  </w:tcMar>
                  <w:vAlign w:val="center"/>
                </w:tcPr>
                <w:p w14:paraId="6A0D8F3F">
                  <w:pPr>
                    <w:jc w:val="center"/>
                    <w:rPr>
                      <w:color w:val="auto"/>
                    </w:rPr>
                  </w:pPr>
                  <w:r>
                    <w:rPr>
                      <w:rFonts w:hint="eastAsia"/>
                      <w:color w:val="auto"/>
                    </w:rPr>
                    <w:t>是</w:t>
                  </w:r>
                </w:p>
              </w:tc>
              <w:tc>
                <w:tcPr>
                  <w:tcW w:w="1948" w:type="dxa"/>
                  <w:vMerge w:val="restart"/>
                  <w:tcBorders>
                    <w:tl2br w:val="nil"/>
                    <w:tr2bl w:val="nil"/>
                  </w:tcBorders>
                  <w:tcMar>
                    <w:top w:w="0" w:type="dxa"/>
                    <w:left w:w="57" w:type="dxa"/>
                    <w:bottom w:w="0" w:type="dxa"/>
                    <w:right w:w="57" w:type="dxa"/>
                  </w:tcMar>
                  <w:vAlign w:val="center"/>
                </w:tcPr>
                <w:p w14:paraId="6AB80F9D">
                  <w:pPr>
                    <w:jc w:val="center"/>
                    <w:rPr>
                      <w:rFonts w:hint="eastAsia" w:eastAsia="宋体"/>
                      <w:color w:val="auto"/>
                      <w:lang w:eastAsia="zh-CN"/>
                    </w:rPr>
                  </w:pPr>
                  <w:r>
                    <w:rPr>
                      <w:rFonts w:hint="eastAsia"/>
                      <w:color w:val="auto"/>
                    </w:rPr>
                    <w:t>间接排放；排入</w:t>
                  </w:r>
                  <w:r>
                    <w:rPr>
                      <w:rFonts w:hint="eastAsia"/>
                      <w:color w:val="auto"/>
                      <w:lang w:eastAsia="zh-CN"/>
                    </w:rPr>
                    <w:t>常州市金坛区溪城污水处理有限公司直溪污水处理厂</w:t>
                  </w:r>
                </w:p>
              </w:tc>
            </w:tr>
            <w:tr w14:paraId="5332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1F2E279F">
                  <w:pPr>
                    <w:jc w:val="center"/>
                    <w:rPr>
                      <w:color w:val="auto"/>
                    </w:rPr>
                  </w:pPr>
                </w:p>
              </w:tc>
              <w:tc>
                <w:tcPr>
                  <w:tcW w:w="822" w:type="dxa"/>
                  <w:tcBorders>
                    <w:tl2br w:val="nil"/>
                    <w:tr2bl w:val="nil"/>
                  </w:tcBorders>
                  <w:tcMar>
                    <w:top w:w="0" w:type="dxa"/>
                    <w:left w:w="57" w:type="dxa"/>
                    <w:bottom w:w="0" w:type="dxa"/>
                    <w:right w:w="57" w:type="dxa"/>
                  </w:tcMar>
                  <w:vAlign w:val="center"/>
                </w:tcPr>
                <w:p w14:paraId="2AB5EC20">
                  <w:pPr>
                    <w:jc w:val="center"/>
                    <w:rPr>
                      <w:color w:val="auto"/>
                    </w:rPr>
                  </w:pPr>
                  <w:r>
                    <w:rPr>
                      <w:color w:val="auto"/>
                    </w:rPr>
                    <w:t>SS</w:t>
                  </w:r>
                </w:p>
              </w:tc>
              <w:tc>
                <w:tcPr>
                  <w:tcW w:w="1140" w:type="dxa"/>
                  <w:vMerge w:val="continue"/>
                  <w:tcBorders>
                    <w:tl2br w:val="nil"/>
                    <w:tr2bl w:val="nil"/>
                  </w:tcBorders>
                  <w:tcMar>
                    <w:top w:w="0" w:type="dxa"/>
                    <w:left w:w="57" w:type="dxa"/>
                    <w:bottom w:w="0" w:type="dxa"/>
                    <w:right w:w="57" w:type="dxa"/>
                  </w:tcMar>
                  <w:vAlign w:val="center"/>
                </w:tcPr>
                <w:p w14:paraId="4CE38C16">
                  <w:pPr>
                    <w:jc w:val="center"/>
                    <w:rPr>
                      <w:color w:val="auto"/>
                    </w:rPr>
                  </w:pPr>
                </w:p>
              </w:tc>
              <w:tc>
                <w:tcPr>
                  <w:tcW w:w="1076" w:type="dxa"/>
                  <w:tcBorders>
                    <w:tl2br w:val="nil"/>
                    <w:tr2bl w:val="nil"/>
                  </w:tcBorders>
                  <w:tcMar>
                    <w:top w:w="0" w:type="dxa"/>
                    <w:left w:w="57" w:type="dxa"/>
                    <w:bottom w:w="0" w:type="dxa"/>
                    <w:right w:w="57" w:type="dxa"/>
                  </w:tcMar>
                  <w:vAlign w:val="center"/>
                </w:tcPr>
                <w:p w14:paraId="3C44A0F0">
                  <w:pPr>
                    <w:jc w:val="center"/>
                    <w:rPr>
                      <w:color w:val="auto"/>
                    </w:rPr>
                  </w:pPr>
                  <w:r>
                    <w:rPr>
                      <w:rFonts w:hint="eastAsia"/>
                      <w:color w:val="auto"/>
                      <w:lang w:val="en-US" w:eastAsia="zh-CN"/>
                    </w:rPr>
                    <w:t>3</w:t>
                  </w:r>
                  <w:r>
                    <w:rPr>
                      <w:color w:val="auto"/>
                    </w:rPr>
                    <w:t>00</w:t>
                  </w:r>
                </w:p>
              </w:tc>
              <w:tc>
                <w:tcPr>
                  <w:tcW w:w="988" w:type="dxa"/>
                  <w:tcBorders>
                    <w:tl2br w:val="nil"/>
                    <w:tr2bl w:val="nil"/>
                  </w:tcBorders>
                  <w:tcMar>
                    <w:top w:w="0" w:type="dxa"/>
                    <w:left w:w="57" w:type="dxa"/>
                    <w:bottom w:w="0" w:type="dxa"/>
                    <w:right w:w="57" w:type="dxa"/>
                  </w:tcMar>
                  <w:vAlign w:val="center"/>
                </w:tcPr>
                <w:p w14:paraId="398A3C95">
                  <w:pPr>
                    <w:jc w:val="center"/>
                    <w:rPr>
                      <w:rFonts w:hint="default" w:eastAsia="宋体"/>
                      <w:color w:val="auto"/>
                      <w:lang w:val="en-US" w:eastAsia="zh-CN"/>
                    </w:rPr>
                  </w:pPr>
                  <w:r>
                    <w:rPr>
                      <w:rFonts w:hint="eastAsia"/>
                      <w:color w:val="auto"/>
                      <w:lang w:val="en-US" w:eastAsia="zh-CN"/>
                    </w:rPr>
                    <w:t>1.872</w:t>
                  </w:r>
                </w:p>
              </w:tc>
              <w:tc>
                <w:tcPr>
                  <w:tcW w:w="585" w:type="dxa"/>
                  <w:vMerge w:val="continue"/>
                  <w:tcBorders>
                    <w:tl2br w:val="nil"/>
                    <w:tr2bl w:val="nil"/>
                  </w:tcBorders>
                  <w:tcMar>
                    <w:top w:w="0" w:type="dxa"/>
                    <w:left w:w="57" w:type="dxa"/>
                    <w:bottom w:w="0" w:type="dxa"/>
                    <w:right w:w="57" w:type="dxa"/>
                  </w:tcMar>
                  <w:vAlign w:val="center"/>
                </w:tcPr>
                <w:p w14:paraId="27F1D906">
                  <w:pPr>
                    <w:jc w:val="center"/>
                    <w:rPr>
                      <w:color w:val="auto"/>
                    </w:rPr>
                  </w:pPr>
                </w:p>
              </w:tc>
              <w:tc>
                <w:tcPr>
                  <w:tcW w:w="455" w:type="dxa"/>
                  <w:tcBorders>
                    <w:tl2br w:val="nil"/>
                    <w:tr2bl w:val="nil"/>
                  </w:tcBorders>
                  <w:tcMar>
                    <w:top w:w="0" w:type="dxa"/>
                    <w:left w:w="57" w:type="dxa"/>
                    <w:bottom w:w="0" w:type="dxa"/>
                    <w:right w:w="57" w:type="dxa"/>
                  </w:tcMar>
                  <w:vAlign w:val="center"/>
                </w:tcPr>
                <w:p w14:paraId="29160C39">
                  <w:pPr>
                    <w:jc w:val="center"/>
                    <w:rPr>
                      <w:color w:val="auto"/>
                    </w:rPr>
                  </w:pPr>
                  <w:r>
                    <w:rPr>
                      <w:color w:val="auto"/>
                    </w:rPr>
                    <w:t>/</w:t>
                  </w:r>
                </w:p>
              </w:tc>
              <w:tc>
                <w:tcPr>
                  <w:tcW w:w="1140" w:type="dxa"/>
                  <w:vMerge w:val="continue"/>
                  <w:tcBorders>
                    <w:tl2br w:val="nil"/>
                    <w:tr2bl w:val="nil"/>
                  </w:tcBorders>
                  <w:tcMar>
                    <w:top w:w="0" w:type="dxa"/>
                    <w:left w:w="57" w:type="dxa"/>
                    <w:bottom w:w="0" w:type="dxa"/>
                    <w:right w:w="57" w:type="dxa"/>
                  </w:tcMar>
                  <w:vAlign w:val="center"/>
                </w:tcPr>
                <w:p w14:paraId="0774C1D0">
                  <w:pPr>
                    <w:jc w:val="center"/>
                    <w:rPr>
                      <w:color w:val="auto"/>
                    </w:rPr>
                  </w:pPr>
                </w:p>
              </w:tc>
              <w:tc>
                <w:tcPr>
                  <w:tcW w:w="1076" w:type="dxa"/>
                  <w:tcBorders>
                    <w:tl2br w:val="nil"/>
                    <w:tr2bl w:val="nil"/>
                  </w:tcBorders>
                  <w:tcMar>
                    <w:top w:w="0" w:type="dxa"/>
                    <w:left w:w="57" w:type="dxa"/>
                    <w:bottom w:w="0" w:type="dxa"/>
                    <w:right w:w="57" w:type="dxa"/>
                  </w:tcMar>
                  <w:vAlign w:val="center"/>
                </w:tcPr>
                <w:p w14:paraId="1AD0C197">
                  <w:pPr>
                    <w:jc w:val="center"/>
                    <w:rPr>
                      <w:color w:val="auto"/>
                    </w:rPr>
                  </w:pPr>
                  <w:r>
                    <w:rPr>
                      <w:rFonts w:hint="eastAsia"/>
                      <w:color w:val="auto"/>
                      <w:lang w:val="en-US" w:eastAsia="zh-CN"/>
                    </w:rPr>
                    <w:t>3</w:t>
                  </w:r>
                  <w:r>
                    <w:rPr>
                      <w:color w:val="auto"/>
                    </w:rPr>
                    <w:t>00</w:t>
                  </w:r>
                </w:p>
              </w:tc>
              <w:tc>
                <w:tcPr>
                  <w:tcW w:w="988" w:type="dxa"/>
                  <w:tcBorders>
                    <w:tl2br w:val="nil"/>
                    <w:tr2bl w:val="nil"/>
                  </w:tcBorders>
                  <w:tcMar>
                    <w:top w:w="0" w:type="dxa"/>
                    <w:left w:w="57" w:type="dxa"/>
                    <w:bottom w:w="0" w:type="dxa"/>
                    <w:right w:w="57" w:type="dxa"/>
                  </w:tcMar>
                  <w:vAlign w:val="center"/>
                </w:tcPr>
                <w:p w14:paraId="00C42EAA">
                  <w:pPr>
                    <w:jc w:val="center"/>
                    <w:rPr>
                      <w:color w:val="auto"/>
                    </w:rPr>
                  </w:pPr>
                  <w:r>
                    <w:rPr>
                      <w:rFonts w:hint="eastAsia"/>
                      <w:color w:val="auto"/>
                      <w:lang w:val="en-US" w:eastAsia="zh-CN"/>
                    </w:rPr>
                    <w:t>1.872</w:t>
                  </w:r>
                </w:p>
              </w:tc>
              <w:tc>
                <w:tcPr>
                  <w:tcW w:w="713" w:type="dxa"/>
                  <w:tcBorders>
                    <w:tl2br w:val="nil"/>
                    <w:tr2bl w:val="nil"/>
                  </w:tcBorders>
                  <w:tcMar>
                    <w:top w:w="0" w:type="dxa"/>
                    <w:left w:w="57" w:type="dxa"/>
                    <w:bottom w:w="0" w:type="dxa"/>
                    <w:right w:w="57" w:type="dxa"/>
                  </w:tcMar>
                  <w:vAlign w:val="center"/>
                </w:tcPr>
                <w:p w14:paraId="76CE8A69">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75FD9B4E">
                  <w:pPr>
                    <w:jc w:val="center"/>
                    <w:rPr>
                      <w:color w:val="auto"/>
                    </w:rPr>
                  </w:pPr>
                  <w:r>
                    <w:rPr>
                      <w:rFonts w:hint="eastAsia"/>
                      <w:color w:val="auto"/>
                      <w:lang w:val="en-US" w:eastAsia="zh-CN"/>
                    </w:rPr>
                    <w:t>/</w:t>
                  </w:r>
                </w:p>
              </w:tc>
              <w:tc>
                <w:tcPr>
                  <w:tcW w:w="1102" w:type="dxa"/>
                  <w:vMerge w:val="continue"/>
                  <w:tcBorders>
                    <w:tl2br w:val="nil"/>
                    <w:tr2bl w:val="nil"/>
                  </w:tcBorders>
                  <w:tcMar>
                    <w:top w:w="0" w:type="dxa"/>
                    <w:left w:w="57" w:type="dxa"/>
                    <w:bottom w:w="0" w:type="dxa"/>
                    <w:right w:w="57" w:type="dxa"/>
                  </w:tcMar>
                  <w:vAlign w:val="center"/>
                </w:tcPr>
                <w:p w14:paraId="5C317695">
                  <w:pPr>
                    <w:jc w:val="center"/>
                    <w:rPr>
                      <w:color w:val="auto"/>
                    </w:rPr>
                  </w:pPr>
                </w:p>
              </w:tc>
              <w:tc>
                <w:tcPr>
                  <w:tcW w:w="1948" w:type="dxa"/>
                  <w:vMerge w:val="continue"/>
                  <w:tcBorders>
                    <w:tl2br w:val="nil"/>
                    <w:tr2bl w:val="nil"/>
                  </w:tcBorders>
                  <w:tcMar>
                    <w:top w:w="0" w:type="dxa"/>
                    <w:left w:w="57" w:type="dxa"/>
                    <w:bottom w:w="0" w:type="dxa"/>
                    <w:right w:w="57" w:type="dxa"/>
                  </w:tcMar>
                  <w:vAlign w:val="center"/>
                </w:tcPr>
                <w:p w14:paraId="7E4EE631">
                  <w:pPr>
                    <w:jc w:val="center"/>
                    <w:rPr>
                      <w:color w:val="auto"/>
                    </w:rPr>
                  </w:pPr>
                </w:p>
              </w:tc>
            </w:tr>
            <w:tr w14:paraId="0F32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5E996F55">
                  <w:pPr>
                    <w:jc w:val="center"/>
                    <w:rPr>
                      <w:color w:val="auto"/>
                    </w:rPr>
                  </w:pPr>
                </w:p>
              </w:tc>
              <w:tc>
                <w:tcPr>
                  <w:tcW w:w="822" w:type="dxa"/>
                  <w:tcBorders>
                    <w:tl2br w:val="nil"/>
                    <w:tr2bl w:val="nil"/>
                  </w:tcBorders>
                  <w:tcMar>
                    <w:top w:w="0" w:type="dxa"/>
                    <w:left w:w="57" w:type="dxa"/>
                    <w:bottom w:w="0" w:type="dxa"/>
                    <w:right w:w="57" w:type="dxa"/>
                  </w:tcMar>
                  <w:vAlign w:val="center"/>
                </w:tcPr>
                <w:p w14:paraId="220278A4">
                  <w:pPr>
                    <w:jc w:val="center"/>
                    <w:rPr>
                      <w:color w:val="auto"/>
                    </w:rPr>
                  </w:pPr>
                  <w:r>
                    <w:rPr>
                      <w:color w:val="auto"/>
                    </w:rPr>
                    <w:t>NH</w:t>
                  </w:r>
                  <w:r>
                    <w:rPr>
                      <w:color w:val="auto"/>
                      <w:vertAlign w:val="subscript"/>
                    </w:rPr>
                    <w:t>3</w:t>
                  </w:r>
                  <w:r>
                    <w:rPr>
                      <w:color w:val="auto"/>
                    </w:rPr>
                    <w:t>-N</w:t>
                  </w:r>
                </w:p>
              </w:tc>
              <w:tc>
                <w:tcPr>
                  <w:tcW w:w="1140" w:type="dxa"/>
                  <w:vMerge w:val="continue"/>
                  <w:tcBorders>
                    <w:tl2br w:val="nil"/>
                    <w:tr2bl w:val="nil"/>
                  </w:tcBorders>
                  <w:tcMar>
                    <w:top w:w="0" w:type="dxa"/>
                    <w:left w:w="57" w:type="dxa"/>
                    <w:bottom w:w="0" w:type="dxa"/>
                    <w:right w:w="57" w:type="dxa"/>
                  </w:tcMar>
                  <w:vAlign w:val="center"/>
                </w:tcPr>
                <w:p w14:paraId="7ED7B586">
                  <w:pPr>
                    <w:jc w:val="center"/>
                    <w:rPr>
                      <w:color w:val="auto"/>
                    </w:rPr>
                  </w:pPr>
                </w:p>
              </w:tc>
              <w:tc>
                <w:tcPr>
                  <w:tcW w:w="1076" w:type="dxa"/>
                  <w:tcBorders>
                    <w:tl2br w:val="nil"/>
                    <w:tr2bl w:val="nil"/>
                  </w:tcBorders>
                  <w:tcMar>
                    <w:top w:w="0" w:type="dxa"/>
                    <w:left w:w="57" w:type="dxa"/>
                    <w:bottom w:w="0" w:type="dxa"/>
                    <w:right w:w="57" w:type="dxa"/>
                  </w:tcMar>
                  <w:vAlign w:val="center"/>
                </w:tcPr>
                <w:p w14:paraId="6B6D83D5">
                  <w:pPr>
                    <w:jc w:val="center"/>
                    <w:rPr>
                      <w:color w:val="auto"/>
                    </w:rPr>
                  </w:pPr>
                  <w:r>
                    <w:rPr>
                      <w:color w:val="auto"/>
                    </w:rPr>
                    <w:t>45</w:t>
                  </w:r>
                </w:p>
              </w:tc>
              <w:tc>
                <w:tcPr>
                  <w:tcW w:w="988" w:type="dxa"/>
                  <w:tcBorders>
                    <w:tl2br w:val="nil"/>
                    <w:tr2bl w:val="nil"/>
                  </w:tcBorders>
                  <w:tcMar>
                    <w:top w:w="0" w:type="dxa"/>
                    <w:left w:w="57" w:type="dxa"/>
                    <w:bottom w:w="0" w:type="dxa"/>
                    <w:right w:w="57" w:type="dxa"/>
                  </w:tcMar>
                  <w:vAlign w:val="center"/>
                </w:tcPr>
                <w:p w14:paraId="2EC66778">
                  <w:pPr>
                    <w:jc w:val="center"/>
                    <w:rPr>
                      <w:color w:val="auto"/>
                    </w:rPr>
                  </w:pPr>
                  <w:r>
                    <w:rPr>
                      <w:rFonts w:hint="eastAsia"/>
                      <w:color w:val="auto"/>
                    </w:rPr>
                    <w:t>0.28</w:t>
                  </w:r>
                </w:p>
              </w:tc>
              <w:tc>
                <w:tcPr>
                  <w:tcW w:w="585" w:type="dxa"/>
                  <w:vMerge w:val="continue"/>
                  <w:tcBorders>
                    <w:tl2br w:val="nil"/>
                    <w:tr2bl w:val="nil"/>
                  </w:tcBorders>
                  <w:tcMar>
                    <w:top w:w="0" w:type="dxa"/>
                    <w:left w:w="57" w:type="dxa"/>
                    <w:bottom w:w="0" w:type="dxa"/>
                    <w:right w:w="57" w:type="dxa"/>
                  </w:tcMar>
                  <w:vAlign w:val="center"/>
                </w:tcPr>
                <w:p w14:paraId="17BA744F">
                  <w:pPr>
                    <w:jc w:val="center"/>
                    <w:rPr>
                      <w:color w:val="auto"/>
                    </w:rPr>
                  </w:pPr>
                </w:p>
              </w:tc>
              <w:tc>
                <w:tcPr>
                  <w:tcW w:w="455" w:type="dxa"/>
                  <w:tcBorders>
                    <w:tl2br w:val="nil"/>
                    <w:tr2bl w:val="nil"/>
                  </w:tcBorders>
                  <w:tcMar>
                    <w:top w:w="0" w:type="dxa"/>
                    <w:left w:w="57" w:type="dxa"/>
                    <w:bottom w:w="0" w:type="dxa"/>
                    <w:right w:w="57" w:type="dxa"/>
                  </w:tcMar>
                  <w:vAlign w:val="center"/>
                </w:tcPr>
                <w:p w14:paraId="2403AB25">
                  <w:pPr>
                    <w:jc w:val="center"/>
                    <w:rPr>
                      <w:color w:val="auto"/>
                    </w:rPr>
                  </w:pPr>
                  <w:r>
                    <w:rPr>
                      <w:color w:val="auto"/>
                    </w:rPr>
                    <w:t>/</w:t>
                  </w:r>
                </w:p>
              </w:tc>
              <w:tc>
                <w:tcPr>
                  <w:tcW w:w="1140" w:type="dxa"/>
                  <w:vMerge w:val="continue"/>
                  <w:tcBorders>
                    <w:tl2br w:val="nil"/>
                    <w:tr2bl w:val="nil"/>
                  </w:tcBorders>
                  <w:tcMar>
                    <w:top w:w="0" w:type="dxa"/>
                    <w:left w:w="57" w:type="dxa"/>
                    <w:bottom w:w="0" w:type="dxa"/>
                    <w:right w:w="57" w:type="dxa"/>
                  </w:tcMar>
                  <w:vAlign w:val="center"/>
                </w:tcPr>
                <w:p w14:paraId="34F5366E">
                  <w:pPr>
                    <w:jc w:val="center"/>
                    <w:rPr>
                      <w:color w:val="auto"/>
                    </w:rPr>
                  </w:pPr>
                </w:p>
              </w:tc>
              <w:tc>
                <w:tcPr>
                  <w:tcW w:w="1076" w:type="dxa"/>
                  <w:tcBorders>
                    <w:tl2br w:val="nil"/>
                    <w:tr2bl w:val="nil"/>
                  </w:tcBorders>
                  <w:tcMar>
                    <w:top w:w="0" w:type="dxa"/>
                    <w:left w:w="57" w:type="dxa"/>
                    <w:bottom w:w="0" w:type="dxa"/>
                    <w:right w:w="57" w:type="dxa"/>
                  </w:tcMar>
                  <w:vAlign w:val="center"/>
                </w:tcPr>
                <w:p w14:paraId="4CDE16E9">
                  <w:pPr>
                    <w:jc w:val="center"/>
                    <w:rPr>
                      <w:color w:val="auto"/>
                    </w:rPr>
                  </w:pPr>
                  <w:r>
                    <w:rPr>
                      <w:color w:val="auto"/>
                    </w:rPr>
                    <w:t>45</w:t>
                  </w:r>
                </w:p>
              </w:tc>
              <w:tc>
                <w:tcPr>
                  <w:tcW w:w="988" w:type="dxa"/>
                  <w:tcBorders>
                    <w:tl2br w:val="nil"/>
                    <w:tr2bl w:val="nil"/>
                  </w:tcBorders>
                  <w:tcMar>
                    <w:top w:w="0" w:type="dxa"/>
                    <w:left w:w="57" w:type="dxa"/>
                    <w:bottom w:w="0" w:type="dxa"/>
                    <w:right w:w="57" w:type="dxa"/>
                  </w:tcMar>
                  <w:vAlign w:val="center"/>
                </w:tcPr>
                <w:p w14:paraId="1757E42F">
                  <w:pPr>
                    <w:jc w:val="center"/>
                    <w:rPr>
                      <w:color w:val="auto"/>
                    </w:rPr>
                  </w:pPr>
                  <w:r>
                    <w:rPr>
                      <w:rFonts w:hint="eastAsia"/>
                      <w:color w:val="auto"/>
                    </w:rPr>
                    <w:t>0.28</w:t>
                  </w:r>
                </w:p>
              </w:tc>
              <w:tc>
                <w:tcPr>
                  <w:tcW w:w="713" w:type="dxa"/>
                  <w:tcBorders>
                    <w:tl2br w:val="nil"/>
                    <w:tr2bl w:val="nil"/>
                  </w:tcBorders>
                  <w:tcMar>
                    <w:top w:w="0" w:type="dxa"/>
                    <w:left w:w="57" w:type="dxa"/>
                    <w:bottom w:w="0" w:type="dxa"/>
                    <w:right w:w="57" w:type="dxa"/>
                  </w:tcMar>
                  <w:vAlign w:val="center"/>
                </w:tcPr>
                <w:p w14:paraId="113A710C">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5011029D">
                  <w:pPr>
                    <w:jc w:val="center"/>
                    <w:rPr>
                      <w:color w:val="auto"/>
                    </w:rPr>
                  </w:pPr>
                  <w:r>
                    <w:rPr>
                      <w:rFonts w:hint="eastAsia"/>
                      <w:color w:val="auto"/>
                      <w:lang w:val="en-US" w:eastAsia="zh-CN"/>
                    </w:rPr>
                    <w:t>/</w:t>
                  </w:r>
                </w:p>
              </w:tc>
              <w:tc>
                <w:tcPr>
                  <w:tcW w:w="1102" w:type="dxa"/>
                  <w:vMerge w:val="continue"/>
                  <w:tcBorders>
                    <w:tl2br w:val="nil"/>
                    <w:tr2bl w:val="nil"/>
                  </w:tcBorders>
                  <w:tcMar>
                    <w:top w:w="0" w:type="dxa"/>
                    <w:left w:w="57" w:type="dxa"/>
                    <w:bottom w:w="0" w:type="dxa"/>
                    <w:right w:w="57" w:type="dxa"/>
                  </w:tcMar>
                  <w:vAlign w:val="center"/>
                </w:tcPr>
                <w:p w14:paraId="6E8F1BCD">
                  <w:pPr>
                    <w:jc w:val="center"/>
                    <w:rPr>
                      <w:color w:val="auto"/>
                    </w:rPr>
                  </w:pPr>
                </w:p>
              </w:tc>
              <w:tc>
                <w:tcPr>
                  <w:tcW w:w="1948" w:type="dxa"/>
                  <w:vMerge w:val="continue"/>
                  <w:tcBorders>
                    <w:tl2br w:val="nil"/>
                    <w:tr2bl w:val="nil"/>
                  </w:tcBorders>
                  <w:tcMar>
                    <w:top w:w="0" w:type="dxa"/>
                    <w:left w:w="57" w:type="dxa"/>
                    <w:bottom w:w="0" w:type="dxa"/>
                    <w:right w:w="57" w:type="dxa"/>
                  </w:tcMar>
                  <w:vAlign w:val="center"/>
                </w:tcPr>
                <w:p w14:paraId="41EC110F">
                  <w:pPr>
                    <w:jc w:val="center"/>
                    <w:rPr>
                      <w:color w:val="auto"/>
                    </w:rPr>
                  </w:pPr>
                </w:p>
              </w:tc>
            </w:tr>
            <w:tr w14:paraId="2A16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4F03FE99">
                  <w:pPr>
                    <w:jc w:val="center"/>
                    <w:rPr>
                      <w:color w:val="auto"/>
                    </w:rPr>
                  </w:pPr>
                </w:p>
              </w:tc>
              <w:tc>
                <w:tcPr>
                  <w:tcW w:w="822" w:type="dxa"/>
                  <w:tcBorders>
                    <w:tl2br w:val="nil"/>
                    <w:tr2bl w:val="nil"/>
                  </w:tcBorders>
                  <w:tcMar>
                    <w:top w:w="0" w:type="dxa"/>
                    <w:left w:w="57" w:type="dxa"/>
                    <w:bottom w:w="0" w:type="dxa"/>
                    <w:right w:w="57" w:type="dxa"/>
                  </w:tcMar>
                  <w:vAlign w:val="center"/>
                </w:tcPr>
                <w:p w14:paraId="583A232C">
                  <w:pPr>
                    <w:jc w:val="center"/>
                    <w:rPr>
                      <w:color w:val="auto"/>
                    </w:rPr>
                  </w:pPr>
                  <w:r>
                    <w:rPr>
                      <w:color w:val="auto"/>
                    </w:rPr>
                    <w:t>TN</w:t>
                  </w:r>
                </w:p>
              </w:tc>
              <w:tc>
                <w:tcPr>
                  <w:tcW w:w="1140" w:type="dxa"/>
                  <w:vMerge w:val="continue"/>
                  <w:tcBorders>
                    <w:tl2br w:val="nil"/>
                    <w:tr2bl w:val="nil"/>
                  </w:tcBorders>
                  <w:tcMar>
                    <w:top w:w="0" w:type="dxa"/>
                    <w:left w:w="57" w:type="dxa"/>
                    <w:bottom w:w="0" w:type="dxa"/>
                    <w:right w:w="57" w:type="dxa"/>
                  </w:tcMar>
                  <w:vAlign w:val="center"/>
                </w:tcPr>
                <w:p w14:paraId="03685647">
                  <w:pPr>
                    <w:jc w:val="center"/>
                    <w:rPr>
                      <w:color w:val="auto"/>
                    </w:rPr>
                  </w:pPr>
                </w:p>
              </w:tc>
              <w:tc>
                <w:tcPr>
                  <w:tcW w:w="1076" w:type="dxa"/>
                  <w:tcBorders>
                    <w:tl2br w:val="nil"/>
                    <w:tr2bl w:val="nil"/>
                  </w:tcBorders>
                  <w:tcMar>
                    <w:top w:w="0" w:type="dxa"/>
                    <w:left w:w="57" w:type="dxa"/>
                    <w:bottom w:w="0" w:type="dxa"/>
                    <w:right w:w="57" w:type="dxa"/>
                  </w:tcMar>
                  <w:vAlign w:val="center"/>
                </w:tcPr>
                <w:p w14:paraId="5E5E0AC4">
                  <w:pPr>
                    <w:jc w:val="center"/>
                    <w:rPr>
                      <w:color w:val="auto"/>
                    </w:rPr>
                  </w:pPr>
                  <w:r>
                    <w:rPr>
                      <w:color w:val="auto"/>
                    </w:rPr>
                    <w:t>70</w:t>
                  </w:r>
                </w:p>
              </w:tc>
              <w:tc>
                <w:tcPr>
                  <w:tcW w:w="988" w:type="dxa"/>
                  <w:tcBorders>
                    <w:tl2br w:val="nil"/>
                    <w:tr2bl w:val="nil"/>
                  </w:tcBorders>
                  <w:tcMar>
                    <w:top w:w="0" w:type="dxa"/>
                    <w:left w:w="57" w:type="dxa"/>
                    <w:bottom w:w="0" w:type="dxa"/>
                    <w:right w:w="57" w:type="dxa"/>
                  </w:tcMar>
                  <w:vAlign w:val="center"/>
                </w:tcPr>
                <w:p w14:paraId="00D0C27E">
                  <w:pPr>
                    <w:jc w:val="center"/>
                    <w:rPr>
                      <w:color w:val="auto"/>
                    </w:rPr>
                  </w:pPr>
                  <w:r>
                    <w:rPr>
                      <w:rFonts w:hint="eastAsia"/>
                      <w:color w:val="auto"/>
                    </w:rPr>
                    <w:t>0.44</w:t>
                  </w:r>
                </w:p>
              </w:tc>
              <w:tc>
                <w:tcPr>
                  <w:tcW w:w="585" w:type="dxa"/>
                  <w:vMerge w:val="continue"/>
                  <w:tcBorders>
                    <w:tl2br w:val="nil"/>
                    <w:tr2bl w:val="nil"/>
                  </w:tcBorders>
                  <w:tcMar>
                    <w:top w:w="0" w:type="dxa"/>
                    <w:left w:w="57" w:type="dxa"/>
                    <w:bottom w:w="0" w:type="dxa"/>
                    <w:right w:w="57" w:type="dxa"/>
                  </w:tcMar>
                  <w:vAlign w:val="center"/>
                </w:tcPr>
                <w:p w14:paraId="33DAD45D">
                  <w:pPr>
                    <w:jc w:val="center"/>
                    <w:rPr>
                      <w:color w:val="auto"/>
                    </w:rPr>
                  </w:pPr>
                </w:p>
              </w:tc>
              <w:tc>
                <w:tcPr>
                  <w:tcW w:w="455" w:type="dxa"/>
                  <w:tcBorders>
                    <w:tl2br w:val="nil"/>
                    <w:tr2bl w:val="nil"/>
                  </w:tcBorders>
                  <w:tcMar>
                    <w:top w:w="0" w:type="dxa"/>
                    <w:left w:w="57" w:type="dxa"/>
                    <w:bottom w:w="0" w:type="dxa"/>
                    <w:right w:w="57" w:type="dxa"/>
                  </w:tcMar>
                  <w:vAlign w:val="center"/>
                </w:tcPr>
                <w:p w14:paraId="78A63F29">
                  <w:pPr>
                    <w:jc w:val="center"/>
                    <w:rPr>
                      <w:color w:val="auto"/>
                    </w:rPr>
                  </w:pPr>
                  <w:r>
                    <w:rPr>
                      <w:color w:val="auto"/>
                    </w:rPr>
                    <w:t>/</w:t>
                  </w:r>
                </w:p>
              </w:tc>
              <w:tc>
                <w:tcPr>
                  <w:tcW w:w="1140" w:type="dxa"/>
                  <w:vMerge w:val="continue"/>
                  <w:tcBorders>
                    <w:tl2br w:val="nil"/>
                    <w:tr2bl w:val="nil"/>
                  </w:tcBorders>
                  <w:tcMar>
                    <w:top w:w="0" w:type="dxa"/>
                    <w:left w:w="57" w:type="dxa"/>
                    <w:bottom w:w="0" w:type="dxa"/>
                    <w:right w:w="57" w:type="dxa"/>
                  </w:tcMar>
                  <w:vAlign w:val="center"/>
                </w:tcPr>
                <w:p w14:paraId="76395A1C">
                  <w:pPr>
                    <w:jc w:val="center"/>
                    <w:rPr>
                      <w:color w:val="auto"/>
                    </w:rPr>
                  </w:pPr>
                </w:p>
              </w:tc>
              <w:tc>
                <w:tcPr>
                  <w:tcW w:w="1076" w:type="dxa"/>
                  <w:tcBorders>
                    <w:tl2br w:val="nil"/>
                    <w:tr2bl w:val="nil"/>
                  </w:tcBorders>
                  <w:tcMar>
                    <w:top w:w="0" w:type="dxa"/>
                    <w:left w:w="57" w:type="dxa"/>
                    <w:bottom w:w="0" w:type="dxa"/>
                    <w:right w:w="57" w:type="dxa"/>
                  </w:tcMar>
                  <w:vAlign w:val="center"/>
                </w:tcPr>
                <w:p w14:paraId="2737B014">
                  <w:pPr>
                    <w:jc w:val="center"/>
                    <w:rPr>
                      <w:color w:val="auto"/>
                    </w:rPr>
                  </w:pPr>
                  <w:r>
                    <w:rPr>
                      <w:color w:val="auto"/>
                    </w:rPr>
                    <w:t>70</w:t>
                  </w:r>
                </w:p>
              </w:tc>
              <w:tc>
                <w:tcPr>
                  <w:tcW w:w="988" w:type="dxa"/>
                  <w:tcBorders>
                    <w:tl2br w:val="nil"/>
                    <w:tr2bl w:val="nil"/>
                  </w:tcBorders>
                  <w:tcMar>
                    <w:top w:w="0" w:type="dxa"/>
                    <w:left w:w="57" w:type="dxa"/>
                    <w:bottom w:w="0" w:type="dxa"/>
                    <w:right w:w="57" w:type="dxa"/>
                  </w:tcMar>
                  <w:vAlign w:val="center"/>
                </w:tcPr>
                <w:p w14:paraId="409DD568">
                  <w:pPr>
                    <w:jc w:val="center"/>
                    <w:rPr>
                      <w:color w:val="auto"/>
                    </w:rPr>
                  </w:pPr>
                  <w:r>
                    <w:rPr>
                      <w:rFonts w:hint="eastAsia"/>
                      <w:color w:val="auto"/>
                    </w:rPr>
                    <w:t>0.44</w:t>
                  </w:r>
                </w:p>
              </w:tc>
              <w:tc>
                <w:tcPr>
                  <w:tcW w:w="713" w:type="dxa"/>
                  <w:tcBorders>
                    <w:tl2br w:val="nil"/>
                    <w:tr2bl w:val="nil"/>
                  </w:tcBorders>
                  <w:tcMar>
                    <w:top w:w="0" w:type="dxa"/>
                    <w:left w:w="57" w:type="dxa"/>
                    <w:bottom w:w="0" w:type="dxa"/>
                    <w:right w:w="57" w:type="dxa"/>
                  </w:tcMar>
                  <w:vAlign w:val="center"/>
                </w:tcPr>
                <w:p w14:paraId="2992644A">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2757CDC9">
                  <w:pPr>
                    <w:jc w:val="center"/>
                    <w:rPr>
                      <w:color w:val="auto"/>
                    </w:rPr>
                  </w:pPr>
                  <w:r>
                    <w:rPr>
                      <w:rFonts w:hint="eastAsia"/>
                      <w:color w:val="auto"/>
                      <w:lang w:val="en-US" w:eastAsia="zh-CN"/>
                    </w:rPr>
                    <w:t>/</w:t>
                  </w:r>
                </w:p>
              </w:tc>
              <w:tc>
                <w:tcPr>
                  <w:tcW w:w="1102" w:type="dxa"/>
                  <w:vMerge w:val="continue"/>
                  <w:tcBorders>
                    <w:tl2br w:val="nil"/>
                    <w:tr2bl w:val="nil"/>
                  </w:tcBorders>
                  <w:tcMar>
                    <w:top w:w="0" w:type="dxa"/>
                    <w:left w:w="57" w:type="dxa"/>
                    <w:bottom w:w="0" w:type="dxa"/>
                    <w:right w:w="57" w:type="dxa"/>
                  </w:tcMar>
                  <w:vAlign w:val="center"/>
                </w:tcPr>
                <w:p w14:paraId="7F9C32AF">
                  <w:pPr>
                    <w:jc w:val="center"/>
                    <w:rPr>
                      <w:color w:val="auto"/>
                    </w:rPr>
                  </w:pPr>
                </w:p>
              </w:tc>
              <w:tc>
                <w:tcPr>
                  <w:tcW w:w="1948" w:type="dxa"/>
                  <w:vMerge w:val="continue"/>
                  <w:tcBorders>
                    <w:tl2br w:val="nil"/>
                    <w:tr2bl w:val="nil"/>
                  </w:tcBorders>
                  <w:tcMar>
                    <w:top w:w="0" w:type="dxa"/>
                    <w:left w:w="57" w:type="dxa"/>
                    <w:bottom w:w="0" w:type="dxa"/>
                    <w:right w:w="57" w:type="dxa"/>
                  </w:tcMar>
                  <w:vAlign w:val="center"/>
                </w:tcPr>
                <w:p w14:paraId="497F7A79">
                  <w:pPr>
                    <w:jc w:val="center"/>
                    <w:rPr>
                      <w:color w:val="auto"/>
                    </w:rPr>
                  </w:pPr>
                </w:p>
              </w:tc>
            </w:tr>
            <w:tr w14:paraId="36C4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2DD3A104">
                  <w:pPr>
                    <w:jc w:val="center"/>
                    <w:rPr>
                      <w:color w:val="auto"/>
                    </w:rPr>
                  </w:pPr>
                </w:p>
              </w:tc>
              <w:tc>
                <w:tcPr>
                  <w:tcW w:w="822" w:type="dxa"/>
                  <w:tcBorders>
                    <w:tl2br w:val="nil"/>
                    <w:tr2bl w:val="nil"/>
                  </w:tcBorders>
                  <w:tcMar>
                    <w:top w:w="0" w:type="dxa"/>
                    <w:left w:w="57" w:type="dxa"/>
                    <w:bottom w:w="0" w:type="dxa"/>
                    <w:right w:w="57" w:type="dxa"/>
                  </w:tcMar>
                  <w:vAlign w:val="center"/>
                </w:tcPr>
                <w:p w14:paraId="4C345BA0">
                  <w:pPr>
                    <w:jc w:val="center"/>
                    <w:rPr>
                      <w:color w:val="auto"/>
                    </w:rPr>
                  </w:pPr>
                  <w:r>
                    <w:rPr>
                      <w:color w:val="auto"/>
                    </w:rPr>
                    <w:t>TP</w:t>
                  </w:r>
                </w:p>
              </w:tc>
              <w:tc>
                <w:tcPr>
                  <w:tcW w:w="1140" w:type="dxa"/>
                  <w:vMerge w:val="continue"/>
                  <w:tcBorders>
                    <w:tl2br w:val="nil"/>
                    <w:tr2bl w:val="nil"/>
                  </w:tcBorders>
                  <w:tcMar>
                    <w:top w:w="0" w:type="dxa"/>
                    <w:left w:w="57" w:type="dxa"/>
                    <w:bottom w:w="0" w:type="dxa"/>
                    <w:right w:w="57" w:type="dxa"/>
                  </w:tcMar>
                  <w:vAlign w:val="center"/>
                </w:tcPr>
                <w:p w14:paraId="4BC17B51">
                  <w:pPr>
                    <w:jc w:val="center"/>
                    <w:rPr>
                      <w:color w:val="auto"/>
                    </w:rPr>
                  </w:pPr>
                </w:p>
              </w:tc>
              <w:tc>
                <w:tcPr>
                  <w:tcW w:w="1076" w:type="dxa"/>
                  <w:tcBorders>
                    <w:tl2br w:val="nil"/>
                    <w:tr2bl w:val="nil"/>
                  </w:tcBorders>
                  <w:tcMar>
                    <w:top w:w="0" w:type="dxa"/>
                    <w:left w:w="57" w:type="dxa"/>
                    <w:bottom w:w="0" w:type="dxa"/>
                    <w:right w:w="57" w:type="dxa"/>
                  </w:tcMar>
                  <w:vAlign w:val="center"/>
                </w:tcPr>
                <w:p w14:paraId="1AE8AE13">
                  <w:pPr>
                    <w:jc w:val="center"/>
                    <w:rPr>
                      <w:color w:val="auto"/>
                    </w:rPr>
                  </w:pPr>
                  <w:r>
                    <w:rPr>
                      <w:color w:val="auto"/>
                    </w:rPr>
                    <w:t>8</w:t>
                  </w:r>
                </w:p>
              </w:tc>
              <w:tc>
                <w:tcPr>
                  <w:tcW w:w="988" w:type="dxa"/>
                  <w:tcBorders>
                    <w:tl2br w:val="nil"/>
                    <w:tr2bl w:val="nil"/>
                  </w:tcBorders>
                  <w:tcMar>
                    <w:top w:w="0" w:type="dxa"/>
                    <w:left w:w="57" w:type="dxa"/>
                    <w:bottom w:w="0" w:type="dxa"/>
                    <w:right w:w="57" w:type="dxa"/>
                  </w:tcMar>
                  <w:vAlign w:val="center"/>
                </w:tcPr>
                <w:p w14:paraId="552414C5">
                  <w:pPr>
                    <w:jc w:val="center"/>
                    <w:rPr>
                      <w:color w:val="auto"/>
                    </w:rPr>
                  </w:pPr>
                  <w:r>
                    <w:rPr>
                      <w:rFonts w:hint="eastAsia"/>
                      <w:color w:val="auto"/>
                    </w:rPr>
                    <w:t>0.05</w:t>
                  </w:r>
                </w:p>
              </w:tc>
              <w:tc>
                <w:tcPr>
                  <w:tcW w:w="585" w:type="dxa"/>
                  <w:vMerge w:val="continue"/>
                  <w:tcBorders>
                    <w:tl2br w:val="nil"/>
                    <w:tr2bl w:val="nil"/>
                  </w:tcBorders>
                  <w:tcMar>
                    <w:top w:w="0" w:type="dxa"/>
                    <w:left w:w="57" w:type="dxa"/>
                    <w:bottom w:w="0" w:type="dxa"/>
                    <w:right w:w="57" w:type="dxa"/>
                  </w:tcMar>
                  <w:vAlign w:val="center"/>
                </w:tcPr>
                <w:p w14:paraId="3DF5389B">
                  <w:pPr>
                    <w:jc w:val="center"/>
                    <w:rPr>
                      <w:color w:val="auto"/>
                    </w:rPr>
                  </w:pPr>
                </w:p>
              </w:tc>
              <w:tc>
                <w:tcPr>
                  <w:tcW w:w="455" w:type="dxa"/>
                  <w:tcBorders>
                    <w:tl2br w:val="nil"/>
                    <w:tr2bl w:val="nil"/>
                  </w:tcBorders>
                  <w:tcMar>
                    <w:top w:w="0" w:type="dxa"/>
                    <w:left w:w="57" w:type="dxa"/>
                    <w:bottom w:w="0" w:type="dxa"/>
                    <w:right w:w="57" w:type="dxa"/>
                  </w:tcMar>
                  <w:vAlign w:val="center"/>
                </w:tcPr>
                <w:p w14:paraId="3623685C">
                  <w:pPr>
                    <w:jc w:val="center"/>
                    <w:rPr>
                      <w:color w:val="auto"/>
                    </w:rPr>
                  </w:pPr>
                  <w:r>
                    <w:rPr>
                      <w:color w:val="auto"/>
                    </w:rPr>
                    <w:t>/</w:t>
                  </w:r>
                </w:p>
              </w:tc>
              <w:tc>
                <w:tcPr>
                  <w:tcW w:w="1140" w:type="dxa"/>
                  <w:vMerge w:val="continue"/>
                  <w:tcBorders>
                    <w:tl2br w:val="nil"/>
                    <w:tr2bl w:val="nil"/>
                  </w:tcBorders>
                  <w:tcMar>
                    <w:top w:w="0" w:type="dxa"/>
                    <w:left w:w="57" w:type="dxa"/>
                    <w:bottom w:w="0" w:type="dxa"/>
                    <w:right w:w="57" w:type="dxa"/>
                  </w:tcMar>
                  <w:vAlign w:val="center"/>
                </w:tcPr>
                <w:p w14:paraId="0B3BB097">
                  <w:pPr>
                    <w:jc w:val="center"/>
                    <w:rPr>
                      <w:color w:val="auto"/>
                    </w:rPr>
                  </w:pPr>
                </w:p>
              </w:tc>
              <w:tc>
                <w:tcPr>
                  <w:tcW w:w="1076" w:type="dxa"/>
                  <w:tcBorders>
                    <w:tl2br w:val="nil"/>
                    <w:tr2bl w:val="nil"/>
                  </w:tcBorders>
                  <w:tcMar>
                    <w:top w:w="0" w:type="dxa"/>
                    <w:left w:w="57" w:type="dxa"/>
                    <w:bottom w:w="0" w:type="dxa"/>
                    <w:right w:w="57" w:type="dxa"/>
                  </w:tcMar>
                  <w:vAlign w:val="center"/>
                </w:tcPr>
                <w:p w14:paraId="00B77B9F">
                  <w:pPr>
                    <w:jc w:val="center"/>
                    <w:rPr>
                      <w:color w:val="auto"/>
                    </w:rPr>
                  </w:pPr>
                  <w:r>
                    <w:rPr>
                      <w:color w:val="auto"/>
                    </w:rPr>
                    <w:t>8</w:t>
                  </w:r>
                </w:p>
              </w:tc>
              <w:tc>
                <w:tcPr>
                  <w:tcW w:w="988" w:type="dxa"/>
                  <w:tcBorders>
                    <w:tl2br w:val="nil"/>
                    <w:tr2bl w:val="nil"/>
                  </w:tcBorders>
                  <w:tcMar>
                    <w:top w:w="0" w:type="dxa"/>
                    <w:left w:w="57" w:type="dxa"/>
                    <w:bottom w:w="0" w:type="dxa"/>
                    <w:right w:w="57" w:type="dxa"/>
                  </w:tcMar>
                  <w:vAlign w:val="center"/>
                </w:tcPr>
                <w:p w14:paraId="72A71160">
                  <w:pPr>
                    <w:jc w:val="center"/>
                    <w:rPr>
                      <w:color w:val="auto"/>
                    </w:rPr>
                  </w:pPr>
                  <w:r>
                    <w:rPr>
                      <w:rFonts w:hint="eastAsia"/>
                      <w:color w:val="auto"/>
                    </w:rPr>
                    <w:t>0.05</w:t>
                  </w:r>
                </w:p>
              </w:tc>
              <w:tc>
                <w:tcPr>
                  <w:tcW w:w="713" w:type="dxa"/>
                  <w:tcBorders>
                    <w:tl2br w:val="nil"/>
                    <w:tr2bl w:val="nil"/>
                  </w:tcBorders>
                  <w:tcMar>
                    <w:top w:w="0" w:type="dxa"/>
                    <w:left w:w="57" w:type="dxa"/>
                    <w:bottom w:w="0" w:type="dxa"/>
                    <w:right w:w="57" w:type="dxa"/>
                  </w:tcMar>
                  <w:vAlign w:val="center"/>
                </w:tcPr>
                <w:p w14:paraId="3C2C787B">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2DA32BDA">
                  <w:pPr>
                    <w:jc w:val="center"/>
                    <w:rPr>
                      <w:color w:val="auto"/>
                    </w:rPr>
                  </w:pPr>
                  <w:r>
                    <w:rPr>
                      <w:rFonts w:hint="eastAsia"/>
                      <w:color w:val="auto"/>
                      <w:lang w:val="en-US" w:eastAsia="zh-CN"/>
                    </w:rPr>
                    <w:t>/</w:t>
                  </w:r>
                </w:p>
              </w:tc>
              <w:tc>
                <w:tcPr>
                  <w:tcW w:w="1102" w:type="dxa"/>
                  <w:vMerge w:val="continue"/>
                  <w:tcBorders>
                    <w:tl2br w:val="nil"/>
                    <w:tr2bl w:val="nil"/>
                  </w:tcBorders>
                  <w:tcMar>
                    <w:top w:w="0" w:type="dxa"/>
                    <w:left w:w="57" w:type="dxa"/>
                    <w:bottom w:w="0" w:type="dxa"/>
                    <w:right w:w="57" w:type="dxa"/>
                  </w:tcMar>
                  <w:vAlign w:val="center"/>
                </w:tcPr>
                <w:p w14:paraId="56BCA234">
                  <w:pPr>
                    <w:jc w:val="center"/>
                    <w:rPr>
                      <w:color w:val="auto"/>
                    </w:rPr>
                  </w:pPr>
                </w:p>
              </w:tc>
              <w:tc>
                <w:tcPr>
                  <w:tcW w:w="1948" w:type="dxa"/>
                  <w:vMerge w:val="continue"/>
                  <w:tcBorders>
                    <w:tl2br w:val="nil"/>
                    <w:tr2bl w:val="nil"/>
                  </w:tcBorders>
                  <w:tcMar>
                    <w:top w:w="0" w:type="dxa"/>
                    <w:left w:w="57" w:type="dxa"/>
                    <w:bottom w:w="0" w:type="dxa"/>
                    <w:right w:w="57" w:type="dxa"/>
                  </w:tcMar>
                  <w:vAlign w:val="center"/>
                </w:tcPr>
                <w:p w14:paraId="00DBDC73">
                  <w:pPr>
                    <w:jc w:val="center"/>
                    <w:rPr>
                      <w:color w:val="auto"/>
                    </w:rPr>
                  </w:pPr>
                </w:p>
              </w:tc>
            </w:tr>
            <w:tr w14:paraId="57CD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restart"/>
                  <w:tcBorders>
                    <w:tl2br w:val="nil"/>
                    <w:tr2bl w:val="nil"/>
                  </w:tcBorders>
                  <w:tcMar>
                    <w:top w:w="0" w:type="dxa"/>
                    <w:left w:w="57" w:type="dxa"/>
                    <w:bottom w:w="0" w:type="dxa"/>
                    <w:right w:w="57" w:type="dxa"/>
                  </w:tcMar>
                  <w:vAlign w:val="center"/>
                </w:tcPr>
                <w:p w14:paraId="453CEECC">
                  <w:pPr>
                    <w:jc w:val="center"/>
                    <w:rPr>
                      <w:color w:val="auto"/>
                    </w:rPr>
                  </w:pPr>
                  <w:r>
                    <w:rPr>
                      <w:color w:val="auto"/>
                    </w:rPr>
                    <w:t>食堂废水</w:t>
                  </w:r>
                </w:p>
              </w:tc>
              <w:tc>
                <w:tcPr>
                  <w:tcW w:w="822" w:type="dxa"/>
                  <w:tcBorders>
                    <w:tl2br w:val="nil"/>
                    <w:tr2bl w:val="nil"/>
                  </w:tcBorders>
                  <w:tcMar>
                    <w:top w:w="0" w:type="dxa"/>
                    <w:left w:w="57" w:type="dxa"/>
                    <w:bottom w:w="0" w:type="dxa"/>
                    <w:right w:w="57" w:type="dxa"/>
                  </w:tcMar>
                  <w:vAlign w:val="center"/>
                </w:tcPr>
                <w:p w14:paraId="1F5A6BC5">
                  <w:pPr>
                    <w:jc w:val="center"/>
                    <w:rPr>
                      <w:color w:val="auto"/>
                    </w:rPr>
                  </w:pPr>
                  <w:r>
                    <w:rPr>
                      <w:color w:val="auto"/>
                    </w:rPr>
                    <w:t>COD</w:t>
                  </w:r>
                </w:p>
              </w:tc>
              <w:tc>
                <w:tcPr>
                  <w:tcW w:w="1140" w:type="dxa"/>
                  <w:vMerge w:val="restart"/>
                  <w:tcBorders>
                    <w:tl2br w:val="nil"/>
                    <w:tr2bl w:val="nil"/>
                  </w:tcBorders>
                  <w:tcMar>
                    <w:top w:w="0" w:type="dxa"/>
                    <w:left w:w="57" w:type="dxa"/>
                    <w:bottom w:w="0" w:type="dxa"/>
                    <w:right w:w="57" w:type="dxa"/>
                  </w:tcMar>
                  <w:vAlign w:val="center"/>
                </w:tcPr>
                <w:p w14:paraId="6286D120">
                  <w:pPr>
                    <w:jc w:val="center"/>
                    <w:rPr>
                      <w:color w:val="auto"/>
                    </w:rPr>
                  </w:pPr>
                  <w:r>
                    <w:rPr>
                      <w:rFonts w:hint="eastAsia"/>
                      <w:color w:val="auto"/>
                    </w:rPr>
                    <w:t>1248</w:t>
                  </w:r>
                </w:p>
              </w:tc>
              <w:tc>
                <w:tcPr>
                  <w:tcW w:w="1076" w:type="dxa"/>
                  <w:tcBorders>
                    <w:tl2br w:val="nil"/>
                    <w:tr2bl w:val="nil"/>
                  </w:tcBorders>
                  <w:tcMar>
                    <w:top w:w="0" w:type="dxa"/>
                    <w:left w:w="57" w:type="dxa"/>
                    <w:bottom w:w="0" w:type="dxa"/>
                    <w:right w:w="57" w:type="dxa"/>
                  </w:tcMar>
                  <w:vAlign w:val="center"/>
                </w:tcPr>
                <w:p w14:paraId="1C632A28">
                  <w:pPr>
                    <w:jc w:val="center"/>
                    <w:rPr>
                      <w:color w:val="auto"/>
                    </w:rPr>
                  </w:pPr>
                  <w:r>
                    <w:rPr>
                      <w:rFonts w:hint="eastAsia"/>
                      <w:color w:val="auto"/>
                      <w:lang w:val="en-US" w:eastAsia="zh-CN"/>
                    </w:rPr>
                    <w:t>5</w:t>
                  </w:r>
                  <w:r>
                    <w:rPr>
                      <w:color w:val="auto"/>
                    </w:rPr>
                    <w:t>00</w:t>
                  </w:r>
                </w:p>
              </w:tc>
              <w:tc>
                <w:tcPr>
                  <w:tcW w:w="988" w:type="dxa"/>
                  <w:tcBorders>
                    <w:tl2br w:val="nil"/>
                    <w:tr2bl w:val="nil"/>
                  </w:tcBorders>
                  <w:tcMar>
                    <w:top w:w="0" w:type="dxa"/>
                    <w:left w:w="57" w:type="dxa"/>
                    <w:bottom w:w="0" w:type="dxa"/>
                    <w:right w:w="57" w:type="dxa"/>
                  </w:tcMar>
                  <w:vAlign w:val="center"/>
                </w:tcPr>
                <w:p w14:paraId="0545165B">
                  <w:pPr>
                    <w:jc w:val="center"/>
                    <w:rPr>
                      <w:rFonts w:hint="default" w:eastAsia="宋体"/>
                      <w:color w:val="auto"/>
                      <w:lang w:val="en-US" w:eastAsia="zh-CN"/>
                    </w:rPr>
                  </w:pPr>
                  <w:r>
                    <w:rPr>
                      <w:rFonts w:hint="eastAsia"/>
                      <w:color w:val="auto"/>
                      <w:lang w:val="en-US" w:eastAsia="zh-CN"/>
                    </w:rPr>
                    <w:t>0.624</w:t>
                  </w:r>
                </w:p>
              </w:tc>
              <w:tc>
                <w:tcPr>
                  <w:tcW w:w="585" w:type="dxa"/>
                  <w:vMerge w:val="restart"/>
                  <w:tcBorders>
                    <w:tl2br w:val="nil"/>
                    <w:tr2bl w:val="nil"/>
                  </w:tcBorders>
                  <w:tcMar>
                    <w:top w:w="0" w:type="dxa"/>
                    <w:left w:w="57" w:type="dxa"/>
                    <w:bottom w:w="0" w:type="dxa"/>
                    <w:right w:w="57" w:type="dxa"/>
                  </w:tcMar>
                  <w:vAlign w:val="center"/>
                </w:tcPr>
                <w:p w14:paraId="7ACC17FF">
                  <w:pPr>
                    <w:jc w:val="center"/>
                    <w:rPr>
                      <w:color w:val="auto"/>
                    </w:rPr>
                  </w:pPr>
                  <w:r>
                    <w:rPr>
                      <w:color w:val="auto"/>
                    </w:rPr>
                    <w:t>隔油池</w:t>
                  </w:r>
                </w:p>
              </w:tc>
              <w:tc>
                <w:tcPr>
                  <w:tcW w:w="455" w:type="dxa"/>
                  <w:tcBorders>
                    <w:tl2br w:val="nil"/>
                    <w:tr2bl w:val="nil"/>
                  </w:tcBorders>
                  <w:tcMar>
                    <w:top w:w="0" w:type="dxa"/>
                    <w:left w:w="57" w:type="dxa"/>
                    <w:bottom w:w="0" w:type="dxa"/>
                    <w:right w:w="57" w:type="dxa"/>
                  </w:tcMar>
                  <w:vAlign w:val="center"/>
                </w:tcPr>
                <w:p w14:paraId="10F7535A">
                  <w:pPr>
                    <w:jc w:val="center"/>
                    <w:rPr>
                      <w:color w:val="auto"/>
                    </w:rPr>
                  </w:pPr>
                  <w:r>
                    <w:rPr>
                      <w:color w:val="auto"/>
                    </w:rPr>
                    <w:t>/</w:t>
                  </w:r>
                </w:p>
              </w:tc>
              <w:tc>
                <w:tcPr>
                  <w:tcW w:w="1140" w:type="dxa"/>
                  <w:vMerge w:val="restart"/>
                  <w:tcBorders>
                    <w:tl2br w:val="nil"/>
                    <w:tr2bl w:val="nil"/>
                  </w:tcBorders>
                  <w:tcMar>
                    <w:top w:w="0" w:type="dxa"/>
                    <w:left w:w="57" w:type="dxa"/>
                    <w:bottom w:w="0" w:type="dxa"/>
                    <w:right w:w="57" w:type="dxa"/>
                  </w:tcMar>
                  <w:vAlign w:val="center"/>
                </w:tcPr>
                <w:p w14:paraId="63D178A5">
                  <w:pPr>
                    <w:jc w:val="center"/>
                    <w:rPr>
                      <w:color w:val="auto"/>
                    </w:rPr>
                  </w:pPr>
                  <w:r>
                    <w:rPr>
                      <w:rFonts w:hint="eastAsia"/>
                      <w:color w:val="auto"/>
                    </w:rPr>
                    <w:t>1248</w:t>
                  </w:r>
                </w:p>
              </w:tc>
              <w:tc>
                <w:tcPr>
                  <w:tcW w:w="1076" w:type="dxa"/>
                  <w:tcBorders>
                    <w:tl2br w:val="nil"/>
                    <w:tr2bl w:val="nil"/>
                  </w:tcBorders>
                  <w:tcMar>
                    <w:top w:w="0" w:type="dxa"/>
                    <w:left w:w="57" w:type="dxa"/>
                    <w:bottom w:w="0" w:type="dxa"/>
                    <w:right w:w="57" w:type="dxa"/>
                  </w:tcMar>
                  <w:vAlign w:val="center"/>
                </w:tcPr>
                <w:p w14:paraId="0348623C">
                  <w:pPr>
                    <w:jc w:val="center"/>
                    <w:rPr>
                      <w:color w:val="auto"/>
                    </w:rPr>
                  </w:pPr>
                  <w:r>
                    <w:rPr>
                      <w:rFonts w:hint="eastAsia"/>
                      <w:color w:val="auto"/>
                      <w:lang w:val="en-US" w:eastAsia="zh-CN"/>
                    </w:rPr>
                    <w:t>5</w:t>
                  </w:r>
                  <w:r>
                    <w:rPr>
                      <w:color w:val="auto"/>
                    </w:rPr>
                    <w:t>00</w:t>
                  </w:r>
                </w:p>
              </w:tc>
              <w:tc>
                <w:tcPr>
                  <w:tcW w:w="988" w:type="dxa"/>
                  <w:tcBorders>
                    <w:tl2br w:val="nil"/>
                    <w:tr2bl w:val="nil"/>
                  </w:tcBorders>
                  <w:tcMar>
                    <w:top w:w="0" w:type="dxa"/>
                    <w:left w:w="57" w:type="dxa"/>
                    <w:bottom w:w="0" w:type="dxa"/>
                    <w:right w:w="57" w:type="dxa"/>
                  </w:tcMar>
                  <w:vAlign w:val="center"/>
                </w:tcPr>
                <w:p w14:paraId="011AF156">
                  <w:pPr>
                    <w:jc w:val="center"/>
                    <w:rPr>
                      <w:rFonts w:hint="default" w:eastAsia="宋体"/>
                      <w:color w:val="auto"/>
                      <w:lang w:val="en-US" w:eastAsia="zh-CN"/>
                    </w:rPr>
                  </w:pPr>
                  <w:r>
                    <w:rPr>
                      <w:rFonts w:hint="eastAsia"/>
                      <w:color w:val="auto"/>
                      <w:lang w:val="en-US" w:eastAsia="zh-CN"/>
                    </w:rPr>
                    <w:t>0.624</w:t>
                  </w:r>
                </w:p>
              </w:tc>
              <w:tc>
                <w:tcPr>
                  <w:tcW w:w="713" w:type="dxa"/>
                  <w:tcBorders>
                    <w:tl2br w:val="nil"/>
                    <w:tr2bl w:val="nil"/>
                  </w:tcBorders>
                  <w:tcMar>
                    <w:top w:w="0" w:type="dxa"/>
                    <w:left w:w="57" w:type="dxa"/>
                    <w:bottom w:w="0" w:type="dxa"/>
                    <w:right w:w="57" w:type="dxa"/>
                  </w:tcMar>
                  <w:vAlign w:val="center"/>
                </w:tcPr>
                <w:p w14:paraId="1A21D34F">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1AE65B2D">
                  <w:pPr>
                    <w:jc w:val="center"/>
                    <w:rPr>
                      <w:color w:val="auto"/>
                    </w:rPr>
                  </w:pPr>
                  <w:r>
                    <w:rPr>
                      <w:rFonts w:hint="eastAsia"/>
                      <w:color w:val="auto"/>
                      <w:lang w:val="en-US" w:eastAsia="zh-CN"/>
                    </w:rPr>
                    <w:t>/</w:t>
                  </w:r>
                </w:p>
              </w:tc>
              <w:tc>
                <w:tcPr>
                  <w:tcW w:w="1102" w:type="dxa"/>
                  <w:vMerge w:val="restart"/>
                  <w:tcBorders>
                    <w:tl2br w:val="nil"/>
                    <w:tr2bl w:val="nil"/>
                  </w:tcBorders>
                  <w:tcMar>
                    <w:top w:w="0" w:type="dxa"/>
                    <w:left w:w="57" w:type="dxa"/>
                    <w:bottom w:w="0" w:type="dxa"/>
                    <w:right w:w="57" w:type="dxa"/>
                  </w:tcMar>
                  <w:vAlign w:val="center"/>
                </w:tcPr>
                <w:p w14:paraId="7358B272">
                  <w:pPr>
                    <w:jc w:val="center"/>
                    <w:rPr>
                      <w:color w:val="auto"/>
                    </w:rPr>
                  </w:pPr>
                  <w:r>
                    <w:rPr>
                      <w:rFonts w:hint="eastAsia"/>
                      <w:color w:val="auto"/>
                    </w:rPr>
                    <w:t>是</w:t>
                  </w:r>
                </w:p>
              </w:tc>
              <w:tc>
                <w:tcPr>
                  <w:tcW w:w="1948" w:type="dxa"/>
                  <w:vMerge w:val="restart"/>
                  <w:tcBorders>
                    <w:tl2br w:val="nil"/>
                    <w:tr2bl w:val="nil"/>
                  </w:tcBorders>
                  <w:tcMar>
                    <w:top w:w="0" w:type="dxa"/>
                    <w:left w:w="57" w:type="dxa"/>
                    <w:bottom w:w="0" w:type="dxa"/>
                    <w:right w:w="57" w:type="dxa"/>
                  </w:tcMar>
                  <w:vAlign w:val="center"/>
                </w:tcPr>
                <w:p w14:paraId="63F0AC67">
                  <w:pPr>
                    <w:jc w:val="center"/>
                    <w:rPr>
                      <w:rFonts w:hint="eastAsia" w:eastAsia="宋体"/>
                      <w:color w:val="auto"/>
                      <w:lang w:eastAsia="zh-CN"/>
                    </w:rPr>
                  </w:pPr>
                  <w:r>
                    <w:rPr>
                      <w:rFonts w:hint="eastAsia"/>
                      <w:color w:val="auto"/>
                    </w:rPr>
                    <w:t>间接排放；排入</w:t>
                  </w:r>
                  <w:r>
                    <w:rPr>
                      <w:rFonts w:hint="eastAsia"/>
                      <w:color w:val="auto"/>
                      <w:lang w:eastAsia="zh-CN"/>
                    </w:rPr>
                    <w:t>常州市金坛区溪城污水处理有限公司直溪污水处理厂</w:t>
                  </w:r>
                </w:p>
              </w:tc>
            </w:tr>
            <w:tr w14:paraId="7F32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3A9DF457">
                  <w:pPr>
                    <w:jc w:val="center"/>
                    <w:rPr>
                      <w:rFonts w:ascii="仿宋" w:hAnsi="仿宋" w:eastAsia="仿宋" w:cs="仿宋"/>
                      <w:b/>
                      <w:bCs/>
                      <w:color w:val="auto"/>
                      <w:kern w:val="0"/>
                      <w:sz w:val="18"/>
                      <w:szCs w:val="18"/>
                      <w:lang w:bidi="ar"/>
                    </w:rPr>
                  </w:pPr>
                </w:p>
              </w:tc>
              <w:tc>
                <w:tcPr>
                  <w:tcW w:w="822" w:type="dxa"/>
                  <w:tcBorders>
                    <w:tl2br w:val="nil"/>
                    <w:tr2bl w:val="nil"/>
                  </w:tcBorders>
                  <w:tcMar>
                    <w:top w:w="0" w:type="dxa"/>
                    <w:left w:w="57" w:type="dxa"/>
                    <w:bottom w:w="0" w:type="dxa"/>
                    <w:right w:w="57" w:type="dxa"/>
                  </w:tcMar>
                  <w:vAlign w:val="center"/>
                </w:tcPr>
                <w:p w14:paraId="1A4C7F5F">
                  <w:pPr>
                    <w:jc w:val="center"/>
                    <w:rPr>
                      <w:color w:val="auto"/>
                    </w:rPr>
                  </w:pPr>
                  <w:r>
                    <w:rPr>
                      <w:color w:val="auto"/>
                    </w:rPr>
                    <w:t>SS</w:t>
                  </w:r>
                </w:p>
              </w:tc>
              <w:tc>
                <w:tcPr>
                  <w:tcW w:w="1140" w:type="dxa"/>
                  <w:vMerge w:val="continue"/>
                  <w:tcBorders>
                    <w:tl2br w:val="nil"/>
                    <w:tr2bl w:val="nil"/>
                  </w:tcBorders>
                  <w:tcMar>
                    <w:top w:w="0" w:type="dxa"/>
                    <w:left w:w="57" w:type="dxa"/>
                    <w:bottom w:w="0" w:type="dxa"/>
                    <w:right w:w="57" w:type="dxa"/>
                  </w:tcMar>
                  <w:vAlign w:val="center"/>
                </w:tcPr>
                <w:p w14:paraId="402065DF">
                  <w:pPr>
                    <w:jc w:val="center"/>
                    <w:rPr>
                      <w:color w:val="auto"/>
                    </w:rPr>
                  </w:pPr>
                </w:p>
              </w:tc>
              <w:tc>
                <w:tcPr>
                  <w:tcW w:w="1076" w:type="dxa"/>
                  <w:tcBorders>
                    <w:tl2br w:val="nil"/>
                    <w:tr2bl w:val="nil"/>
                  </w:tcBorders>
                  <w:tcMar>
                    <w:top w:w="0" w:type="dxa"/>
                    <w:left w:w="57" w:type="dxa"/>
                    <w:bottom w:w="0" w:type="dxa"/>
                    <w:right w:w="57" w:type="dxa"/>
                  </w:tcMar>
                  <w:vAlign w:val="center"/>
                </w:tcPr>
                <w:p w14:paraId="6CCE6F35">
                  <w:pPr>
                    <w:jc w:val="center"/>
                    <w:rPr>
                      <w:color w:val="auto"/>
                    </w:rPr>
                  </w:pPr>
                  <w:r>
                    <w:rPr>
                      <w:color w:val="auto"/>
                    </w:rPr>
                    <w:t>200</w:t>
                  </w:r>
                </w:p>
              </w:tc>
              <w:tc>
                <w:tcPr>
                  <w:tcW w:w="988" w:type="dxa"/>
                  <w:tcBorders>
                    <w:tl2br w:val="nil"/>
                    <w:tr2bl w:val="nil"/>
                  </w:tcBorders>
                  <w:tcMar>
                    <w:top w:w="0" w:type="dxa"/>
                    <w:left w:w="57" w:type="dxa"/>
                    <w:bottom w:w="0" w:type="dxa"/>
                    <w:right w:w="57" w:type="dxa"/>
                  </w:tcMar>
                  <w:vAlign w:val="center"/>
                </w:tcPr>
                <w:p w14:paraId="332C633D">
                  <w:pPr>
                    <w:jc w:val="center"/>
                    <w:rPr>
                      <w:color w:val="auto"/>
                    </w:rPr>
                  </w:pPr>
                  <w:r>
                    <w:rPr>
                      <w:rFonts w:hint="eastAsia"/>
                      <w:color w:val="auto"/>
                    </w:rPr>
                    <w:t>0.25</w:t>
                  </w:r>
                </w:p>
              </w:tc>
              <w:tc>
                <w:tcPr>
                  <w:tcW w:w="585" w:type="dxa"/>
                  <w:vMerge w:val="continue"/>
                  <w:tcBorders>
                    <w:tl2br w:val="nil"/>
                    <w:tr2bl w:val="nil"/>
                  </w:tcBorders>
                  <w:tcMar>
                    <w:top w:w="0" w:type="dxa"/>
                    <w:left w:w="57" w:type="dxa"/>
                    <w:bottom w:w="0" w:type="dxa"/>
                    <w:right w:w="57" w:type="dxa"/>
                  </w:tcMar>
                  <w:vAlign w:val="center"/>
                </w:tcPr>
                <w:p w14:paraId="7E421A55">
                  <w:pPr>
                    <w:jc w:val="center"/>
                    <w:rPr>
                      <w:color w:val="auto"/>
                    </w:rPr>
                  </w:pPr>
                </w:p>
              </w:tc>
              <w:tc>
                <w:tcPr>
                  <w:tcW w:w="455" w:type="dxa"/>
                  <w:tcBorders>
                    <w:tl2br w:val="nil"/>
                    <w:tr2bl w:val="nil"/>
                  </w:tcBorders>
                  <w:tcMar>
                    <w:top w:w="0" w:type="dxa"/>
                    <w:left w:w="57" w:type="dxa"/>
                    <w:bottom w:w="0" w:type="dxa"/>
                    <w:right w:w="57" w:type="dxa"/>
                  </w:tcMar>
                  <w:vAlign w:val="center"/>
                </w:tcPr>
                <w:p w14:paraId="3EE3196B">
                  <w:pPr>
                    <w:jc w:val="center"/>
                    <w:rPr>
                      <w:color w:val="auto"/>
                    </w:rPr>
                  </w:pPr>
                  <w:r>
                    <w:rPr>
                      <w:color w:val="auto"/>
                    </w:rPr>
                    <w:t>/</w:t>
                  </w:r>
                </w:p>
              </w:tc>
              <w:tc>
                <w:tcPr>
                  <w:tcW w:w="1140" w:type="dxa"/>
                  <w:vMerge w:val="continue"/>
                  <w:tcBorders>
                    <w:tl2br w:val="nil"/>
                    <w:tr2bl w:val="nil"/>
                  </w:tcBorders>
                  <w:tcMar>
                    <w:top w:w="0" w:type="dxa"/>
                    <w:left w:w="57" w:type="dxa"/>
                    <w:bottom w:w="0" w:type="dxa"/>
                    <w:right w:w="57" w:type="dxa"/>
                  </w:tcMar>
                  <w:vAlign w:val="center"/>
                </w:tcPr>
                <w:p w14:paraId="6B98B427">
                  <w:pPr>
                    <w:jc w:val="center"/>
                    <w:rPr>
                      <w:color w:val="auto"/>
                    </w:rPr>
                  </w:pPr>
                </w:p>
              </w:tc>
              <w:tc>
                <w:tcPr>
                  <w:tcW w:w="1076" w:type="dxa"/>
                  <w:tcBorders>
                    <w:tl2br w:val="nil"/>
                    <w:tr2bl w:val="nil"/>
                  </w:tcBorders>
                  <w:tcMar>
                    <w:top w:w="0" w:type="dxa"/>
                    <w:left w:w="57" w:type="dxa"/>
                    <w:bottom w:w="0" w:type="dxa"/>
                    <w:right w:w="57" w:type="dxa"/>
                  </w:tcMar>
                  <w:vAlign w:val="center"/>
                </w:tcPr>
                <w:p w14:paraId="24805976">
                  <w:pPr>
                    <w:jc w:val="center"/>
                    <w:rPr>
                      <w:color w:val="auto"/>
                    </w:rPr>
                  </w:pPr>
                  <w:r>
                    <w:rPr>
                      <w:color w:val="auto"/>
                    </w:rPr>
                    <w:t>200</w:t>
                  </w:r>
                </w:p>
              </w:tc>
              <w:tc>
                <w:tcPr>
                  <w:tcW w:w="988" w:type="dxa"/>
                  <w:tcBorders>
                    <w:tl2br w:val="nil"/>
                    <w:tr2bl w:val="nil"/>
                  </w:tcBorders>
                  <w:tcMar>
                    <w:top w:w="0" w:type="dxa"/>
                    <w:left w:w="57" w:type="dxa"/>
                    <w:bottom w:w="0" w:type="dxa"/>
                    <w:right w:w="57" w:type="dxa"/>
                  </w:tcMar>
                  <w:vAlign w:val="center"/>
                </w:tcPr>
                <w:p w14:paraId="6428EAD1">
                  <w:pPr>
                    <w:jc w:val="center"/>
                    <w:rPr>
                      <w:color w:val="auto"/>
                    </w:rPr>
                  </w:pPr>
                  <w:r>
                    <w:rPr>
                      <w:rFonts w:hint="eastAsia"/>
                      <w:color w:val="auto"/>
                    </w:rPr>
                    <w:t>0.25</w:t>
                  </w:r>
                </w:p>
              </w:tc>
              <w:tc>
                <w:tcPr>
                  <w:tcW w:w="713" w:type="dxa"/>
                  <w:tcBorders>
                    <w:tl2br w:val="nil"/>
                    <w:tr2bl w:val="nil"/>
                  </w:tcBorders>
                  <w:tcMar>
                    <w:top w:w="0" w:type="dxa"/>
                    <w:left w:w="57" w:type="dxa"/>
                    <w:bottom w:w="0" w:type="dxa"/>
                    <w:right w:w="57" w:type="dxa"/>
                  </w:tcMar>
                  <w:vAlign w:val="center"/>
                </w:tcPr>
                <w:p w14:paraId="4531008C">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26059524">
                  <w:pPr>
                    <w:jc w:val="center"/>
                    <w:rPr>
                      <w:color w:val="auto"/>
                    </w:rPr>
                  </w:pPr>
                  <w:r>
                    <w:rPr>
                      <w:rFonts w:hint="eastAsia"/>
                      <w:color w:val="auto"/>
                      <w:lang w:val="en-US" w:eastAsia="zh-CN"/>
                    </w:rPr>
                    <w:t>/</w:t>
                  </w:r>
                </w:p>
              </w:tc>
              <w:tc>
                <w:tcPr>
                  <w:tcW w:w="1102" w:type="dxa"/>
                  <w:vMerge w:val="continue"/>
                  <w:tcBorders>
                    <w:tl2br w:val="nil"/>
                    <w:tr2bl w:val="nil"/>
                  </w:tcBorders>
                  <w:tcMar>
                    <w:top w:w="0" w:type="dxa"/>
                    <w:left w:w="57" w:type="dxa"/>
                    <w:bottom w:w="0" w:type="dxa"/>
                    <w:right w:w="57" w:type="dxa"/>
                  </w:tcMar>
                  <w:vAlign w:val="center"/>
                </w:tcPr>
                <w:p w14:paraId="6C65E45B">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707810A2">
                  <w:pPr>
                    <w:jc w:val="center"/>
                    <w:rPr>
                      <w:rFonts w:ascii="仿宋" w:hAnsi="仿宋" w:eastAsia="仿宋" w:cs="仿宋"/>
                      <w:b/>
                      <w:bCs/>
                      <w:color w:val="auto"/>
                      <w:kern w:val="0"/>
                      <w:sz w:val="18"/>
                      <w:szCs w:val="18"/>
                      <w:lang w:bidi="ar"/>
                    </w:rPr>
                  </w:pPr>
                </w:p>
              </w:tc>
            </w:tr>
            <w:tr w14:paraId="726D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0803C85F">
                  <w:pPr>
                    <w:jc w:val="center"/>
                    <w:rPr>
                      <w:rFonts w:ascii="仿宋" w:hAnsi="仿宋" w:eastAsia="仿宋" w:cs="仿宋"/>
                      <w:b/>
                      <w:bCs/>
                      <w:color w:val="auto"/>
                      <w:kern w:val="0"/>
                      <w:sz w:val="18"/>
                      <w:szCs w:val="18"/>
                      <w:lang w:bidi="ar"/>
                    </w:rPr>
                  </w:pPr>
                </w:p>
              </w:tc>
              <w:tc>
                <w:tcPr>
                  <w:tcW w:w="822" w:type="dxa"/>
                  <w:tcBorders>
                    <w:tl2br w:val="nil"/>
                    <w:tr2bl w:val="nil"/>
                  </w:tcBorders>
                  <w:tcMar>
                    <w:top w:w="0" w:type="dxa"/>
                    <w:left w:w="57" w:type="dxa"/>
                    <w:bottom w:w="0" w:type="dxa"/>
                    <w:right w:w="57" w:type="dxa"/>
                  </w:tcMar>
                  <w:vAlign w:val="center"/>
                </w:tcPr>
                <w:p w14:paraId="1A96D948">
                  <w:pPr>
                    <w:jc w:val="center"/>
                    <w:rPr>
                      <w:color w:val="auto"/>
                    </w:rPr>
                  </w:pPr>
                  <w:r>
                    <w:rPr>
                      <w:color w:val="auto"/>
                    </w:rPr>
                    <w:t>NH3-N</w:t>
                  </w:r>
                </w:p>
              </w:tc>
              <w:tc>
                <w:tcPr>
                  <w:tcW w:w="1140" w:type="dxa"/>
                  <w:vMerge w:val="continue"/>
                  <w:tcBorders>
                    <w:tl2br w:val="nil"/>
                    <w:tr2bl w:val="nil"/>
                  </w:tcBorders>
                  <w:tcMar>
                    <w:top w:w="0" w:type="dxa"/>
                    <w:left w:w="57" w:type="dxa"/>
                    <w:bottom w:w="0" w:type="dxa"/>
                    <w:right w:w="57" w:type="dxa"/>
                  </w:tcMar>
                  <w:vAlign w:val="center"/>
                </w:tcPr>
                <w:p w14:paraId="697E51D8">
                  <w:pPr>
                    <w:jc w:val="center"/>
                    <w:rPr>
                      <w:color w:val="auto"/>
                    </w:rPr>
                  </w:pPr>
                </w:p>
              </w:tc>
              <w:tc>
                <w:tcPr>
                  <w:tcW w:w="1076" w:type="dxa"/>
                  <w:tcBorders>
                    <w:tl2br w:val="nil"/>
                    <w:tr2bl w:val="nil"/>
                  </w:tcBorders>
                  <w:tcMar>
                    <w:top w:w="0" w:type="dxa"/>
                    <w:left w:w="57" w:type="dxa"/>
                    <w:bottom w:w="0" w:type="dxa"/>
                    <w:right w:w="57" w:type="dxa"/>
                  </w:tcMar>
                  <w:vAlign w:val="center"/>
                </w:tcPr>
                <w:p w14:paraId="4A5CC3E9">
                  <w:pPr>
                    <w:jc w:val="center"/>
                    <w:rPr>
                      <w:color w:val="auto"/>
                    </w:rPr>
                  </w:pPr>
                  <w:r>
                    <w:rPr>
                      <w:color w:val="auto"/>
                    </w:rPr>
                    <w:t>30</w:t>
                  </w:r>
                </w:p>
              </w:tc>
              <w:tc>
                <w:tcPr>
                  <w:tcW w:w="988" w:type="dxa"/>
                  <w:tcBorders>
                    <w:tl2br w:val="nil"/>
                    <w:tr2bl w:val="nil"/>
                  </w:tcBorders>
                  <w:tcMar>
                    <w:top w:w="0" w:type="dxa"/>
                    <w:left w:w="57" w:type="dxa"/>
                    <w:bottom w:w="0" w:type="dxa"/>
                    <w:right w:w="57" w:type="dxa"/>
                  </w:tcMar>
                  <w:vAlign w:val="center"/>
                </w:tcPr>
                <w:p w14:paraId="6D16A890">
                  <w:pPr>
                    <w:jc w:val="center"/>
                    <w:rPr>
                      <w:color w:val="auto"/>
                    </w:rPr>
                  </w:pPr>
                  <w:r>
                    <w:rPr>
                      <w:rFonts w:hint="eastAsia"/>
                      <w:color w:val="auto"/>
                    </w:rPr>
                    <w:t>0.037</w:t>
                  </w:r>
                </w:p>
              </w:tc>
              <w:tc>
                <w:tcPr>
                  <w:tcW w:w="585" w:type="dxa"/>
                  <w:vMerge w:val="continue"/>
                  <w:tcBorders>
                    <w:tl2br w:val="nil"/>
                    <w:tr2bl w:val="nil"/>
                  </w:tcBorders>
                  <w:tcMar>
                    <w:top w:w="0" w:type="dxa"/>
                    <w:left w:w="57" w:type="dxa"/>
                    <w:bottom w:w="0" w:type="dxa"/>
                    <w:right w:w="57" w:type="dxa"/>
                  </w:tcMar>
                  <w:vAlign w:val="center"/>
                </w:tcPr>
                <w:p w14:paraId="33916BE6">
                  <w:pPr>
                    <w:jc w:val="center"/>
                    <w:rPr>
                      <w:color w:val="auto"/>
                    </w:rPr>
                  </w:pPr>
                </w:p>
              </w:tc>
              <w:tc>
                <w:tcPr>
                  <w:tcW w:w="455" w:type="dxa"/>
                  <w:tcBorders>
                    <w:tl2br w:val="nil"/>
                    <w:tr2bl w:val="nil"/>
                  </w:tcBorders>
                  <w:tcMar>
                    <w:top w:w="0" w:type="dxa"/>
                    <w:left w:w="57" w:type="dxa"/>
                    <w:bottom w:w="0" w:type="dxa"/>
                    <w:right w:w="57" w:type="dxa"/>
                  </w:tcMar>
                  <w:vAlign w:val="center"/>
                </w:tcPr>
                <w:p w14:paraId="1D849203">
                  <w:pPr>
                    <w:jc w:val="center"/>
                    <w:rPr>
                      <w:color w:val="auto"/>
                    </w:rPr>
                  </w:pPr>
                  <w:r>
                    <w:rPr>
                      <w:color w:val="auto"/>
                    </w:rPr>
                    <w:t>/</w:t>
                  </w:r>
                </w:p>
              </w:tc>
              <w:tc>
                <w:tcPr>
                  <w:tcW w:w="1140" w:type="dxa"/>
                  <w:vMerge w:val="continue"/>
                  <w:tcBorders>
                    <w:tl2br w:val="nil"/>
                    <w:tr2bl w:val="nil"/>
                  </w:tcBorders>
                  <w:tcMar>
                    <w:top w:w="0" w:type="dxa"/>
                    <w:left w:w="57" w:type="dxa"/>
                    <w:bottom w:w="0" w:type="dxa"/>
                    <w:right w:w="57" w:type="dxa"/>
                  </w:tcMar>
                  <w:vAlign w:val="center"/>
                </w:tcPr>
                <w:p w14:paraId="228C271C">
                  <w:pPr>
                    <w:jc w:val="center"/>
                    <w:rPr>
                      <w:color w:val="auto"/>
                    </w:rPr>
                  </w:pPr>
                </w:p>
              </w:tc>
              <w:tc>
                <w:tcPr>
                  <w:tcW w:w="1076" w:type="dxa"/>
                  <w:tcBorders>
                    <w:tl2br w:val="nil"/>
                    <w:tr2bl w:val="nil"/>
                  </w:tcBorders>
                  <w:tcMar>
                    <w:top w:w="0" w:type="dxa"/>
                    <w:left w:w="57" w:type="dxa"/>
                    <w:bottom w:w="0" w:type="dxa"/>
                    <w:right w:w="57" w:type="dxa"/>
                  </w:tcMar>
                  <w:vAlign w:val="center"/>
                </w:tcPr>
                <w:p w14:paraId="3E7FE4C3">
                  <w:pPr>
                    <w:jc w:val="center"/>
                    <w:rPr>
                      <w:color w:val="auto"/>
                    </w:rPr>
                  </w:pPr>
                  <w:r>
                    <w:rPr>
                      <w:color w:val="auto"/>
                    </w:rPr>
                    <w:t>30</w:t>
                  </w:r>
                </w:p>
              </w:tc>
              <w:tc>
                <w:tcPr>
                  <w:tcW w:w="988" w:type="dxa"/>
                  <w:tcBorders>
                    <w:tl2br w:val="nil"/>
                    <w:tr2bl w:val="nil"/>
                  </w:tcBorders>
                  <w:tcMar>
                    <w:top w:w="0" w:type="dxa"/>
                    <w:left w:w="57" w:type="dxa"/>
                    <w:bottom w:w="0" w:type="dxa"/>
                    <w:right w:w="57" w:type="dxa"/>
                  </w:tcMar>
                  <w:vAlign w:val="center"/>
                </w:tcPr>
                <w:p w14:paraId="7CE34DCD">
                  <w:pPr>
                    <w:jc w:val="center"/>
                    <w:rPr>
                      <w:color w:val="auto"/>
                    </w:rPr>
                  </w:pPr>
                  <w:r>
                    <w:rPr>
                      <w:rFonts w:hint="eastAsia"/>
                      <w:color w:val="auto"/>
                    </w:rPr>
                    <w:t>0.037</w:t>
                  </w:r>
                </w:p>
              </w:tc>
              <w:tc>
                <w:tcPr>
                  <w:tcW w:w="713" w:type="dxa"/>
                  <w:tcBorders>
                    <w:tl2br w:val="nil"/>
                    <w:tr2bl w:val="nil"/>
                  </w:tcBorders>
                  <w:tcMar>
                    <w:top w:w="0" w:type="dxa"/>
                    <w:left w:w="57" w:type="dxa"/>
                    <w:bottom w:w="0" w:type="dxa"/>
                    <w:right w:w="57" w:type="dxa"/>
                  </w:tcMar>
                  <w:vAlign w:val="center"/>
                </w:tcPr>
                <w:p w14:paraId="5673374B">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6FD3EFCD">
                  <w:pPr>
                    <w:jc w:val="center"/>
                    <w:rPr>
                      <w:color w:val="auto"/>
                    </w:rPr>
                  </w:pPr>
                  <w:r>
                    <w:rPr>
                      <w:rFonts w:hint="eastAsia"/>
                      <w:color w:val="auto"/>
                      <w:lang w:val="en-US" w:eastAsia="zh-CN"/>
                    </w:rPr>
                    <w:t>/</w:t>
                  </w:r>
                </w:p>
              </w:tc>
              <w:tc>
                <w:tcPr>
                  <w:tcW w:w="1102" w:type="dxa"/>
                  <w:vMerge w:val="continue"/>
                  <w:tcBorders>
                    <w:tl2br w:val="nil"/>
                    <w:tr2bl w:val="nil"/>
                  </w:tcBorders>
                  <w:tcMar>
                    <w:top w:w="0" w:type="dxa"/>
                    <w:left w:w="57" w:type="dxa"/>
                    <w:bottom w:w="0" w:type="dxa"/>
                    <w:right w:w="57" w:type="dxa"/>
                  </w:tcMar>
                  <w:vAlign w:val="center"/>
                </w:tcPr>
                <w:p w14:paraId="5A41F32B">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36264ACF">
                  <w:pPr>
                    <w:jc w:val="center"/>
                    <w:rPr>
                      <w:rFonts w:ascii="仿宋" w:hAnsi="仿宋" w:eastAsia="仿宋" w:cs="仿宋"/>
                      <w:b/>
                      <w:bCs/>
                      <w:color w:val="auto"/>
                      <w:kern w:val="0"/>
                      <w:sz w:val="18"/>
                      <w:szCs w:val="18"/>
                      <w:lang w:bidi="ar"/>
                    </w:rPr>
                  </w:pPr>
                </w:p>
              </w:tc>
            </w:tr>
            <w:tr w14:paraId="4773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2890F55F">
                  <w:pPr>
                    <w:jc w:val="center"/>
                    <w:rPr>
                      <w:rFonts w:ascii="仿宋" w:hAnsi="仿宋" w:eastAsia="仿宋" w:cs="仿宋"/>
                      <w:b/>
                      <w:bCs/>
                      <w:color w:val="auto"/>
                      <w:kern w:val="0"/>
                      <w:sz w:val="18"/>
                      <w:szCs w:val="18"/>
                      <w:lang w:bidi="ar"/>
                    </w:rPr>
                  </w:pPr>
                </w:p>
              </w:tc>
              <w:tc>
                <w:tcPr>
                  <w:tcW w:w="822" w:type="dxa"/>
                  <w:tcBorders>
                    <w:tl2br w:val="nil"/>
                    <w:tr2bl w:val="nil"/>
                  </w:tcBorders>
                  <w:tcMar>
                    <w:top w:w="0" w:type="dxa"/>
                    <w:left w:w="57" w:type="dxa"/>
                    <w:bottom w:w="0" w:type="dxa"/>
                    <w:right w:w="57" w:type="dxa"/>
                  </w:tcMar>
                  <w:vAlign w:val="center"/>
                </w:tcPr>
                <w:p w14:paraId="07C96E0D">
                  <w:pPr>
                    <w:jc w:val="center"/>
                    <w:rPr>
                      <w:color w:val="auto"/>
                    </w:rPr>
                  </w:pPr>
                  <w:r>
                    <w:rPr>
                      <w:color w:val="auto"/>
                    </w:rPr>
                    <w:t>TN</w:t>
                  </w:r>
                </w:p>
              </w:tc>
              <w:tc>
                <w:tcPr>
                  <w:tcW w:w="1140" w:type="dxa"/>
                  <w:vMerge w:val="continue"/>
                  <w:tcBorders>
                    <w:tl2br w:val="nil"/>
                    <w:tr2bl w:val="nil"/>
                  </w:tcBorders>
                  <w:tcMar>
                    <w:top w:w="0" w:type="dxa"/>
                    <w:left w:w="57" w:type="dxa"/>
                    <w:bottom w:w="0" w:type="dxa"/>
                    <w:right w:w="57" w:type="dxa"/>
                  </w:tcMar>
                  <w:vAlign w:val="center"/>
                </w:tcPr>
                <w:p w14:paraId="134F39C2">
                  <w:pPr>
                    <w:jc w:val="center"/>
                    <w:rPr>
                      <w:color w:val="auto"/>
                    </w:rPr>
                  </w:pPr>
                </w:p>
              </w:tc>
              <w:tc>
                <w:tcPr>
                  <w:tcW w:w="1076" w:type="dxa"/>
                  <w:tcBorders>
                    <w:tl2br w:val="nil"/>
                    <w:tr2bl w:val="nil"/>
                  </w:tcBorders>
                  <w:tcMar>
                    <w:top w:w="0" w:type="dxa"/>
                    <w:left w:w="57" w:type="dxa"/>
                    <w:bottom w:w="0" w:type="dxa"/>
                    <w:right w:w="57" w:type="dxa"/>
                  </w:tcMar>
                  <w:vAlign w:val="center"/>
                </w:tcPr>
                <w:p w14:paraId="55107615">
                  <w:pPr>
                    <w:jc w:val="center"/>
                    <w:rPr>
                      <w:color w:val="auto"/>
                    </w:rPr>
                  </w:pPr>
                  <w:r>
                    <w:rPr>
                      <w:color w:val="auto"/>
                    </w:rPr>
                    <w:t>60</w:t>
                  </w:r>
                </w:p>
              </w:tc>
              <w:tc>
                <w:tcPr>
                  <w:tcW w:w="988" w:type="dxa"/>
                  <w:tcBorders>
                    <w:tl2br w:val="nil"/>
                    <w:tr2bl w:val="nil"/>
                  </w:tcBorders>
                  <w:tcMar>
                    <w:top w:w="0" w:type="dxa"/>
                    <w:left w:w="57" w:type="dxa"/>
                    <w:bottom w:w="0" w:type="dxa"/>
                    <w:right w:w="57" w:type="dxa"/>
                  </w:tcMar>
                  <w:vAlign w:val="center"/>
                </w:tcPr>
                <w:p w14:paraId="0D93FBF9">
                  <w:pPr>
                    <w:jc w:val="center"/>
                    <w:rPr>
                      <w:color w:val="auto"/>
                    </w:rPr>
                  </w:pPr>
                  <w:r>
                    <w:rPr>
                      <w:rFonts w:hint="eastAsia"/>
                      <w:color w:val="auto"/>
                    </w:rPr>
                    <w:t>0.075</w:t>
                  </w:r>
                </w:p>
              </w:tc>
              <w:tc>
                <w:tcPr>
                  <w:tcW w:w="585" w:type="dxa"/>
                  <w:vMerge w:val="continue"/>
                  <w:tcBorders>
                    <w:tl2br w:val="nil"/>
                    <w:tr2bl w:val="nil"/>
                  </w:tcBorders>
                  <w:tcMar>
                    <w:top w:w="0" w:type="dxa"/>
                    <w:left w:w="57" w:type="dxa"/>
                    <w:bottom w:w="0" w:type="dxa"/>
                    <w:right w:w="57" w:type="dxa"/>
                  </w:tcMar>
                  <w:vAlign w:val="center"/>
                </w:tcPr>
                <w:p w14:paraId="77029C4E">
                  <w:pPr>
                    <w:jc w:val="center"/>
                    <w:rPr>
                      <w:color w:val="auto"/>
                    </w:rPr>
                  </w:pPr>
                </w:p>
              </w:tc>
              <w:tc>
                <w:tcPr>
                  <w:tcW w:w="455" w:type="dxa"/>
                  <w:tcBorders>
                    <w:tl2br w:val="nil"/>
                    <w:tr2bl w:val="nil"/>
                  </w:tcBorders>
                  <w:tcMar>
                    <w:top w:w="0" w:type="dxa"/>
                    <w:left w:w="57" w:type="dxa"/>
                    <w:bottom w:w="0" w:type="dxa"/>
                    <w:right w:w="57" w:type="dxa"/>
                  </w:tcMar>
                  <w:vAlign w:val="center"/>
                </w:tcPr>
                <w:p w14:paraId="1A073E5E">
                  <w:pPr>
                    <w:jc w:val="center"/>
                    <w:rPr>
                      <w:color w:val="auto"/>
                    </w:rPr>
                  </w:pPr>
                  <w:r>
                    <w:rPr>
                      <w:color w:val="auto"/>
                    </w:rPr>
                    <w:t>/</w:t>
                  </w:r>
                </w:p>
              </w:tc>
              <w:tc>
                <w:tcPr>
                  <w:tcW w:w="1140" w:type="dxa"/>
                  <w:vMerge w:val="continue"/>
                  <w:tcBorders>
                    <w:tl2br w:val="nil"/>
                    <w:tr2bl w:val="nil"/>
                  </w:tcBorders>
                  <w:tcMar>
                    <w:top w:w="0" w:type="dxa"/>
                    <w:left w:w="57" w:type="dxa"/>
                    <w:bottom w:w="0" w:type="dxa"/>
                    <w:right w:w="57" w:type="dxa"/>
                  </w:tcMar>
                  <w:vAlign w:val="center"/>
                </w:tcPr>
                <w:p w14:paraId="12848002">
                  <w:pPr>
                    <w:jc w:val="center"/>
                    <w:rPr>
                      <w:color w:val="auto"/>
                    </w:rPr>
                  </w:pPr>
                </w:p>
              </w:tc>
              <w:tc>
                <w:tcPr>
                  <w:tcW w:w="1076" w:type="dxa"/>
                  <w:tcBorders>
                    <w:tl2br w:val="nil"/>
                    <w:tr2bl w:val="nil"/>
                  </w:tcBorders>
                  <w:tcMar>
                    <w:top w:w="0" w:type="dxa"/>
                    <w:left w:w="57" w:type="dxa"/>
                    <w:bottom w:w="0" w:type="dxa"/>
                    <w:right w:w="57" w:type="dxa"/>
                  </w:tcMar>
                  <w:vAlign w:val="center"/>
                </w:tcPr>
                <w:p w14:paraId="47327C5D">
                  <w:pPr>
                    <w:jc w:val="center"/>
                    <w:rPr>
                      <w:color w:val="auto"/>
                    </w:rPr>
                  </w:pPr>
                  <w:r>
                    <w:rPr>
                      <w:color w:val="auto"/>
                    </w:rPr>
                    <w:t>60</w:t>
                  </w:r>
                </w:p>
              </w:tc>
              <w:tc>
                <w:tcPr>
                  <w:tcW w:w="988" w:type="dxa"/>
                  <w:tcBorders>
                    <w:tl2br w:val="nil"/>
                    <w:tr2bl w:val="nil"/>
                  </w:tcBorders>
                  <w:tcMar>
                    <w:top w:w="0" w:type="dxa"/>
                    <w:left w:w="57" w:type="dxa"/>
                    <w:bottom w:w="0" w:type="dxa"/>
                    <w:right w:w="57" w:type="dxa"/>
                  </w:tcMar>
                  <w:vAlign w:val="center"/>
                </w:tcPr>
                <w:p w14:paraId="6A89DCC2">
                  <w:pPr>
                    <w:jc w:val="center"/>
                    <w:rPr>
                      <w:color w:val="auto"/>
                    </w:rPr>
                  </w:pPr>
                  <w:r>
                    <w:rPr>
                      <w:rFonts w:hint="eastAsia"/>
                      <w:color w:val="auto"/>
                    </w:rPr>
                    <w:t>0.075</w:t>
                  </w:r>
                </w:p>
              </w:tc>
              <w:tc>
                <w:tcPr>
                  <w:tcW w:w="713" w:type="dxa"/>
                  <w:tcBorders>
                    <w:tl2br w:val="nil"/>
                    <w:tr2bl w:val="nil"/>
                  </w:tcBorders>
                  <w:tcMar>
                    <w:top w:w="0" w:type="dxa"/>
                    <w:left w:w="57" w:type="dxa"/>
                    <w:bottom w:w="0" w:type="dxa"/>
                    <w:right w:w="57" w:type="dxa"/>
                  </w:tcMar>
                  <w:vAlign w:val="center"/>
                </w:tcPr>
                <w:p w14:paraId="32272293">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778AA8F7">
                  <w:pPr>
                    <w:jc w:val="center"/>
                    <w:rPr>
                      <w:color w:val="auto"/>
                    </w:rPr>
                  </w:pPr>
                  <w:r>
                    <w:rPr>
                      <w:rFonts w:hint="eastAsia"/>
                      <w:color w:val="auto"/>
                      <w:lang w:val="en-US" w:eastAsia="zh-CN"/>
                    </w:rPr>
                    <w:t>/</w:t>
                  </w:r>
                </w:p>
              </w:tc>
              <w:tc>
                <w:tcPr>
                  <w:tcW w:w="1102" w:type="dxa"/>
                  <w:vMerge w:val="continue"/>
                  <w:tcBorders>
                    <w:tl2br w:val="nil"/>
                    <w:tr2bl w:val="nil"/>
                  </w:tcBorders>
                  <w:tcMar>
                    <w:top w:w="0" w:type="dxa"/>
                    <w:left w:w="57" w:type="dxa"/>
                    <w:bottom w:w="0" w:type="dxa"/>
                    <w:right w:w="57" w:type="dxa"/>
                  </w:tcMar>
                  <w:vAlign w:val="center"/>
                </w:tcPr>
                <w:p w14:paraId="6AF5FBF5">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40661966">
                  <w:pPr>
                    <w:jc w:val="center"/>
                    <w:rPr>
                      <w:rFonts w:ascii="仿宋" w:hAnsi="仿宋" w:eastAsia="仿宋" w:cs="仿宋"/>
                      <w:b/>
                      <w:bCs/>
                      <w:color w:val="auto"/>
                      <w:kern w:val="0"/>
                      <w:sz w:val="18"/>
                      <w:szCs w:val="18"/>
                      <w:lang w:bidi="ar"/>
                    </w:rPr>
                  </w:pPr>
                </w:p>
              </w:tc>
            </w:tr>
            <w:tr w14:paraId="04AE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1BBE0704">
                  <w:pPr>
                    <w:jc w:val="center"/>
                    <w:rPr>
                      <w:rFonts w:ascii="仿宋" w:hAnsi="仿宋" w:eastAsia="仿宋" w:cs="仿宋"/>
                      <w:b/>
                      <w:bCs/>
                      <w:color w:val="auto"/>
                      <w:kern w:val="0"/>
                      <w:sz w:val="18"/>
                      <w:szCs w:val="18"/>
                      <w:lang w:bidi="ar"/>
                    </w:rPr>
                  </w:pPr>
                </w:p>
              </w:tc>
              <w:tc>
                <w:tcPr>
                  <w:tcW w:w="822" w:type="dxa"/>
                  <w:tcBorders>
                    <w:tl2br w:val="nil"/>
                    <w:tr2bl w:val="nil"/>
                  </w:tcBorders>
                  <w:tcMar>
                    <w:top w:w="0" w:type="dxa"/>
                    <w:left w:w="57" w:type="dxa"/>
                    <w:bottom w:w="0" w:type="dxa"/>
                    <w:right w:w="57" w:type="dxa"/>
                  </w:tcMar>
                  <w:vAlign w:val="center"/>
                </w:tcPr>
                <w:p w14:paraId="3972DB03">
                  <w:pPr>
                    <w:jc w:val="center"/>
                    <w:rPr>
                      <w:color w:val="auto"/>
                    </w:rPr>
                  </w:pPr>
                  <w:r>
                    <w:rPr>
                      <w:color w:val="auto"/>
                    </w:rPr>
                    <w:t>TP</w:t>
                  </w:r>
                </w:p>
              </w:tc>
              <w:tc>
                <w:tcPr>
                  <w:tcW w:w="1140" w:type="dxa"/>
                  <w:vMerge w:val="continue"/>
                  <w:tcBorders>
                    <w:tl2br w:val="nil"/>
                    <w:tr2bl w:val="nil"/>
                  </w:tcBorders>
                  <w:tcMar>
                    <w:top w:w="0" w:type="dxa"/>
                    <w:left w:w="57" w:type="dxa"/>
                    <w:bottom w:w="0" w:type="dxa"/>
                    <w:right w:w="57" w:type="dxa"/>
                  </w:tcMar>
                  <w:vAlign w:val="center"/>
                </w:tcPr>
                <w:p w14:paraId="7CC8CFA1">
                  <w:pPr>
                    <w:jc w:val="center"/>
                    <w:rPr>
                      <w:color w:val="auto"/>
                    </w:rPr>
                  </w:pPr>
                </w:p>
              </w:tc>
              <w:tc>
                <w:tcPr>
                  <w:tcW w:w="1076" w:type="dxa"/>
                  <w:tcBorders>
                    <w:tl2br w:val="nil"/>
                    <w:tr2bl w:val="nil"/>
                  </w:tcBorders>
                  <w:tcMar>
                    <w:top w:w="0" w:type="dxa"/>
                    <w:left w:w="57" w:type="dxa"/>
                    <w:bottom w:w="0" w:type="dxa"/>
                    <w:right w:w="57" w:type="dxa"/>
                  </w:tcMar>
                  <w:vAlign w:val="center"/>
                </w:tcPr>
                <w:p w14:paraId="29F162A6">
                  <w:pPr>
                    <w:jc w:val="center"/>
                    <w:rPr>
                      <w:color w:val="auto"/>
                    </w:rPr>
                  </w:pPr>
                  <w:r>
                    <w:rPr>
                      <w:color w:val="auto"/>
                    </w:rPr>
                    <w:t>8</w:t>
                  </w:r>
                </w:p>
              </w:tc>
              <w:tc>
                <w:tcPr>
                  <w:tcW w:w="988" w:type="dxa"/>
                  <w:tcBorders>
                    <w:tl2br w:val="nil"/>
                    <w:tr2bl w:val="nil"/>
                  </w:tcBorders>
                  <w:tcMar>
                    <w:top w:w="0" w:type="dxa"/>
                    <w:left w:w="57" w:type="dxa"/>
                    <w:bottom w:w="0" w:type="dxa"/>
                    <w:right w:w="57" w:type="dxa"/>
                  </w:tcMar>
                  <w:vAlign w:val="center"/>
                </w:tcPr>
                <w:p w14:paraId="0100058D">
                  <w:pPr>
                    <w:jc w:val="center"/>
                    <w:rPr>
                      <w:color w:val="auto"/>
                    </w:rPr>
                  </w:pPr>
                  <w:r>
                    <w:rPr>
                      <w:rFonts w:hint="eastAsia"/>
                      <w:color w:val="auto"/>
                    </w:rPr>
                    <w:t>0.01</w:t>
                  </w:r>
                </w:p>
              </w:tc>
              <w:tc>
                <w:tcPr>
                  <w:tcW w:w="585" w:type="dxa"/>
                  <w:vMerge w:val="continue"/>
                  <w:tcBorders>
                    <w:tl2br w:val="nil"/>
                    <w:tr2bl w:val="nil"/>
                  </w:tcBorders>
                  <w:tcMar>
                    <w:top w:w="0" w:type="dxa"/>
                    <w:left w:w="57" w:type="dxa"/>
                    <w:bottom w:w="0" w:type="dxa"/>
                    <w:right w:w="57" w:type="dxa"/>
                  </w:tcMar>
                  <w:vAlign w:val="center"/>
                </w:tcPr>
                <w:p w14:paraId="75700BED">
                  <w:pPr>
                    <w:jc w:val="center"/>
                    <w:rPr>
                      <w:color w:val="auto"/>
                    </w:rPr>
                  </w:pPr>
                </w:p>
              </w:tc>
              <w:tc>
                <w:tcPr>
                  <w:tcW w:w="455" w:type="dxa"/>
                  <w:tcBorders>
                    <w:tl2br w:val="nil"/>
                    <w:tr2bl w:val="nil"/>
                  </w:tcBorders>
                  <w:tcMar>
                    <w:top w:w="0" w:type="dxa"/>
                    <w:left w:w="57" w:type="dxa"/>
                    <w:bottom w:w="0" w:type="dxa"/>
                    <w:right w:w="57" w:type="dxa"/>
                  </w:tcMar>
                  <w:vAlign w:val="center"/>
                </w:tcPr>
                <w:p w14:paraId="4044DCAA">
                  <w:pPr>
                    <w:jc w:val="center"/>
                    <w:rPr>
                      <w:color w:val="auto"/>
                    </w:rPr>
                  </w:pPr>
                  <w:r>
                    <w:rPr>
                      <w:color w:val="auto"/>
                    </w:rPr>
                    <w:t>/</w:t>
                  </w:r>
                </w:p>
              </w:tc>
              <w:tc>
                <w:tcPr>
                  <w:tcW w:w="1140" w:type="dxa"/>
                  <w:vMerge w:val="continue"/>
                  <w:tcBorders>
                    <w:tl2br w:val="nil"/>
                    <w:tr2bl w:val="nil"/>
                  </w:tcBorders>
                  <w:tcMar>
                    <w:top w:w="0" w:type="dxa"/>
                    <w:left w:w="57" w:type="dxa"/>
                    <w:bottom w:w="0" w:type="dxa"/>
                    <w:right w:w="57" w:type="dxa"/>
                  </w:tcMar>
                  <w:vAlign w:val="center"/>
                </w:tcPr>
                <w:p w14:paraId="34EEEEED">
                  <w:pPr>
                    <w:jc w:val="center"/>
                    <w:rPr>
                      <w:color w:val="auto"/>
                    </w:rPr>
                  </w:pPr>
                </w:p>
              </w:tc>
              <w:tc>
                <w:tcPr>
                  <w:tcW w:w="1076" w:type="dxa"/>
                  <w:tcBorders>
                    <w:tl2br w:val="nil"/>
                    <w:tr2bl w:val="nil"/>
                  </w:tcBorders>
                  <w:tcMar>
                    <w:top w:w="0" w:type="dxa"/>
                    <w:left w:w="57" w:type="dxa"/>
                    <w:bottom w:w="0" w:type="dxa"/>
                    <w:right w:w="57" w:type="dxa"/>
                  </w:tcMar>
                  <w:vAlign w:val="center"/>
                </w:tcPr>
                <w:p w14:paraId="1CBC402D">
                  <w:pPr>
                    <w:jc w:val="center"/>
                    <w:rPr>
                      <w:color w:val="auto"/>
                    </w:rPr>
                  </w:pPr>
                  <w:r>
                    <w:rPr>
                      <w:color w:val="auto"/>
                    </w:rPr>
                    <w:t>8</w:t>
                  </w:r>
                </w:p>
              </w:tc>
              <w:tc>
                <w:tcPr>
                  <w:tcW w:w="988" w:type="dxa"/>
                  <w:tcBorders>
                    <w:tl2br w:val="nil"/>
                    <w:tr2bl w:val="nil"/>
                  </w:tcBorders>
                  <w:tcMar>
                    <w:top w:w="0" w:type="dxa"/>
                    <w:left w:w="57" w:type="dxa"/>
                    <w:bottom w:w="0" w:type="dxa"/>
                    <w:right w:w="57" w:type="dxa"/>
                  </w:tcMar>
                  <w:vAlign w:val="center"/>
                </w:tcPr>
                <w:p w14:paraId="3969591C">
                  <w:pPr>
                    <w:jc w:val="center"/>
                    <w:rPr>
                      <w:color w:val="auto"/>
                    </w:rPr>
                  </w:pPr>
                  <w:r>
                    <w:rPr>
                      <w:rFonts w:hint="eastAsia"/>
                      <w:color w:val="auto"/>
                    </w:rPr>
                    <w:t>0.01</w:t>
                  </w:r>
                </w:p>
              </w:tc>
              <w:tc>
                <w:tcPr>
                  <w:tcW w:w="713" w:type="dxa"/>
                  <w:tcBorders>
                    <w:tl2br w:val="nil"/>
                    <w:tr2bl w:val="nil"/>
                  </w:tcBorders>
                  <w:tcMar>
                    <w:top w:w="0" w:type="dxa"/>
                    <w:left w:w="57" w:type="dxa"/>
                    <w:bottom w:w="0" w:type="dxa"/>
                    <w:right w:w="57" w:type="dxa"/>
                  </w:tcMar>
                  <w:vAlign w:val="center"/>
                </w:tcPr>
                <w:p w14:paraId="2B5FE5B2">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26DFE50C">
                  <w:pPr>
                    <w:jc w:val="center"/>
                    <w:rPr>
                      <w:color w:val="auto"/>
                    </w:rPr>
                  </w:pPr>
                  <w:r>
                    <w:rPr>
                      <w:rFonts w:hint="eastAsia"/>
                      <w:color w:val="auto"/>
                      <w:lang w:val="en-US" w:eastAsia="zh-CN"/>
                    </w:rPr>
                    <w:t>/</w:t>
                  </w:r>
                </w:p>
              </w:tc>
              <w:tc>
                <w:tcPr>
                  <w:tcW w:w="1102" w:type="dxa"/>
                  <w:vMerge w:val="continue"/>
                  <w:tcBorders>
                    <w:tl2br w:val="nil"/>
                    <w:tr2bl w:val="nil"/>
                  </w:tcBorders>
                  <w:tcMar>
                    <w:top w:w="0" w:type="dxa"/>
                    <w:left w:w="57" w:type="dxa"/>
                    <w:bottom w:w="0" w:type="dxa"/>
                    <w:right w:w="57" w:type="dxa"/>
                  </w:tcMar>
                  <w:vAlign w:val="center"/>
                </w:tcPr>
                <w:p w14:paraId="745472B0">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5277C83C">
                  <w:pPr>
                    <w:jc w:val="center"/>
                    <w:rPr>
                      <w:rFonts w:ascii="仿宋" w:hAnsi="仿宋" w:eastAsia="仿宋" w:cs="仿宋"/>
                      <w:b/>
                      <w:bCs/>
                      <w:color w:val="auto"/>
                      <w:kern w:val="0"/>
                      <w:sz w:val="18"/>
                      <w:szCs w:val="18"/>
                      <w:lang w:bidi="ar"/>
                    </w:rPr>
                  </w:pPr>
                </w:p>
              </w:tc>
            </w:tr>
            <w:tr w14:paraId="2324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72" w:type="dxa"/>
                  <w:vMerge w:val="continue"/>
                  <w:tcBorders>
                    <w:tl2br w:val="nil"/>
                    <w:tr2bl w:val="nil"/>
                  </w:tcBorders>
                  <w:tcMar>
                    <w:top w:w="0" w:type="dxa"/>
                    <w:left w:w="57" w:type="dxa"/>
                    <w:bottom w:w="0" w:type="dxa"/>
                    <w:right w:w="57" w:type="dxa"/>
                  </w:tcMar>
                  <w:vAlign w:val="center"/>
                </w:tcPr>
                <w:p w14:paraId="5E096E7A">
                  <w:pPr>
                    <w:jc w:val="center"/>
                    <w:rPr>
                      <w:rFonts w:ascii="仿宋" w:hAnsi="仿宋" w:eastAsia="仿宋" w:cs="仿宋"/>
                      <w:b/>
                      <w:bCs/>
                      <w:color w:val="auto"/>
                      <w:kern w:val="0"/>
                      <w:sz w:val="18"/>
                      <w:szCs w:val="18"/>
                      <w:lang w:bidi="ar"/>
                    </w:rPr>
                  </w:pPr>
                </w:p>
              </w:tc>
              <w:tc>
                <w:tcPr>
                  <w:tcW w:w="822" w:type="dxa"/>
                  <w:tcBorders>
                    <w:tl2br w:val="nil"/>
                    <w:tr2bl w:val="nil"/>
                  </w:tcBorders>
                  <w:tcMar>
                    <w:top w:w="0" w:type="dxa"/>
                    <w:left w:w="57" w:type="dxa"/>
                    <w:bottom w:w="0" w:type="dxa"/>
                    <w:right w:w="57" w:type="dxa"/>
                  </w:tcMar>
                  <w:vAlign w:val="center"/>
                </w:tcPr>
                <w:p w14:paraId="69A83DBB">
                  <w:pPr>
                    <w:jc w:val="center"/>
                    <w:rPr>
                      <w:color w:val="auto"/>
                    </w:rPr>
                  </w:pPr>
                  <w:r>
                    <w:rPr>
                      <w:color w:val="auto"/>
                    </w:rPr>
                    <w:t>动植</w:t>
                  </w:r>
                </w:p>
                <w:p w14:paraId="668C7F66">
                  <w:pPr>
                    <w:jc w:val="center"/>
                    <w:rPr>
                      <w:color w:val="auto"/>
                    </w:rPr>
                  </w:pPr>
                  <w:r>
                    <w:rPr>
                      <w:color w:val="auto"/>
                    </w:rPr>
                    <w:t>物油</w:t>
                  </w:r>
                </w:p>
              </w:tc>
              <w:tc>
                <w:tcPr>
                  <w:tcW w:w="1140" w:type="dxa"/>
                  <w:vMerge w:val="continue"/>
                  <w:tcBorders>
                    <w:tl2br w:val="nil"/>
                    <w:tr2bl w:val="nil"/>
                  </w:tcBorders>
                  <w:tcMar>
                    <w:top w:w="0" w:type="dxa"/>
                    <w:left w:w="57" w:type="dxa"/>
                    <w:bottom w:w="0" w:type="dxa"/>
                    <w:right w:w="57" w:type="dxa"/>
                  </w:tcMar>
                  <w:vAlign w:val="center"/>
                </w:tcPr>
                <w:p w14:paraId="1DDB44EF">
                  <w:pPr>
                    <w:jc w:val="center"/>
                    <w:rPr>
                      <w:color w:val="auto"/>
                    </w:rPr>
                  </w:pPr>
                </w:p>
              </w:tc>
              <w:tc>
                <w:tcPr>
                  <w:tcW w:w="1076" w:type="dxa"/>
                  <w:tcBorders>
                    <w:tl2br w:val="nil"/>
                    <w:tr2bl w:val="nil"/>
                  </w:tcBorders>
                  <w:tcMar>
                    <w:top w:w="0" w:type="dxa"/>
                    <w:left w:w="57" w:type="dxa"/>
                    <w:bottom w:w="0" w:type="dxa"/>
                    <w:right w:w="57" w:type="dxa"/>
                  </w:tcMar>
                  <w:vAlign w:val="center"/>
                </w:tcPr>
                <w:p w14:paraId="25FECCA5">
                  <w:pPr>
                    <w:jc w:val="center"/>
                    <w:rPr>
                      <w:color w:val="auto"/>
                    </w:rPr>
                  </w:pPr>
                  <w:r>
                    <w:rPr>
                      <w:color w:val="auto"/>
                    </w:rPr>
                    <w:t>200</w:t>
                  </w:r>
                </w:p>
              </w:tc>
              <w:tc>
                <w:tcPr>
                  <w:tcW w:w="988" w:type="dxa"/>
                  <w:tcBorders>
                    <w:tl2br w:val="nil"/>
                    <w:tr2bl w:val="nil"/>
                  </w:tcBorders>
                  <w:tcMar>
                    <w:top w:w="0" w:type="dxa"/>
                    <w:left w:w="57" w:type="dxa"/>
                    <w:bottom w:w="0" w:type="dxa"/>
                    <w:right w:w="57" w:type="dxa"/>
                  </w:tcMar>
                  <w:vAlign w:val="center"/>
                </w:tcPr>
                <w:p w14:paraId="05E42E63">
                  <w:pPr>
                    <w:jc w:val="center"/>
                    <w:rPr>
                      <w:color w:val="auto"/>
                    </w:rPr>
                  </w:pPr>
                  <w:r>
                    <w:rPr>
                      <w:rFonts w:hint="eastAsia"/>
                      <w:color w:val="auto"/>
                    </w:rPr>
                    <w:t>0.25</w:t>
                  </w:r>
                </w:p>
              </w:tc>
              <w:tc>
                <w:tcPr>
                  <w:tcW w:w="585" w:type="dxa"/>
                  <w:vMerge w:val="continue"/>
                  <w:tcBorders>
                    <w:tl2br w:val="nil"/>
                    <w:tr2bl w:val="nil"/>
                  </w:tcBorders>
                  <w:tcMar>
                    <w:top w:w="0" w:type="dxa"/>
                    <w:left w:w="57" w:type="dxa"/>
                    <w:bottom w:w="0" w:type="dxa"/>
                    <w:right w:w="57" w:type="dxa"/>
                  </w:tcMar>
                  <w:vAlign w:val="center"/>
                </w:tcPr>
                <w:p w14:paraId="1F979001">
                  <w:pPr>
                    <w:jc w:val="center"/>
                    <w:rPr>
                      <w:color w:val="auto"/>
                    </w:rPr>
                  </w:pPr>
                </w:p>
              </w:tc>
              <w:tc>
                <w:tcPr>
                  <w:tcW w:w="455" w:type="dxa"/>
                  <w:tcBorders>
                    <w:tl2br w:val="nil"/>
                    <w:tr2bl w:val="nil"/>
                  </w:tcBorders>
                  <w:tcMar>
                    <w:top w:w="0" w:type="dxa"/>
                    <w:left w:w="57" w:type="dxa"/>
                    <w:bottom w:w="0" w:type="dxa"/>
                    <w:right w:w="57" w:type="dxa"/>
                  </w:tcMar>
                  <w:vAlign w:val="center"/>
                </w:tcPr>
                <w:p w14:paraId="14790E93">
                  <w:pPr>
                    <w:jc w:val="center"/>
                    <w:rPr>
                      <w:color w:val="auto"/>
                    </w:rPr>
                  </w:pPr>
                  <w:r>
                    <w:rPr>
                      <w:color w:val="auto"/>
                    </w:rPr>
                    <w:t>60</w:t>
                  </w:r>
                </w:p>
              </w:tc>
              <w:tc>
                <w:tcPr>
                  <w:tcW w:w="1140" w:type="dxa"/>
                  <w:vMerge w:val="continue"/>
                  <w:tcBorders>
                    <w:tl2br w:val="nil"/>
                    <w:tr2bl w:val="nil"/>
                  </w:tcBorders>
                  <w:tcMar>
                    <w:top w:w="0" w:type="dxa"/>
                    <w:left w:w="57" w:type="dxa"/>
                    <w:bottom w:w="0" w:type="dxa"/>
                    <w:right w:w="57" w:type="dxa"/>
                  </w:tcMar>
                  <w:vAlign w:val="center"/>
                </w:tcPr>
                <w:p w14:paraId="1248DD2B">
                  <w:pPr>
                    <w:jc w:val="center"/>
                    <w:rPr>
                      <w:color w:val="auto"/>
                    </w:rPr>
                  </w:pPr>
                </w:p>
              </w:tc>
              <w:tc>
                <w:tcPr>
                  <w:tcW w:w="1076" w:type="dxa"/>
                  <w:tcBorders>
                    <w:tl2br w:val="nil"/>
                    <w:tr2bl w:val="nil"/>
                  </w:tcBorders>
                  <w:tcMar>
                    <w:top w:w="0" w:type="dxa"/>
                    <w:left w:w="57" w:type="dxa"/>
                    <w:bottom w:w="0" w:type="dxa"/>
                    <w:right w:w="57" w:type="dxa"/>
                  </w:tcMar>
                  <w:vAlign w:val="center"/>
                </w:tcPr>
                <w:p w14:paraId="3AB0E24C">
                  <w:pPr>
                    <w:jc w:val="center"/>
                    <w:rPr>
                      <w:color w:val="auto"/>
                    </w:rPr>
                  </w:pPr>
                  <w:r>
                    <w:rPr>
                      <w:color w:val="auto"/>
                    </w:rPr>
                    <w:t>80</w:t>
                  </w:r>
                </w:p>
              </w:tc>
              <w:tc>
                <w:tcPr>
                  <w:tcW w:w="988" w:type="dxa"/>
                  <w:tcBorders>
                    <w:tl2br w:val="nil"/>
                    <w:tr2bl w:val="nil"/>
                  </w:tcBorders>
                  <w:tcMar>
                    <w:top w:w="0" w:type="dxa"/>
                    <w:left w:w="57" w:type="dxa"/>
                    <w:bottom w:w="0" w:type="dxa"/>
                    <w:right w:w="57" w:type="dxa"/>
                  </w:tcMar>
                  <w:vAlign w:val="center"/>
                </w:tcPr>
                <w:p w14:paraId="76B88C5C">
                  <w:pPr>
                    <w:jc w:val="center"/>
                    <w:rPr>
                      <w:color w:val="auto"/>
                    </w:rPr>
                  </w:pPr>
                  <w:r>
                    <w:rPr>
                      <w:rFonts w:hint="eastAsia"/>
                      <w:color w:val="auto"/>
                    </w:rPr>
                    <w:t>0.1</w:t>
                  </w:r>
                </w:p>
              </w:tc>
              <w:tc>
                <w:tcPr>
                  <w:tcW w:w="713" w:type="dxa"/>
                  <w:tcBorders>
                    <w:tl2br w:val="nil"/>
                    <w:tr2bl w:val="nil"/>
                  </w:tcBorders>
                  <w:tcMar>
                    <w:top w:w="0" w:type="dxa"/>
                    <w:left w:w="57" w:type="dxa"/>
                    <w:bottom w:w="0" w:type="dxa"/>
                    <w:right w:w="57" w:type="dxa"/>
                  </w:tcMar>
                  <w:vAlign w:val="center"/>
                </w:tcPr>
                <w:p w14:paraId="0730A0AF">
                  <w:pPr>
                    <w:jc w:val="center"/>
                    <w:rPr>
                      <w:color w:val="auto"/>
                    </w:rPr>
                  </w:pPr>
                  <w:r>
                    <w:rPr>
                      <w:rFonts w:hint="eastAsia"/>
                      <w:color w:val="auto"/>
                      <w:lang w:val="en-US" w:eastAsia="zh-CN"/>
                    </w:rPr>
                    <w:t>/</w:t>
                  </w:r>
                </w:p>
              </w:tc>
              <w:tc>
                <w:tcPr>
                  <w:tcW w:w="713" w:type="dxa"/>
                  <w:tcBorders>
                    <w:tl2br w:val="nil"/>
                    <w:tr2bl w:val="nil"/>
                  </w:tcBorders>
                  <w:tcMar>
                    <w:top w:w="0" w:type="dxa"/>
                    <w:left w:w="57" w:type="dxa"/>
                    <w:bottom w:w="0" w:type="dxa"/>
                    <w:right w:w="57" w:type="dxa"/>
                  </w:tcMar>
                  <w:vAlign w:val="center"/>
                </w:tcPr>
                <w:p w14:paraId="78F17223">
                  <w:pPr>
                    <w:jc w:val="center"/>
                    <w:rPr>
                      <w:color w:val="auto"/>
                    </w:rPr>
                  </w:pPr>
                  <w:r>
                    <w:rPr>
                      <w:rFonts w:hint="eastAsia"/>
                      <w:color w:val="auto"/>
                      <w:lang w:val="en-US" w:eastAsia="zh-CN"/>
                    </w:rPr>
                    <w:t>/</w:t>
                  </w:r>
                </w:p>
              </w:tc>
              <w:tc>
                <w:tcPr>
                  <w:tcW w:w="1102" w:type="dxa"/>
                  <w:vMerge w:val="continue"/>
                  <w:tcBorders>
                    <w:tl2br w:val="nil"/>
                    <w:tr2bl w:val="nil"/>
                  </w:tcBorders>
                  <w:tcMar>
                    <w:top w:w="0" w:type="dxa"/>
                    <w:left w:w="57" w:type="dxa"/>
                    <w:bottom w:w="0" w:type="dxa"/>
                    <w:right w:w="57" w:type="dxa"/>
                  </w:tcMar>
                  <w:vAlign w:val="center"/>
                </w:tcPr>
                <w:p w14:paraId="72496DE6">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77F0A086">
                  <w:pPr>
                    <w:jc w:val="center"/>
                    <w:rPr>
                      <w:rFonts w:ascii="仿宋" w:hAnsi="仿宋" w:eastAsia="仿宋" w:cs="仿宋"/>
                      <w:b/>
                      <w:bCs/>
                      <w:color w:val="auto"/>
                      <w:kern w:val="0"/>
                      <w:sz w:val="18"/>
                      <w:szCs w:val="18"/>
                      <w:lang w:bidi="ar"/>
                    </w:rPr>
                  </w:pPr>
                </w:p>
              </w:tc>
            </w:tr>
            <w:tr w14:paraId="7298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restart"/>
                  <w:tcBorders>
                    <w:tl2br w:val="nil"/>
                    <w:tr2bl w:val="nil"/>
                  </w:tcBorders>
                  <w:tcMar>
                    <w:top w:w="0" w:type="dxa"/>
                    <w:left w:w="57" w:type="dxa"/>
                    <w:bottom w:w="0" w:type="dxa"/>
                    <w:right w:w="57" w:type="dxa"/>
                  </w:tcMar>
                  <w:vAlign w:val="center"/>
                </w:tcPr>
                <w:p w14:paraId="45C94D0F">
                  <w:pPr>
                    <w:jc w:val="center"/>
                    <w:rPr>
                      <w:rFonts w:ascii="仿宋" w:hAnsi="仿宋" w:eastAsia="仿宋" w:cs="仿宋"/>
                      <w:b/>
                      <w:bCs/>
                      <w:color w:val="auto"/>
                      <w:kern w:val="0"/>
                      <w:sz w:val="18"/>
                      <w:szCs w:val="18"/>
                      <w:lang w:bidi="ar"/>
                    </w:rPr>
                  </w:pPr>
                  <w:r>
                    <w:rPr>
                      <w:rFonts w:hint="eastAsia"/>
                      <w:color w:val="auto"/>
                    </w:rPr>
                    <w:t>混合废水</w:t>
                  </w:r>
                </w:p>
              </w:tc>
              <w:tc>
                <w:tcPr>
                  <w:tcW w:w="822" w:type="dxa"/>
                  <w:tcBorders>
                    <w:tl2br w:val="nil"/>
                    <w:tr2bl w:val="nil"/>
                  </w:tcBorders>
                  <w:shd w:val="clear" w:color="auto" w:fill="auto"/>
                  <w:tcMar>
                    <w:top w:w="0" w:type="dxa"/>
                    <w:left w:w="57" w:type="dxa"/>
                    <w:bottom w:w="0" w:type="dxa"/>
                    <w:right w:w="57" w:type="dxa"/>
                  </w:tcMar>
                  <w:vAlign w:val="center"/>
                </w:tcPr>
                <w:p w14:paraId="76A66C32">
                  <w:pPr>
                    <w:jc w:val="center"/>
                    <w:rPr>
                      <w:color w:val="auto"/>
                    </w:rPr>
                  </w:pPr>
                  <w:r>
                    <w:rPr>
                      <w:color w:val="auto"/>
                    </w:rPr>
                    <w:t>COD</w:t>
                  </w:r>
                </w:p>
              </w:tc>
              <w:tc>
                <w:tcPr>
                  <w:tcW w:w="1140" w:type="dxa"/>
                  <w:vMerge w:val="restart"/>
                  <w:tcBorders>
                    <w:tl2br w:val="nil"/>
                    <w:tr2bl w:val="nil"/>
                  </w:tcBorders>
                  <w:tcMar>
                    <w:top w:w="0" w:type="dxa"/>
                    <w:left w:w="57" w:type="dxa"/>
                    <w:bottom w:w="0" w:type="dxa"/>
                    <w:right w:w="57" w:type="dxa"/>
                  </w:tcMar>
                  <w:vAlign w:val="center"/>
                </w:tcPr>
                <w:p w14:paraId="73366E20">
                  <w:pPr>
                    <w:jc w:val="center"/>
                    <w:rPr>
                      <w:rFonts w:hint="default" w:eastAsia="宋体"/>
                      <w:color w:val="auto"/>
                      <w:lang w:val="en-US" w:eastAsia="zh-CN"/>
                    </w:rPr>
                  </w:pPr>
                  <w:r>
                    <w:rPr>
                      <w:rFonts w:hint="eastAsia"/>
                      <w:color w:val="auto"/>
                    </w:rPr>
                    <w:t>7</w:t>
                  </w:r>
                  <w:r>
                    <w:rPr>
                      <w:rFonts w:hint="eastAsia"/>
                      <w:color w:val="auto"/>
                      <w:lang w:val="en-US" w:eastAsia="zh-CN"/>
                    </w:rPr>
                    <w:t>488</w:t>
                  </w:r>
                </w:p>
              </w:tc>
              <w:tc>
                <w:tcPr>
                  <w:tcW w:w="1076" w:type="dxa"/>
                  <w:tcBorders>
                    <w:tl2br w:val="nil"/>
                    <w:tr2bl w:val="nil"/>
                  </w:tcBorders>
                  <w:tcMar>
                    <w:top w:w="0" w:type="dxa"/>
                    <w:left w:w="57" w:type="dxa"/>
                    <w:bottom w:w="0" w:type="dxa"/>
                    <w:right w:w="57" w:type="dxa"/>
                  </w:tcMar>
                  <w:vAlign w:val="center"/>
                </w:tcPr>
                <w:p w14:paraId="493903FC">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4</w:t>
                  </w:r>
                  <w:r>
                    <w:rPr>
                      <w:rFonts w:hint="eastAsia" w:ascii="Times New Roman" w:hAnsi="Times New Roman" w:eastAsia="宋体" w:cs="Times New Roman"/>
                      <w:color w:val="auto"/>
                      <w:lang w:val="en-US" w:eastAsia="zh-CN"/>
                    </w:rPr>
                    <w:t>17</w:t>
                  </w:r>
                </w:p>
              </w:tc>
              <w:tc>
                <w:tcPr>
                  <w:tcW w:w="988" w:type="dxa"/>
                  <w:tcBorders>
                    <w:tl2br w:val="nil"/>
                    <w:tr2bl w:val="nil"/>
                  </w:tcBorders>
                  <w:tcMar>
                    <w:top w:w="0" w:type="dxa"/>
                    <w:left w:w="57" w:type="dxa"/>
                    <w:bottom w:w="0" w:type="dxa"/>
                    <w:right w:w="57" w:type="dxa"/>
                  </w:tcMar>
                  <w:vAlign w:val="center"/>
                </w:tcPr>
                <w:p w14:paraId="247656D5">
                  <w:pPr>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3.12</w:t>
                  </w:r>
                </w:p>
              </w:tc>
              <w:tc>
                <w:tcPr>
                  <w:tcW w:w="585" w:type="dxa"/>
                  <w:vMerge w:val="restart"/>
                  <w:tcBorders>
                    <w:tl2br w:val="nil"/>
                    <w:tr2bl w:val="nil"/>
                  </w:tcBorders>
                  <w:tcMar>
                    <w:top w:w="0" w:type="dxa"/>
                    <w:left w:w="57" w:type="dxa"/>
                    <w:bottom w:w="0" w:type="dxa"/>
                    <w:right w:w="57" w:type="dxa"/>
                  </w:tcMar>
                  <w:vAlign w:val="center"/>
                </w:tcPr>
                <w:p w14:paraId="0B0130E8">
                  <w:pPr>
                    <w:jc w:val="center"/>
                    <w:rPr>
                      <w:rFonts w:ascii="Times New Roman" w:hAnsi="Times New Roman" w:eastAsia="宋体" w:cs="Times New Roman"/>
                      <w:color w:val="auto"/>
                    </w:rPr>
                  </w:pPr>
                  <w:r>
                    <w:rPr>
                      <w:rFonts w:hint="eastAsia" w:ascii="Times New Roman" w:hAnsi="Times New Roman" w:eastAsia="宋体" w:cs="Times New Roman"/>
                      <w:color w:val="auto"/>
                    </w:rPr>
                    <w:t>化粪池/隔油池</w:t>
                  </w:r>
                </w:p>
              </w:tc>
              <w:tc>
                <w:tcPr>
                  <w:tcW w:w="455" w:type="dxa"/>
                  <w:tcBorders>
                    <w:tl2br w:val="nil"/>
                    <w:tr2bl w:val="nil"/>
                  </w:tcBorders>
                  <w:shd w:val="clear" w:color="auto" w:fill="auto"/>
                  <w:tcMar>
                    <w:top w:w="0" w:type="dxa"/>
                    <w:left w:w="57" w:type="dxa"/>
                    <w:bottom w:w="0" w:type="dxa"/>
                    <w:right w:w="57" w:type="dxa"/>
                  </w:tcMar>
                  <w:vAlign w:val="center"/>
                </w:tcPr>
                <w:p w14:paraId="5D1AD451">
                  <w:pPr>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140" w:type="dxa"/>
                  <w:vMerge w:val="restart"/>
                  <w:tcBorders>
                    <w:tl2br w:val="nil"/>
                    <w:tr2bl w:val="nil"/>
                  </w:tcBorders>
                  <w:tcMar>
                    <w:top w:w="0" w:type="dxa"/>
                    <w:left w:w="57" w:type="dxa"/>
                    <w:bottom w:w="0" w:type="dxa"/>
                    <w:right w:w="57" w:type="dxa"/>
                  </w:tcMar>
                  <w:vAlign w:val="center"/>
                </w:tcPr>
                <w:p w14:paraId="6C94B7C7">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7488</w:t>
                  </w:r>
                </w:p>
              </w:tc>
              <w:tc>
                <w:tcPr>
                  <w:tcW w:w="1076" w:type="dxa"/>
                  <w:tcBorders>
                    <w:tl2br w:val="nil"/>
                    <w:tr2bl w:val="nil"/>
                  </w:tcBorders>
                  <w:shd w:val="clear" w:color="auto" w:fill="auto"/>
                  <w:tcMar>
                    <w:top w:w="0" w:type="dxa"/>
                    <w:left w:w="57" w:type="dxa"/>
                    <w:bottom w:w="0" w:type="dxa"/>
                    <w:right w:w="57" w:type="dxa"/>
                  </w:tcMar>
                  <w:vAlign w:val="center"/>
                </w:tcPr>
                <w:p w14:paraId="008547BE">
                  <w:pPr>
                    <w:jc w:val="center"/>
                    <w:rPr>
                      <w:rFonts w:ascii="Times New Roman" w:hAnsi="Times New Roman" w:eastAsia="宋体" w:cs="Times New Roman"/>
                      <w:color w:val="auto"/>
                    </w:rPr>
                  </w:pPr>
                  <w:r>
                    <w:rPr>
                      <w:rFonts w:hint="eastAsia" w:ascii="Times New Roman" w:hAnsi="Times New Roman" w:eastAsia="宋体" w:cs="Times New Roman"/>
                      <w:color w:val="auto"/>
                    </w:rPr>
                    <w:t>4</w:t>
                  </w:r>
                  <w:r>
                    <w:rPr>
                      <w:rFonts w:hint="eastAsia" w:ascii="Times New Roman" w:hAnsi="Times New Roman" w:eastAsia="宋体" w:cs="Times New Roman"/>
                      <w:color w:val="auto"/>
                      <w:lang w:val="en-US" w:eastAsia="zh-CN"/>
                    </w:rPr>
                    <w:t>17</w:t>
                  </w:r>
                </w:p>
              </w:tc>
              <w:tc>
                <w:tcPr>
                  <w:tcW w:w="988" w:type="dxa"/>
                  <w:tcBorders>
                    <w:tl2br w:val="nil"/>
                    <w:tr2bl w:val="nil"/>
                  </w:tcBorders>
                  <w:shd w:val="clear" w:color="auto" w:fill="auto"/>
                  <w:tcMar>
                    <w:top w:w="0" w:type="dxa"/>
                    <w:left w:w="57" w:type="dxa"/>
                    <w:bottom w:w="0" w:type="dxa"/>
                    <w:right w:w="57" w:type="dxa"/>
                  </w:tcMar>
                  <w:vAlign w:val="center"/>
                </w:tcPr>
                <w:p w14:paraId="5689A353">
                  <w:pPr>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3.12</w:t>
                  </w:r>
                </w:p>
              </w:tc>
              <w:tc>
                <w:tcPr>
                  <w:tcW w:w="713" w:type="dxa"/>
                  <w:tcBorders>
                    <w:tl2br w:val="nil"/>
                    <w:tr2bl w:val="nil"/>
                  </w:tcBorders>
                  <w:shd w:val="clear" w:color="auto" w:fill="auto"/>
                  <w:tcMar>
                    <w:top w:w="0" w:type="dxa"/>
                    <w:left w:w="57" w:type="dxa"/>
                    <w:bottom w:w="0" w:type="dxa"/>
                    <w:right w:w="57" w:type="dxa"/>
                  </w:tcMar>
                  <w:vAlign w:val="center"/>
                </w:tcPr>
                <w:p w14:paraId="5039F741">
                  <w:pPr>
                    <w:jc w:val="center"/>
                    <w:rPr>
                      <w:color w:val="auto"/>
                    </w:rPr>
                  </w:pPr>
                  <w:r>
                    <w:rPr>
                      <w:color w:val="auto"/>
                    </w:rPr>
                    <w:t>500</w:t>
                  </w:r>
                </w:p>
              </w:tc>
              <w:tc>
                <w:tcPr>
                  <w:tcW w:w="713" w:type="dxa"/>
                  <w:tcBorders>
                    <w:tl2br w:val="nil"/>
                    <w:tr2bl w:val="nil"/>
                  </w:tcBorders>
                  <w:tcMar>
                    <w:top w:w="0" w:type="dxa"/>
                    <w:left w:w="57" w:type="dxa"/>
                    <w:bottom w:w="0" w:type="dxa"/>
                    <w:right w:w="57" w:type="dxa"/>
                  </w:tcMar>
                  <w:vAlign w:val="center"/>
                </w:tcPr>
                <w:p w14:paraId="5DA458F0">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达标</w:t>
                  </w:r>
                </w:p>
              </w:tc>
              <w:tc>
                <w:tcPr>
                  <w:tcW w:w="1102" w:type="dxa"/>
                  <w:vMerge w:val="restart"/>
                  <w:tcBorders>
                    <w:tl2br w:val="nil"/>
                    <w:tr2bl w:val="nil"/>
                  </w:tcBorders>
                  <w:tcMar>
                    <w:top w:w="0" w:type="dxa"/>
                    <w:left w:w="57" w:type="dxa"/>
                    <w:bottom w:w="0" w:type="dxa"/>
                    <w:right w:w="57" w:type="dxa"/>
                  </w:tcMar>
                  <w:vAlign w:val="center"/>
                </w:tcPr>
                <w:p w14:paraId="544254B3">
                  <w:pPr>
                    <w:jc w:val="center"/>
                    <w:rPr>
                      <w:rFonts w:ascii="仿宋" w:hAnsi="仿宋" w:eastAsia="仿宋" w:cs="仿宋"/>
                      <w:b/>
                      <w:bCs/>
                      <w:color w:val="auto"/>
                      <w:kern w:val="0"/>
                      <w:sz w:val="18"/>
                      <w:szCs w:val="18"/>
                      <w:lang w:bidi="ar"/>
                    </w:rPr>
                  </w:pPr>
                  <w:r>
                    <w:rPr>
                      <w:rFonts w:hint="eastAsia"/>
                      <w:color w:val="auto"/>
                    </w:rPr>
                    <w:t>是</w:t>
                  </w:r>
                </w:p>
              </w:tc>
              <w:tc>
                <w:tcPr>
                  <w:tcW w:w="1948" w:type="dxa"/>
                  <w:vMerge w:val="restart"/>
                  <w:tcBorders>
                    <w:tl2br w:val="nil"/>
                    <w:tr2bl w:val="nil"/>
                  </w:tcBorders>
                  <w:tcMar>
                    <w:top w:w="0" w:type="dxa"/>
                    <w:left w:w="57" w:type="dxa"/>
                    <w:bottom w:w="0" w:type="dxa"/>
                    <w:right w:w="57" w:type="dxa"/>
                  </w:tcMar>
                  <w:vAlign w:val="center"/>
                </w:tcPr>
                <w:p w14:paraId="079F35AC">
                  <w:pPr>
                    <w:jc w:val="center"/>
                    <w:rPr>
                      <w:rFonts w:hint="eastAsia" w:ascii="仿宋" w:hAnsi="仿宋" w:eastAsia="宋体" w:cs="仿宋"/>
                      <w:b/>
                      <w:bCs/>
                      <w:color w:val="auto"/>
                      <w:kern w:val="0"/>
                      <w:sz w:val="18"/>
                      <w:szCs w:val="18"/>
                      <w:lang w:eastAsia="zh-CN" w:bidi="ar"/>
                    </w:rPr>
                  </w:pPr>
                  <w:r>
                    <w:rPr>
                      <w:rFonts w:hint="eastAsia"/>
                      <w:color w:val="auto"/>
                    </w:rPr>
                    <w:t>间接排放；排入</w:t>
                  </w:r>
                  <w:r>
                    <w:rPr>
                      <w:rFonts w:hint="eastAsia"/>
                      <w:color w:val="auto"/>
                      <w:lang w:eastAsia="zh-CN"/>
                    </w:rPr>
                    <w:t>常州市金坛区溪城污水处理有限公司直溪污水处理厂</w:t>
                  </w:r>
                </w:p>
              </w:tc>
            </w:tr>
            <w:tr w14:paraId="16B2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125D13C1">
                  <w:pPr>
                    <w:jc w:val="center"/>
                    <w:rPr>
                      <w:rFonts w:ascii="仿宋" w:hAnsi="仿宋" w:eastAsia="仿宋" w:cs="仿宋"/>
                      <w:b/>
                      <w:bCs/>
                      <w:color w:val="auto"/>
                      <w:kern w:val="0"/>
                      <w:sz w:val="18"/>
                      <w:szCs w:val="18"/>
                      <w:lang w:bidi="ar"/>
                    </w:rPr>
                  </w:pPr>
                </w:p>
              </w:tc>
              <w:tc>
                <w:tcPr>
                  <w:tcW w:w="822" w:type="dxa"/>
                  <w:tcBorders>
                    <w:tl2br w:val="nil"/>
                    <w:tr2bl w:val="nil"/>
                  </w:tcBorders>
                  <w:shd w:val="clear" w:color="auto" w:fill="auto"/>
                  <w:tcMar>
                    <w:top w:w="0" w:type="dxa"/>
                    <w:left w:w="57" w:type="dxa"/>
                    <w:bottom w:w="0" w:type="dxa"/>
                    <w:right w:w="57" w:type="dxa"/>
                  </w:tcMar>
                  <w:vAlign w:val="center"/>
                </w:tcPr>
                <w:p w14:paraId="7A0B3FF0">
                  <w:pPr>
                    <w:jc w:val="center"/>
                    <w:rPr>
                      <w:color w:val="auto"/>
                    </w:rPr>
                  </w:pPr>
                  <w:r>
                    <w:rPr>
                      <w:color w:val="auto"/>
                    </w:rPr>
                    <w:t>SS</w:t>
                  </w:r>
                </w:p>
              </w:tc>
              <w:tc>
                <w:tcPr>
                  <w:tcW w:w="1140" w:type="dxa"/>
                  <w:vMerge w:val="continue"/>
                  <w:tcBorders>
                    <w:tl2br w:val="nil"/>
                    <w:tr2bl w:val="nil"/>
                  </w:tcBorders>
                  <w:tcMar>
                    <w:top w:w="0" w:type="dxa"/>
                    <w:left w:w="57" w:type="dxa"/>
                    <w:bottom w:w="0" w:type="dxa"/>
                    <w:right w:w="57" w:type="dxa"/>
                  </w:tcMar>
                  <w:vAlign w:val="center"/>
                </w:tcPr>
                <w:p w14:paraId="5F978AA8">
                  <w:pPr>
                    <w:jc w:val="center"/>
                    <w:rPr>
                      <w:color w:val="auto"/>
                    </w:rPr>
                  </w:pPr>
                </w:p>
              </w:tc>
              <w:tc>
                <w:tcPr>
                  <w:tcW w:w="1076" w:type="dxa"/>
                  <w:tcBorders>
                    <w:tl2br w:val="nil"/>
                    <w:tr2bl w:val="nil"/>
                  </w:tcBorders>
                  <w:tcMar>
                    <w:top w:w="0" w:type="dxa"/>
                    <w:left w:w="57" w:type="dxa"/>
                    <w:bottom w:w="0" w:type="dxa"/>
                    <w:right w:w="57" w:type="dxa"/>
                  </w:tcMar>
                  <w:vAlign w:val="center"/>
                </w:tcPr>
                <w:p w14:paraId="4AB0B5A0">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283</w:t>
                  </w:r>
                </w:p>
              </w:tc>
              <w:tc>
                <w:tcPr>
                  <w:tcW w:w="988" w:type="dxa"/>
                  <w:tcBorders>
                    <w:tl2br w:val="nil"/>
                    <w:tr2bl w:val="nil"/>
                  </w:tcBorders>
                  <w:tcMar>
                    <w:top w:w="0" w:type="dxa"/>
                    <w:left w:w="57" w:type="dxa"/>
                    <w:bottom w:w="0" w:type="dxa"/>
                    <w:right w:w="57" w:type="dxa"/>
                  </w:tcMar>
                  <w:vAlign w:val="center"/>
                </w:tcPr>
                <w:p w14:paraId="1F4863DE">
                  <w:pPr>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2.122</w:t>
                  </w:r>
                </w:p>
              </w:tc>
              <w:tc>
                <w:tcPr>
                  <w:tcW w:w="585" w:type="dxa"/>
                  <w:vMerge w:val="continue"/>
                  <w:tcBorders>
                    <w:tl2br w:val="nil"/>
                    <w:tr2bl w:val="nil"/>
                  </w:tcBorders>
                  <w:tcMar>
                    <w:top w:w="0" w:type="dxa"/>
                    <w:left w:w="57" w:type="dxa"/>
                    <w:bottom w:w="0" w:type="dxa"/>
                    <w:right w:w="57" w:type="dxa"/>
                  </w:tcMar>
                  <w:vAlign w:val="center"/>
                </w:tcPr>
                <w:p w14:paraId="31C2D850">
                  <w:pPr>
                    <w:jc w:val="center"/>
                    <w:rPr>
                      <w:rFonts w:ascii="Times New Roman" w:hAnsi="Times New Roman" w:eastAsia="宋体" w:cs="Times New Roman"/>
                      <w:color w:val="auto"/>
                    </w:rPr>
                  </w:pPr>
                </w:p>
              </w:tc>
              <w:tc>
                <w:tcPr>
                  <w:tcW w:w="455" w:type="dxa"/>
                  <w:tcBorders>
                    <w:tl2br w:val="nil"/>
                    <w:tr2bl w:val="nil"/>
                  </w:tcBorders>
                  <w:shd w:val="clear" w:color="auto" w:fill="auto"/>
                  <w:tcMar>
                    <w:top w:w="0" w:type="dxa"/>
                    <w:left w:w="57" w:type="dxa"/>
                    <w:bottom w:w="0" w:type="dxa"/>
                    <w:right w:w="57" w:type="dxa"/>
                  </w:tcMar>
                  <w:vAlign w:val="center"/>
                </w:tcPr>
                <w:p w14:paraId="22108F85">
                  <w:pPr>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140" w:type="dxa"/>
                  <w:vMerge w:val="continue"/>
                  <w:tcBorders>
                    <w:tl2br w:val="nil"/>
                    <w:tr2bl w:val="nil"/>
                  </w:tcBorders>
                  <w:tcMar>
                    <w:top w:w="0" w:type="dxa"/>
                    <w:left w:w="57" w:type="dxa"/>
                    <w:bottom w:w="0" w:type="dxa"/>
                    <w:right w:w="57" w:type="dxa"/>
                  </w:tcMar>
                  <w:vAlign w:val="center"/>
                </w:tcPr>
                <w:p w14:paraId="06921201">
                  <w:pPr>
                    <w:jc w:val="center"/>
                    <w:rPr>
                      <w:rFonts w:ascii="Times New Roman" w:hAnsi="Times New Roman" w:eastAsia="宋体" w:cs="Times New Roman"/>
                      <w:color w:val="auto"/>
                    </w:rPr>
                  </w:pPr>
                </w:p>
              </w:tc>
              <w:tc>
                <w:tcPr>
                  <w:tcW w:w="1076" w:type="dxa"/>
                  <w:tcBorders>
                    <w:tl2br w:val="nil"/>
                    <w:tr2bl w:val="nil"/>
                  </w:tcBorders>
                  <w:shd w:val="clear" w:color="auto" w:fill="auto"/>
                  <w:tcMar>
                    <w:top w:w="0" w:type="dxa"/>
                    <w:left w:w="57" w:type="dxa"/>
                    <w:bottom w:w="0" w:type="dxa"/>
                    <w:right w:w="57" w:type="dxa"/>
                  </w:tcMar>
                  <w:vAlign w:val="center"/>
                </w:tcPr>
                <w:p w14:paraId="6CADEBBE">
                  <w:pPr>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283</w:t>
                  </w:r>
                </w:p>
              </w:tc>
              <w:tc>
                <w:tcPr>
                  <w:tcW w:w="988" w:type="dxa"/>
                  <w:tcBorders>
                    <w:tl2br w:val="nil"/>
                    <w:tr2bl w:val="nil"/>
                  </w:tcBorders>
                  <w:shd w:val="clear" w:color="auto" w:fill="auto"/>
                  <w:tcMar>
                    <w:top w:w="0" w:type="dxa"/>
                    <w:left w:w="57" w:type="dxa"/>
                    <w:bottom w:w="0" w:type="dxa"/>
                    <w:right w:w="57" w:type="dxa"/>
                  </w:tcMar>
                  <w:vAlign w:val="center"/>
                </w:tcPr>
                <w:p w14:paraId="4F13297F">
                  <w:pPr>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2.122</w:t>
                  </w:r>
                </w:p>
              </w:tc>
              <w:tc>
                <w:tcPr>
                  <w:tcW w:w="713" w:type="dxa"/>
                  <w:tcBorders>
                    <w:tl2br w:val="nil"/>
                    <w:tr2bl w:val="nil"/>
                  </w:tcBorders>
                  <w:shd w:val="clear" w:color="auto" w:fill="auto"/>
                  <w:tcMar>
                    <w:top w:w="0" w:type="dxa"/>
                    <w:left w:w="57" w:type="dxa"/>
                    <w:bottom w:w="0" w:type="dxa"/>
                    <w:right w:w="57" w:type="dxa"/>
                  </w:tcMar>
                  <w:vAlign w:val="center"/>
                </w:tcPr>
                <w:p w14:paraId="24844CB4">
                  <w:pPr>
                    <w:jc w:val="center"/>
                    <w:rPr>
                      <w:color w:val="auto"/>
                    </w:rPr>
                  </w:pPr>
                  <w:r>
                    <w:rPr>
                      <w:color w:val="auto"/>
                    </w:rPr>
                    <w:t>400</w:t>
                  </w:r>
                </w:p>
              </w:tc>
              <w:tc>
                <w:tcPr>
                  <w:tcW w:w="713" w:type="dxa"/>
                  <w:tcBorders>
                    <w:tl2br w:val="nil"/>
                    <w:tr2bl w:val="nil"/>
                  </w:tcBorders>
                  <w:tcMar>
                    <w:top w:w="0" w:type="dxa"/>
                    <w:left w:w="57" w:type="dxa"/>
                    <w:bottom w:w="0" w:type="dxa"/>
                    <w:right w:w="57" w:type="dxa"/>
                  </w:tcMar>
                  <w:vAlign w:val="center"/>
                </w:tcPr>
                <w:p w14:paraId="43AD971E">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达标</w:t>
                  </w:r>
                </w:p>
              </w:tc>
              <w:tc>
                <w:tcPr>
                  <w:tcW w:w="1102" w:type="dxa"/>
                  <w:vMerge w:val="continue"/>
                  <w:tcBorders>
                    <w:tl2br w:val="nil"/>
                    <w:tr2bl w:val="nil"/>
                  </w:tcBorders>
                  <w:tcMar>
                    <w:top w:w="0" w:type="dxa"/>
                    <w:left w:w="57" w:type="dxa"/>
                    <w:bottom w:w="0" w:type="dxa"/>
                    <w:right w:w="57" w:type="dxa"/>
                  </w:tcMar>
                  <w:vAlign w:val="center"/>
                </w:tcPr>
                <w:p w14:paraId="4B0981EE">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3866D862">
                  <w:pPr>
                    <w:jc w:val="center"/>
                    <w:rPr>
                      <w:rFonts w:ascii="仿宋" w:hAnsi="仿宋" w:eastAsia="仿宋" w:cs="仿宋"/>
                      <w:b/>
                      <w:bCs/>
                      <w:color w:val="auto"/>
                      <w:kern w:val="0"/>
                      <w:sz w:val="18"/>
                      <w:szCs w:val="18"/>
                      <w:lang w:bidi="ar"/>
                    </w:rPr>
                  </w:pPr>
                </w:p>
              </w:tc>
            </w:tr>
            <w:tr w14:paraId="2E85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0F642BC5">
                  <w:pPr>
                    <w:jc w:val="center"/>
                    <w:rPr>
                      <w:rFonts w:ascii="仿宋" w:hAnsi="仿宋" w:eastAsia="仿宋" w:cs="仿宋"/>
                      <w:b/>
                      <w:bCs/>
                      <w:color w:val="auto"/>
                      <w:kern w:val="0"/>
                      <w:sz w:val="18"/>
                      <w:szCs w:val="18"/>
                      <w:lang w:bidi="ar"/>
                    </w:rPr>
                  </w:pPr>
                </w:p>
              </w:tc>
              <w:tc>
                <w:tcPr>
                  <w:tcW w:w="822" w:type="dxa"/>
                  <w:tcBorders>
                    <w:tl2br w:val="nil"/>
                    <w:tr2bl w:val="nil"/>
                  </w:tcBorders>
                  <w:shd w:val="clear" w:color="auto" w:fill="auto"/>
                  <w:tcMar>
                    <w:top w:w="0" w:type="dxa"/>
                    <w:left w:w="57" w:type="dxa"/>
                    <w:bottom w:w="0" w:type="dxa"/>
                    <w:right w:w="57" w:type="dxa"/>
                  </w:tcMar>
                  <w:vAlign w:val="center"/>
                </w:tcPr>
                <w:p w14:paraId="5D59D9AC">
                  <w:pPr>
                    <w:jc w:val="center"/>
                    <w:rPr>
                      <w:color w:val="auto"/>
                    </w:rPr>
                  </w:pPr>
                  <w:r>
                    <w:rPr>
                      <w:color w:val="auto"/>
                    </w:rPr>
                    <w:t>NH3-N</w:t>
                  </w:r>
                </w:p>
              </w:tc>
              <w:tc>
                <w:tcPr>
                  <w:tcW w:w="1140" w:type="dxa"/>
                  <w:vMerge w:val="continue"/>
                  <w:tcBorders>
                    <w:tl2br w:val="nil"/>
                    <w:tr2bl w:val="nil"/>
                  </w:tcBorders>
                  <w:tcMar>
                    <w:top w:w="0" w:type="dxa"/>
                    <w:left w:w="57" w:type="dxa"/>
                    <w:bottom w:w="0" w:type="dxa"/>
                    <w:right w:w="57" w:type="dxa"/>
                  </w:tcMar>
                  <w:vAlign w:val="center"/>
                </w:tcPr>
                <w:p w14:paraId="7D6AD87D">
                  <w:pPr>
                    <w:jc w:val="center"/>
                    <w:rPr>
                      <w:color w:val="auto"/>
                    </w:rPr>
                  </w:pPr>
                </w:p>
              </w:tc>
              <w:tc>
                <w:tcPr>
                  <w:tcW w:w="1076" w:type="dxa"/>
                  <w:tcBorders>
                    <w:tl2br w:val="nil"/>
                    <w:tr2bl w:val="nil"/>
                  </w:tcBorders>
                  <w:tcMar>
                    <w:top w:w="0" w:type="dxa"/>
                    <w:left w:w="57" w:type="dxa"/>
                    <w:bottom w:w="0" w:type="dxa"/>
                    <w:right w:w="57" w:type="dxa"/>
                  </w:tcMar>
                  <w:vAlign w:val="center"/>
                </w:tcPr>
                <w:p w14:paraId="2247562B">
                  <w:pPr>
                    <w:jc w:val="center"/>
                    <w:rPr>
                      <w:rFonts w:ascii="Times New Roman" w:hAnsi="Times New Roman" w:eastAsia="宋体" w:cs="Times New Roman"/>
                      <w:color w:val="auto"/>
                    </w:rPr>
                  </w:pPr>
                  <w:r>
                    <w:rPr>
                      <w:rFonts w:hint="eastAsia" w:ascii="Times New Roman" w:hAnsi="Times New Roman" w:eastAsia="宋体" w:cs="Times New Roman"/>
                      <w:color w:val="auto"/>
                    </w:rPr>
                    <w:t>42</w:t>
                  </w:r>
                </w:p>
              </w:tc>
              <w:tc>
                <w:tcPr>
                  <w:tcW w:w="988" w:type="dxa"/>
                  <w:tcBorders>
                    <w:tl2br w:val="nil"/>
                    <w:tr2bl w:val="nil"/>
                  </w:tcBorders>
                  <w:tcMar>
                    <w:top w:w="0" w:type="dxa"/>
                    <w:left w:w="57" w:type="dxa"/>
                    <w:bottom w:w="0" w:type="dxa"/>
                    <w:right w:w="57" w:type="dxa"/>
                  </w:tcMar>
                  <w:vAlign w:val="center"/>
                </w:tcPr>
                <w:p w14:paraId="3652B1D2">
                  <w:pPr>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0.317</w:t>
                  </w:r>
                </w:p>
              </w:tc>
              <w:tc>
                <w:tcPr>
                  <w:tcW w:w="585" w:type="dxa"/>
                  <w:vMerge w:val="continue"/>
                  <w:tcBorders>
                    <w:tl2br w:val="nil"/>
                    <w:tr2bl w:val="nil"/>
                  </w:tcBorders>
                  <w:tcMar>
                    <w:top w:w="0" w:type="dxa"/>
                    <w:left w:w="57" w:type="dxa"/>
                    <w:bottom w:w="0" w:type="dxa"/>
                    <w:right w:w="57" w:type="dxa"/>
                  </w:tcMar>
                  <w:vAlign w:val="center"/>
                </w:tcPr>
                <w:p w14:paraId="38A1D5C0">
                  <w:pPr>
                    <w:jc w:val="center"/>
                    <w:rPr>
                      <w:rFonts w:ascii="Times New Roman" w:hAnsi="Times New Roman" w:eastAsia="宋体" w:cs="Times New Roman"/>
                      <w:color w:val="auto"/>
                    </w:rPr>
                  </w:pPr>
                </w:p>
              </w:tc>
              <w:tc>
                <w:tcPr>
                  <w:tcW w:w="455" w:type="dxa"/>
                  <w:tcBorders>
                    <w:tl2br w:val="nil"/>
                    <w:tr2bl w:val="nil"/>
                  </w:tcBorders>
                  <w:shd w:val="clear" w:color="auto" w:fill="auto"/>
                  <w:tcMar>
                    <w:top w:w="0" w:type="dxa"/>
                    <w:left w:w="57" w:type="dxa"/>
                    <w:bottom w:w="0" w:type="dxa"/>
                    <w:right w:w="57" w:type="dxa"/>
                  </w:tcMar>
                  <w:vAlign w:val="center"/>
                </w:tcPr>
                <w:p w14:paraId="7F2C2A96">
                  <w:pPr>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140" w:type="dxa"/>
                  <w:vMerge w:val="continue"/>
                  <w:tcBorders>
                    <w:tl2br w:val="nil"/>
                    <w:tr2bl w:val="nil"/>
                  </w:tcBorders>
                  <w:tcMar>
                    <w:top w:w="0" w:type="dxa"/>
                    <w:left w:w="57" w:type="dxa"/>
                    <w:bottom w:w="0" w:type="dxa"/>
                    <w:right w:w="57" w:type="dxa"/>
                  </w:tcMar>
                  <w:vAlign w:val="center"/>
                </w:tcPr>
                <w:p w14:paraId="6D435F12">
                  <w:pPr>
                    <w:jc w:val="center"/>
                    <w:rPr>
                      <w:rFonts w:ascii="Times New Roman" w:hAnsi="Times New Roman" w:eastAsia="宋体" w:cs="Times New Roman"/>
                      <w:color w:val="auto"/>
                    </w:rPr>
                  </w:pPr>
                </w:p>
              </w:tc>
              <w:tc>
                <w:tcPr>
                  <w:tcW w:w="1076" w:type="dxa"/>
                  <w:tcBorders>
                    <w:tl2br w:val="nil"/>
                    <w:tr2bl w:val="nil"/>
                  </w:tcBorders>
                  <w:shd w:val="clear" w:color="auto" w:fill="auto"/>
                  <w:tcMar>
                    <w:top w:w="0" w:type="dxa"/>
                    <w:left w:w="57" w:type="dxa"/>
                    <w:bottom w:w="0" w:type="dxa"/>
                    <w:right w:w="57" w:type="dxa"/>
                  </w:tcMar>
                  <w:vAlign w:val="center"/>
                </w:tcPr>
                <w:p w14:paraId="44B1BBE2">
                  <w:pPr>
                    <w:jc w:val="center"/>
                    <w:rPr>
                      <w:rFonts w:ascii="Times New Roman" w:hAnsi="Times New Roman" w:eastAsia="宋体" w:cs="Times New Roman"/>
                      <w:color w:val="auto"/>
                    </w:rPr>
                  </w:pPr>
                  <w:r>
                    <w:rPr>
                      <w:rFonts w:hint="eastAsia" w:ascii="Times New Roman" w:hAnsi="Times New Roman" w:eastAsia="宋体" w:cs="Times New Roman"/>
                      <w:color w:val="auto"/>
                    </w:rPr>
                    <w:t>42</w:t>
                  </w:r>
                </w:p>
              </w:tc>
              <w:tc>
                <w:tcPr>
                  <w:tcW w:w="988" w:type="dxa"/>
                  <w:tcBorders>
                    <w:tl2br w:val="nil"/>
                    <w:tr2bl w:val="nil"/>
                  </w:tcBorders>
                  <w:shd w:val="clear" w:color="auto" w:fill="auto"/>
                  <w:tcMar>
                    <w:top w:w="0" w:type="dxa"/>
                    <w:left w:w="57" w:type="dxa"/>
                    <w:bottom w:w="0" w:type="dxa"/>
                    <w:right w:w="57" w:type="dxa"/>
                  </w:tcMar>
                  <w:vAlign w:val="center"/>
                </w:tcPr>
                <w:p w14:paraId="149C8E11">
                  <w:pPr>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0.317</w:t>
                  </w:r>
                </w:p>
              </w:tc>
              <w:tc>
                <w:tcPr>
                  <w:tcW w:w="713" w:type="dxa"/>
                  <w:tcBorders>
                    <w:tl2br w:val="nil"/>
                    <w:tr2bl w:val="nil"/>
                  </w:tcBorders>
                  <w:shd w:val="clear" w:color="auto" w:fill="auto"/>
                  <w:tcMar>
                    <w:top w:w="0" w:type="dxa"/>
                    <w:left w:w="57" w:type="dxa"/>
                    <w:bottom w:w="0" w:type="dxa"/>
                    <w:right w:w="57" w:type="dxa"/>
                  </w:tcMar>
                  <w:vAlign w:val="center"/>
                </w:tcPr>
                <w:p w14:paraId="1D3E861A">
                  <w:pPr>
                    <w:jc w:val="center"/>
                    <w:rPr>
                      <w:color w:val="auto"/>
                    </w:rPr>
                  </w:pPr>
                  <w:r>
                    <w:rPr>
                      <w:color w:val="auto"/>
                    </w:rPr>
                    <w:t>45</w:t>
                  </w:r>
                </w:p>
              </w:tc>
              <w:tc>
                <w:tcPr>
                  <w:tcW w:w="713" w:type="dxa"/>
                  <w:tcBorders>
                    <w:tl2br w:val="nil"/>
                    <w:tr2bl w:val="nil"/>
                  </w:tcBorders>
                  <w:tcMar>
                    <w:top w:w="0" w:type="dxa"/>
                    <w:left w:w="57" w:type="dxa"/>
                    <w:bottom w:w="0" w:type="dxa"/>
                    <w:right w:w="57" w:type="dxa"/>
                  </w:tcMar>
                  <w:vAlign w:val="center"/>
                </w:tcPr>
                <w:p w14:paraId="67A79DC3">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达标</w:t>
                  </w:r>
                </w:p>
              </w:tc>
              <w:tc>
                <w:tcPr>
                  <w:tcW w:w="1102" w:type="dxa"/>
                  <w:vMerge w:val="continue"/>
                  <w:tcBorders>
                    <w:tl2br w:val="nil"/>
                    <w:tr2bl w:val="nil"/>
                  </w:tcBorders>
                  <w:tcMar>
                    <w:top w:w="0" w:type="dxa"/>
                    <w:left w:w="57" w:type="dxa"/>
                    <w:bottom w:w="0" w:type="dxa"/>
                    <w:right w:w="57" w:type="dxa"/>
                  </w:tcMar>
                  <w:vAlign w:val="center"/>
                </w:tcPr>
                <w:p w14:paraId="2C71BD2D">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4DB6DC21">
                  <w:pPr>
                    <w:jc w:val="center"/>
                    <w:rPr>
                      <w:rFonts w:ascii="仿宋" w:hAnsi="仿宋" w:eastAsia="仿宋" w:cs="仿宋"/>
                      <w:b/>
                      <w:bCs/>
                      <w:color w:val="auto"/>
                      <w:kern w:val="0"/>
                      <w:sz w:val="18"/>
                      <w:szCs w:val="18"/>
                      <w:lang w:bidi="ar"/>
                    </w:rPr>
                  </w:pPr>
                </w:p>
              </w:tc>
            </w:tr>
            <w:tr w14:paraId="7809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52A70FD4">
                  <w:pPr>
                    <w:jc w:val="center"/>
                    <w:rPr>
                      <w:rFonts w:ascii="仿宋" w:hAnsi="仿宋" w:eastAsia="仿宋" w:cs="仿宋"/>
                      <w:b/>
                      <w:bCs/>
                      <w:color w:val="auto"/>
                      <w:kern w:val="0"/>
                      <w:sz w:val="18"/>
                      <w:szCs w:val="18"/>
                      <w:lang w:bidi="ar"/>
                    </w:rPr>
                  </w:pPr>
                </w:p>
              </w:tc>
              <w:tc>
                <w:tcPr>
                  <w:tcW w:w="822" w:type="dxa"/>
                  <w:tcBorders>
                    <w:tl2br w:val="nil"/>
                    <w:tr2bl w:val="nil"/>
                  </w:tcBorders>
                  <w:shd w:val="clear" w:color="auto" w:fill="auto"/>
                  <w:tcMar>
                    <w:top w:w="0" w:type="dxa"/>
                    <w:left w:w="57" w:type="dxa"/>
                    <w:bottom w:w="0" w:type="dxa"/>
                    <w:right w:w="57" w:type="dxa"/>
                  </w:tcMar>
                  <w:vAlign w:val="center"/>
                </w:tcPr>
                <w:p w14:paraId="7DF9D41C">
                  <w:pPr>
                    <w:jc w:val="center"/>
                    <w:rPr>
                      <w:color w:val="auto"/>
                    </w:rPr>
                  </w:pPr>
                  <w:r>
                    <w:rPr>
                      <w:color w:val="auto"/>
                    </w:rPr>
                    <w:t>TN</w:t>
                  </w:r>
                </w:p>
              </w:tc>
              <w:tc>
                <w:tcPr>
                  <w:tcW w:w="1140" w:type="dxa"/>
                  <w:vMerge w:val="continue"/>
                  <w:tcBorders>
                    <w:tl2br w:val="nil"/>
                    <w:tr2bl w:val="nil"/>
                  </w:tcBorders>
                  <w:tcMar>
                    <w:top w:w="0" w:type="dxa"/>
                    <w:left w:w="57" w:type="dxa"/>
                    <w:bottom w:w="0" w:type="dxa"/>
                    <w:right w:w="57" w:type="dxa"/>
                  </w:tcMar>
                  <w:vAlign w:val="center"/>
                </w:tcPr>
                <w:p w14:paraId="394EF08D">
                  <w:pPr>
                    <w:jc w:val="center"/>
                    <w:rPr>
                      <w:color w:val="auto"/>
                    </w:rPr>
                  </w:pPr>
                </w:p>
              </w:tc>
              <w:tc>
                <w:tcPr>
                  <w:tcW w:w="1076" w:type="dxa"/>
                  <w:tcBorders>
                    <w:tl2br w:val="nil"/>
                    <w:tr2bl w:val="nil"/>
                  </w:tcBorders>
                  <w:tcMar>
                    <w:top w:w="0" w:type="dxa"/>
                    <w:left w:w="57" w:type="dxa"/>
                    <w:bottom w:w="0" w:type="dxa"/>
                    <w:right w:w="57" w:type="dxa"/>
                  </w:tcMar>
                  <w:vAlign w:val="center"/>
                </w:tcPr>
                <w:p w14:paraId="4381F93A">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6</w:t>
                  </w:r>
                  <w:r>
                    <w:rPr>
                      <w:rFonts w:hint="eastAsia" w:ascii="Times New Roman" w:hAnsi="Times New Roman" w:eastAsia="宋体" w:cs="Times New Roman"/>
                      <w:color w:val="auto"/>
                      <w:lang w:val="en-US" w:eastAsia="zh-CN"/>
                    </w:rPr>
                    <w:t>8</w:t>
                  </w:r>
                </w:p>
              </w:tc>
              <w:tc>
                <w:tcPr>
                  <w:tcW w:w="988" w:type="dxa"/>
                  <w:tcBorders>
                    <w:tl2br w:val="nil"/>
                    <w:tr2bl w:val="nil"/>
                  </w:tcBorders>
                  <w:tcMar>
                    <w:top w:w="0" w:type="dxa"/>
                    <w:left w:w="57" w:type="dxa"/>
                    <w:bottom w:w="0" w:type="dxa"/>
                    <w:right w:w="57" w:type="dxa"/>
                  </w:tcMar>
                  <w:vAlign w:val="center"/>
                </w:tcPr>
                <w:p w14:paraId="54DAE4D5">
                  <w:pPr>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0.515</w:t>
                  </w:r>
                </w:p>
              </w:tc>
              <w:tc>
                <w:tcPr>
                  <w:tcW w:w="585" w:type="dxa"/>
                  <w:vMerge w:val="continue"/>
                  <w:tcBorders>
                    <w:tl2br w:val="nil"/>
                    <w:tr2bl w:val="nil"/>
                  </w:tcBorders>
                  <w:tcMar>
                    <w:top w:w="0" w:type="dxa"/>
                    <w:left w:w="57" w:type="dxa"/>
                    <w:bottom w:w="0" w:type="dxa"/>
                    <w:right w:w="57" w:type="dxa"/>
                  </w:tcMar>
                  <w:vAlign w:val="center"/>
                </w:tcPr>
                <w:p w14:paraId="6C09D5CD">
                  <w:pPr>
                    <w:jc w:val="center"/>
                    <w:rPr>
                      <w:rFonts w:ascii="Times New Roman" w:hAnsi="Times New Roman" w:eastAsia="宋体" w:cs="Times New Roman"/>
                      <w:color w:val="auto"/>
                    </w:rPr>
                  </w:pPr>
                </w:p>
              </w:tc>
              <w:tc>
                <w:tcPr>
                  <w:tcW w:w="455" w:type="dxa"/>
                  <w:tcBorders>
                    <w:tl2br w:val="nil"/>
                    <w:tr2bl w:val="nil"/>
                  </w:tcBorders>
                  <w:shd w:val="clear" w:color="auto" w:fill="auto"/>
                  <w:tcMar>
                    <w:top w:w="0" w:type="dxa"/>
                    <w:left w:w="57" w:type="dxa"/>
                    <w:bottom w:w="0" w:type="dxa"/>
                    <w:right w:w="57" w:type="dxa"/>
                  </w:tcMar>
                  <w:vAlign w:val="center"/>
                </w:tcPr>
                <w:p w14:paraId="48952F54">
                  <w:pPr>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140" w:type="dxa"/>
                  <w:vMerge w:val="continue"/>
                  <w:tcBorders>
                    <w:tl2br w:val="nil"/>
                    <w:tr2bl w:val="nil"/>
                  </w:tcBorders>
                  <w:tcMar>
                    <w:top w:w="0" w:type="dxa"/>
                    <w:left w:w="57" w:type="dxa"/>
                    <w:bottom w:w="0" w:type="dxa"/>
                    <w:right w:w="57" w:type="dxa"/>
                  </w:tcMar>
                  <w:vAlign w:val="center"/>
                </w:tcPr>
                <w:p w14:paraId="6199EB82">
                  <w:pPr>
                    <w:jc w:val="center"/>
                    <w:rPr>
                      <w:rFonts w:ascii="Times New Roman" w:hAnsi="Times New Roman" w:eastAsia="宋体" w:cs="Times New Roman"/>
                      <w:color w:val="auto"/>
                    </w:rPr>
                  </w:pPr>
                </w:p>
              </w:tc>
              <w:tc>
                <w:tcPr>
                  <w:tcW w:w="1076" w:type="dxa"/>
                  <w:tcBorders>
                    <w:tl2br w:val="nil"/>
                    <w:tr2bl w:val="nil"/>
                  </w:tcBorders>
                  <w:shd w:val="clear" w:color="auto" w:fill="auto"/>
                  <w:tcMar>
                    <w:top w:w="0" w:type="dxa"/>
                    <w:left w:w="57" w:type="dxa"/>
                    <w:bottom w:w="0" w:type="dxa"/>
                    <w:right w:w="57" w:type="dxa"/>
                  </w:tcMar>
                  <w:vAlign w:val="center"/>
                </w:tcPr>
                <w:p w14:paraId="0D0705B5">
                  <w:pPr>
                    <w:jc w:val="center"/>
                    <w:rPr>
                      <w:rFonts w:ascii="Times New Roman" w:hAnsi="Times New Roman" w:eastAsia="宋体" w:cs="Times New Roman"/>
                      <w:color w:val="auto"/>
                    </w:rPr>
                  </w:pPr>
                  <w:r>
                    <w:rPr>
                      <w:rFonts w:hint="eastAsia" w:ascii="Times New Roman" w:hAnsi="Times New Roman" w:eastAsia="宋体" w:cs="Times New Roman"/>
                      <w:color w:val="auto"/>
                    </w:rPr>
                    <w:t>6</w:t>
                  </w:r>
                  <w:r>
                    <w:rPr>
                      <w:rFonts w:hint="eastAsia" w:ascii="Times New Roman" w:hAnsi="Times New Roman" w:eastAsia="宋体" w:cs="Times New Roman"/>
                      <w:color w:val="auto"/>
                      <w:lang w:val="en-US" w:eastAsia="zh-CN"/>
                    </w:rPr>
                    <w:t>8</w:t>
                  </w:r>
                </w:p>
              </w:tc>
              <w:tc>
                <w:tcPr>
                  <w:tcW w:w="988" w:type="dxa"/>
                  <w:tcBorders>
                    <w:tl2br w:val="nil"/>
                    <w:tr2bl w:val="nil"/>
                  </w:tcBorders>
                  <w:shd w:val="clear" w:color="auto" w:fill="auto"/>
                  <w:tcMar>
                    <w:top w:w="0" w:type="dxa"/>
                    <w:left w:w="57" w:type="dxa"/>
                    <w:bottom w:w="0" w:type="dxa"/>
                    <w:right w:w="57" w:type="dxa"/>
                  </w:tcMar>
                  <w:vAlign w:val="center"/>
                </w:tcPr>
                <w:p w14:paraId="686D197D">
                  <w:pPr>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0.515</w:t>
                  </w:r>
                </w:p>
              </w:tc>
              <w:tc>
                <w:tcPr>
                  <w:tcW w:w="713" w:type="dxa"/>
                  <w:tcBorders>
                    <w:tl2br w:val="nil"/>
                    <w:tr2bl w:val="nil"/>
                  </w:tcBorders>
                  <w:shd w:val="clear" w:color="auto" w:fill="auto"/>
                  <w:tcMar>
                    <w:top w:w="0" w:type="dxa"/>
                    <w:left w:w="57" w:type="dxa"/>
                    <w:bottom w:w="0" w:type="dxa"/>
                    <w:right w:w="57" w:type="dxa"/>
                  </w:tcMar>
                  <w:vAlign w:val="center"/>
                </w:tcPr>
                <w:p w14:paraId="6D1D6BC9">
                  <w:pPr>
                    <w:jc w:val="center"/>
                    <w:rPr>
                      <w:color w:val="auto"/>
                    </w:rPr>
                  </w:pPr>
                  <w:r>
                    <w:rPr>
                      <w:color w:val="auto"/>
                    </w:rPr>
                    <w:t>70</w:t>
                  </w:r>
                </w:p>
              </w:tc>
              <w:tc>
                <w:tcPr>
                  <w:tcW w:w="713" w:type="dxa"/>
                  <w:tcBorders>
                    <w:tl2br w:val="nil"/>
                    <w:tr2bl w:val="nil"/>
                  </w:tcBorders>
                  <w:tcMar>
                    <w:top w:w="0" w:type="dxa"/>
                    <w:left w:w="57" w:type="dxa"/>
                    <w:bottom w:w="0" w:type="dxa"/>
                    <w:right w:w="57" w:type="dxa"/>
                  </w:tcMar>
                  <w:vAlign w:val="center"/>
                </w:tcPr>
                <w:p w14:paraId="1074AD17">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达标</w:t>
                  </w:r>
                </w:p>
              </w:tc>
              <w:tc>
                <w:tcPr>
                  <w:tcW w:w="1102" w:type="dxa"/>
                  <w:vMerge w:val="continue"/>
                  <w:tcBorders>
                    <w:tl2br w:val="nil"/>
                    <w:tr2bl w:val="nil"/>
                  </w:tcBorders>
                  <w:tcMar>
                    <w:top w:w="0" w:type="dxa"/>
                    <w:left w:w="57" w:type="dxa"/>
                    <w:bottom w:w="0" w:type="dxa"/>
                    <w:right w:w="57" w:type="dxa"/>
                  </w:tcMar>
                  <w:vAlign w:val="center"/>
                </w:tcPr>
                <w:p w14:paraId="1F16D180">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1BC317E0">
                  <w:pPr>
                    <w:jc w:val="center"/>
                    <w:rPr>
                      <w:rFonts w:ascii="仿宋" w:hAnsi="仿宋" w:eastAsia="仿宋" w:cs="仿宋"/>
                      <w:b/>
                      <w:bCs/>
                      <w:color w:val="auto"/>
                      <w:kern w:val="0"/>
                      <w:sz w:val="18"/>
                      <w:szCs w:val="18"/>
                      <w:lang w:bidi="ar"/>
                    </w:rPr>
                  </w:pPr>
                </w:p>
              </w:tc>
            </w:tr>
            <w:tr w14:paraId="1F8A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26D3E483">
                  <w:pPr>
                    <w:jc w:val="center"/>
                    <w:rPr>
                      <w:rFonts w:ascii="仿宋" w:hAnsi="仿宋" w:eastAsia="仿宋" w:cs="仿宋"/>
                      <w:b/>
                      <w:bCs/>
                      <w:color w:val="auto"/>
                      <w:kern w:val="0"/>
                      <w:sz w:val="18"/>
                      <w:szCs w:val="18"/>
                      <w:lang w:bidi="ar"/>
                    </w:rPr>
                  </w:pPr>
                </w:p>
              </w:tc>
              <w:tc>
                <w:tcPr>
                  <w:tcW w:w="822" w:type="dxa"/>
                  <w:tcBorders>
                    <w:tl2br w:val="nil"/>
                    <w:tr2bl w:val="nil"/>
                  </w:tcBorders>
                  <w:shd w:val="clear" w:color="auto" w:fill="auto"/>
                  <w:tcMar>
                    <w:top w:w="0" w:type="dxa"/>
                    <w:left w:w="57" w:type="dxa"/>
                    <w:bottom w:w="0" w:type="dxa"/>
                    <w:right w:w="57" w:type="dxa"/>
                  </w:tcMar>
                  <w:vAlign w:val="center"/>
                </w:tcPr>
                <w:p w14:paraId="3DF17FE0">
                  <w:pPr>
                    <w:jc w:val="center"/>
                    <w:rPr>
                      <w:color w:val="auto"/>
                    </w:rPr>
                  </w:pPr>
                  <w:r>
                    <w:rPr>
                      <w:color w:val="auto"/>
                    </w:rPr>
                    <w:t>TP</w:t>
                  </w:r>
                </w:p>
              </w:tc>
              <w:tc>
                <w:tcPr>
                  <w:tcW w:w="1140" w:type="dxa"/>
                  <w:vMerge w:val="continue"/>
                  <w:tcBorders>
                    <w:tl2br w:val="nil"/>
                    <w:tr2bl w:val="nil"/>
                  </w:tcBorders>
                  <w:tcMar>
                    <w:top w:w="0" w:type="dxa"/>
                    <w:left w:w="57" w:type="dxa"/>
                    <w:bottom w:w="0" w:type="dxa"/>
                    <w:right w:w="57" w:type="dxa"/>
                  </w:tcMar>
                  <w:vAlign w:val="center"/>
                </w:tcPr>
                <w:p w14:paraId="0C4C5D06">
                  <w:pPr>
                    <w:jc w:val="center"/>
                    <w:rPr>
                      <w:color w:val="auto"/>
                    </w:rPr>
                  </w:pPr>
                </w:p>
              </w:tc>
              <w:tc>
                <w:tcPr>
                  <w:tcW w:w="1076" w:type="dxa"/>
                  <w:tcBorders>
                    <w:tl2br w:val="nil"/>
                    <w:tr2bl w:val="nil"/>
                  </w:tcBorders>
                  <w:tcMar>
                    <w:top w:w="0" w:type="dxa"/>
                    <w:left w:w="57" w:type="dxa"/>
                    <w:bottom w:w="0" w:type="dxa"/>
                    <w:right w:w="57" w:type="dxa"/>
                  </w:tcMar>
                  <w:vAlign w:val="center"/>
                </w:tcPr>
                <w:p w14:paraId="1F91742E">
                  <w:pPr>
                    <w:jc w:val="center"/>
                    <w:rPr>
                      <w:rFonts w:ascii="Times New Roman" w:hAnsi="Times New Roman" w:eastAsia="宋体" w:cs="Times New Roman"/>
                      <w:color w:val="auto"/>
                    </w:rPr>
                  </w:pPr>
                  <w:r>
                    <w:rPr>
                      <w:rFonts w:hint="eastAsia" w:ascii="Times New Roman" w:hAnsi="Times New Roman" w:eastAsia="宋体" w:cs="Times New Roman"/>
                      <w:color w:val="auto"/>
                    </w:rPr>
                    <w:t>8</w:t>
                  </w:r>
                </w:p>
              </w:tc>
              <w:tc>
                <w:tcPr>
                  <w:tcW w:w="988" w:type="dxa"/>
                  <w:tcBorders>
                    <w:tl2br w:val="nil"/>
                    <w:tr2bl w:val="nil"/>
                  </w:tcBorders>
                  <w:tcMar>
                    <w:top w:w="0" w:type="dxa"/>
                    <w:left w:w="57" w:type="dxa"/>
                    <w:bottom w:w="0" w:type="dxa"/>
                    <w:right w:w="57" w:type="dxa"/>
                  </w:tcMar>
                  <w:vAlign w:val="center"/>
                </w:tcPr>
                <w:p w14:paraId="0B69102B">
                  <w:pPr>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0.06</w:t>
                  </w:r>
                </w:p>
              </w:tc>
              <w:tc>
                <w:tcPr>
                  <w:tcW w:w="585" w:type="dxa"/>
                  <w:vMerge w:val="continue"/>
                  <w:tcBorders>
                    <w:tl2br w:val="nil"/>
                    <w:tr2bl w:val="nil"/>
                  </w:tcBorders>
                  <w:tcMar>
                    <w:top w:w="0" w:type="dxa"/>
                    <w:left w:w="57" w:type="dxa"/>
                    <w:bottom w:w="0" w:type="dxa"/>
                    <w:right w:w="57" w:type="dxa"/>
                  </w:tcMar>
                  <w:vAlign w:val="center"/>
                </w:tcPr>
                <w:p w14:paraId="53D6A270">
                  <w:pPr>
                    <w:jc w:val="center"/>
                    <w:rPr>
                      <w:rFonts w:ascii="Times New Roman" w:hAnsi="Times New Roman" w:eastAsia="宋体" w:cs="Times New Roman"/>
                      <w:color w:val="auto"/>
                    </w:rPr>
                  </w:pPr>
                </w:p>
              </w:tc>
              <w:tc>
                <w:tcPr>
                  <w:tcW w:w="455" w:type="dxa"/>
                  <w:tcBorders>
                    <w:tl2br w:val="nil"/>
                    <w:tr2bl w:val="nil"/>
                  </w:tcBorders>
                  <w:shd w:val="clear" w:color="auto" w:fill="auto"/>
                  <w:tcMar>
                    <w:top w:w="0" w:type="dxa"/>
                    <w:left w:w="57" w:type="dxa"/>
                    <w:bottom w:w="0" w:type="dxa"/>
                    <w:right w:w="57" w:type="dxa"/>
                  </w:tcMar>
                  <w:vAlign w:val="center"/>
                </w:tcPr>
                <w:p w14:paraId="7F21923C">
                  <w:pPr>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140" w:type="dxa"/>
                  <w:vMerge w:val="continue"/>
                  <w:tcBorders>
                    <w:tl2br w:val="nil"/>
                    <w:tr2bl w:val="nil"/>
                  </w:tcBorders>
                  <w:tcMar>
                    <w:top w:w="0" w:type="dxa"/>
                    <w:left w:w="57" w:type="dxa"/>
                    <w:bottom w:w="0" w:type="dxa"/>
                    <w:right w:w="57" w:type="dxa"/>
                  </w:tcMar>
                  <w:vAlign w:val="center"/>
                </w:tcPr>
                <w:p w14:paraId="132C285D">
                  <w:pPr>
                    <w:jc w:val="center"/>
                    <w:rPr>
                      <w:rFonts w:ascii="Times New Roman" w:hAnsi="Times New Roman" w:eastAsia="宋体" w:cs="Times New Roman"/>
                      <w:color w:val="auto"/>
                    </w:rPr>
                  </w:pPr>
                </w:p>
              </w:tc>
              <w:tc>
                <w:tcPr>
                  <w:tcW w:w="1076" w:type="dxa"/>
                  <w:tcBorders>
                    <w:tl2br w:val="nil"/>
                    <w:tr2bl w:val="nil"/>
                  </w:tcBorders>
                  <w:shd w:val="clear" w:color="auto" w:fill="auto"/>
                  <w:tcMar>
                    <w:top w:w="0" w:type="dxa"/>
                    <w:left w:w="57" w:type="dxa"/>
                    <w:bottom w:w="0" w:type="dxa"/>
                    <w:right w:w="57" w:type="dxa"/>
                  </w:tcMar>
                  <w:vAlign w:val="center"/>
                </w:tcPr>
                <w:p w14:paraId="306BF8A1">
                  <w:pPr>
                    <w:jc w:val="center"/>
                    <w:rPr>
                      <w:rFonts w:ascii="Times New Roman" w:hAnsi="Times New Roman" w:eastAsia="宋体" w:cs="Times New Roman"/>
                      <w:color w:val="auto"/>
                    </w:rPr>
                  </w:pPr>
                  <w:r>
                    <w:rPr>
                      <w:rFonts w:hint="eastAsia" w:ascii="Times New Roman" w:hAnsi="Times New Roman" w:eastAsia="宋体" w:cs="Times New Roman"/>
                      <w:color w:val="auto"/>
                    </w:rPr>
                    <w:t>8</w:t>
                  </w:r>
                </w:p>
              </w:tc>
              <w:tc>
                <w:tcPr>
                  <w:tcW w:w="988" w:type="dxa"/>
                  <w:tcBorders>
                    <w:tl2br w:val="nil"/>
                    <w:tr2bl w:val="nil"/>
                  </w:tcBorders>
                  <w:shd w:val="clear" w:color="auto" w:fill="auto"/>
                  <w:tcMar>
                    <w:top w:w="0" w:type="dxa"/>
                    <w:left w:w="57" w:type="dxa"/>
                    <w:bottom w:w="0" w:type="dxa"/>
                    <w:right w:w="57" w:type="dxa"/>
                  </w:tcMar>
                  <w:vAlign w:val="center"/>
                </w:tcPr>
                <w:p w14:paraId="7FFD8ABF">
                  <w:pPr>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0.06</w:t>
                  </w:r>
                </w:p>
              </w:tc>
              <w:tc>
                <w:tcPr>
                  <w:tcW w:w="713" w:type="dxa"/>
                  <w:tcBorders>
                    <w:tl2br w:val="nil"/>
                    <w:tr2bl w:val="nil"/>
                  </w:tcBorders>
                  <w:shd w:val="clear" w:color="auto" w:fill="auto"/>
                  <w:tcMar>
                    <w:top w:w="0" w:type="dxa"/>
                    <w:left w:w="57" w:type="dxa"/>
                    <w:bottom w:w="0" w:type="dxa"/>
                    <w:right w:w="57" w:type="dxa"/>
                  </w:tcMar>
                  <w:vAlign w:val="center"/>
                </w:tcPr>
                <w:p w14:paraId="2B8A966F">
                  <w:pPr>
                    <w:jc w:val="center"/>
                    <w:rPr>
                      <w:color w:val="auto"/>
                    </w:rPr>
                  </w:pPr>
                  <w:r>
                    <w:rPr>
                      <w:color w:val="auto"/>
                    </w:rPr>
                    <w:t>8</w:t>
                  </w:r>
                </w:p>
              </w:tc>
              <w:tc>
                <w:tcPr>
                  <w:tcW w:w="713" w:type="dxa"/>
                  <w:tcBorders>
                    <w:tl2br w:val="nil"/>
                    <w:tr2bl w:val="nil"/>
                  </w:tcBorders>
                  <w:tcMar>
                    <w:top w:w="0" w:type="dxa"/>
                    <w:left w:w="57" w:type="dxa"/>
                    <w:bottom w:w="0" w:type="dxa"/>
                    <w:right w:w="57" w:type="dxa"/>
                  </w:tcMar>
                  <w:vAlign w:val="center"/>
                </w:tcPr>
                <w:p w14:paraId="5867A4F5">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达标</w:t>
                  </w:r>
                </w:p>
              </w:tc>
              <w:tc>
                <w:tcPr>
                  <w:tcW w:w="1102" w:type="dxa"/>
                  <w:vMerge w:val="continue"/>
                  <w:tcBorders>
                    <w:tl2br w:val="nil"/>
                    <w:tr2bl w:val="nil"/>
                  </w:tcBorders>
                  <w:tcMar>
                    <w:top w:w="0" w:type="dxa"/>
                    <w:left w:w="57" w:type="dxa"/>
                    <w:bottom w:w="0" w:type="dxa"/>
                    <w:right w:w="57" w:type="dxa"/>
                  </w:tcMar>
                  <w:vAlign w:val="center"/>
                </w:tcPr>
                <w:p w14:paraId="5DD49E9B">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6274F3D4">
                  <w:pPr>
                    <w:jc w:val="center"/>
                    <w:rPr>
                      <w:rFonts w:ascii="仿宋" w:hAnsi="仿宋" w:eastAsia="仿宋" w:cs="仿宋"/>
                      <w:b/>
                      <w:bCs/>
                      <w:color w:val="auto"/>
                      <w:kern w:val="0"/>
                      <w:sz w:val="18"/>
                      <w:szCs w:val="18"/>
                      <w:lang w:bidi="ar"/>
                    </w:rPr>
                  </w:pPr>
                </w:p>
              </w:tc>
            </w:tr>
            <w:tr w14:paraId="41AC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2" w:type="dxa"/>
                  <w:vMerge w:val="continue"/>
                  <w:tcBorders>
                    <w:tl2br w:val="nil"/>
                    <w:tr2bl w:val="nil"/>
                  </w:tcBorders>
                  <w:tcMar>
                    <w:top w:w="0" w:type="dxa"/>
                    <w:left w:w="57" w:type="dxa"/>
                    <w:bottom w:w="0" w:type="dxa"/>
                    <w:right w:w="57" w:type="dxa"/>
                  </w:tcMar>
                  <w:vAlign w:val="center"/>
                </w:tcPr>
                <w:p w14:paraId="400BD0E7">
                  <w:pPr>
                    <w:jc w:val="center"/>
                    <w:rPr>
                      <w:rFonts w:ascii="仿宋" w:hAnsi="仿宋" w:eastAsia="仿宋" w:cs="仿宋"/>
                      <w:b/>
                      <w:bCs/>
                      <w:color w:val="auto"/>
                      <w:kern w:val="0"/>
                      <w:sz w:val="18"/>
                      <w:szCs w:val="18"/>
                      <w:lang w:bidi="ar"/>
                    </w:rPr>
                  </w:pPr>
                </w:p>
              </w:tc>
              <w:tc>
                <w:tcPr>
                  <w:tcW w:w="822" w:type="dxa"/>
                  <w:tcBorders>
                    <w:tl2br w:val="nil"/>
                    <w:tr2bl w:val="nil"/>
                  </w:tcBorders>
                  <w:shd w:val="clear" w:color="auto" w:fill="auto"/>
                  <w:tcMar>
                    <w:top w:w="0" w:type="dxa"/>
                    <w:left w:w="57" w:type="dxa"/>
                    <w:bottom w:w="0" w:type="dxa"/>
                    <w:right w:w="57" w:type="dxa"/>
                  </w:tcMar>
                  <w:vAlign w:val="center"/>
                </w:tcPr>
                <w:p w14:paraId="31F6F4D9">
                  <w:pPr>
                    <w:jc w:val="center"/>
                    <w:rPr>
                      <w:color w:val="auto"/>
                    </w:rPr>
                  </w:pPr>
                  <w:r>
                    <w:rPr>
                      <w:color w:val="auto"/>
                    </w:rPr>
                    <w:t>动植</w:t>
                  </w:r>
                </w:p>
                <w:p w14:paraId="5E33B96C">
                  <w:pPr>
                    <w:jc w:val="center"/>
                    <w:rPr>
                      <w:color w:val="auto"/>
                    </w:rPr>
                  </w:pPr>
                  <w:r>
                    <w:rPr>
                      <w:color w:val="auto"/>
                    </w:rPr>
                    <w:t>物油</w:t>
                  </w:r>
                </w:p>
              </w:tc>
              <w:tc>
                <w:tcPr>
                  <w:tcW w:w="1140" w:type="dxa"/>
                  <w:vMerge w:val="continue"/>
                  <w:tcBorders>
                    <w:tl2br w:val="nil"/>
                    <w:tr2bl w:val="nil"/>
                  </w:tcBorders>
                  <w:tcMar>
                    <w:top w:w="0" w:type="dxa"/>
                    <w:left w:w="57" w:type="dxa"/>
                    <w:bottom w:w="0" w:type="dxa"/>
                    <w:right w:w="57" w:type="dxa"/>
                  </w:tcMar>
                  <w:vAlign w:val="center"/>
                </w:tcPr>
                <w:p w14:paraId="1A43A5A9">
                  <w:pPr>
                    <w:jc w:val="center"/>
                    <w:rPr>
                      <w:color w:val="auto"/>
                    </w:rPr>
                  </w:pPr>
                </w:p>
              </w:tc>
              <w:tc>
                <w:tcPr>
                  <w:tcW w:w="1076" w:type="dxa"/>
                  <w:tcBorders>
                    <w:tl2br w:val="nil"/>
                    <w:tr2bl w:val="nil"/>
                  </w:tcBorders>
                  <w:tcMar>
                    <w:top w:w="0" w:type="dxa"/>
                    <w:left w:w="57" w:type="dxa"/>
                    <w:bottom w:w="0" w:type="dxa"/>
                    <w:right w:w="57" w:type="dxa"/>
                  </w:tcMar>
                  <w:vAlign w:val="center"/>
                </w:tcPr>
                <w:p w14:paraId="1A956412">
                  <w:pPr>
                    <w:jc w:val="center"/>
                    <w:rPr>
                      <w:rFonts w:ascii="Times New Roman" w:hAnsi="Times New Roman" w:eastAsia="宋体" w:cs="Times New Roman"/>
                      <w:color w:val="auto"/>
                    </w:rPr>
                  </w:pPr>
                  <w:r>
                    <w:rPr>
                      <w:rFonts w:hint="eastAsia" w:ascii="Times New Roman" w:hAnsi="Times New Roman" w:eastAsia="宋体" w:cs="Times New Roman"/>
                      <w:color w:val="auto"/>
                    </w:rPr>
                    <w:t>33</w:t>
                  </w:r>
                </w:p>
              </w:tc>
              <w:tc>
                <w:tcPr>
                  <w:tcW w:w="988" w:type="dxa"/>
                  <w:tcBorders>
                    <w:tl2br w:val="nil"/>
                    <w:tr2bl w:val="nil"/>
                  </w:tcBorders>
                  <w:tcMar>
                    <w:top w:w="0" w:type="dxa"/>
                    <w:left w:w="57" w:type="dxa"/>
                    <w:bottom w:w="0" w:type="dxa"/>
                    <w:right w:w="57" w:type="dxa"/>
                  </w:tcMar>
                  <w:vAlign w:val="center"/>
                </w:tcPr>
                <w:p w14:paraId="78E72A34">
                  <w:pPr>
                    <w:jc w:val="cente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0.25</w:t>
                  </w:r>
                </w:p>
              </w:tc>
              <w:tc>
                <w:tcPr>
                  <w:tcW w:w="585" w:type="dxa"/>
                  <w:vMerge w:val="continue"/>
                  <w:tcBorders>
                    <w:tl2br w:val="nil"/>
                    <w:tr2bl w:val="nil"/>
                  </w:tcBorders>
                  <w:tcMar>
                    <w:top w:w="0" w:type="dxa"/>
                    <w:left w:w="57" w:type="dxa"/>
                    <w:bottom w:w="0" w:type="dxa"/>
                    <w:right w:w="57" w:type="dxa"/>
                  </w:tcMar>
                  <w:vAlign w:val="center"/>
                </w:tcPr>
                <w:p w14:paraId="155B75F8">
                  <w:pPr>
                    <w:jc w:val="center"/>
                    <w:rPr>
                      <w:rFonts w:ascii="Times New Roman" w:hAnsi="Times New Roman" w:eastAsia="宋体" w:cs="Times New Roman"/>
                      <w:color w:val="auto"/>
                    </w:rPr>
                  </w:pPr>
                </w:p>
              </w:tc>
              <w:tc>
                <w:tcPr>
                  <w:tcW w:w="455" w:type="dxa"/>
                  <w:tcBorders>
                    <w:tl2br w:val="nil"/>
                    <w:tr2bl w:val="nil"/>
                  </w:tcBorders>
                  <w:tcMar>
                    <w:top w:w="0" w:type="dxa"/>
                    <w:left w:w="57" w:type="dxa"/>
                    <w:bottom w:w="0" w:type="dxa"/>
                    <w:right w:w="57" w:type="dxa"/>
                  </w:tcMar>
                  <w:vAlign w:val="center"/>
                </w:tcPr>
                <w:p w14:paraId="725C9B9B">
                  <w:pPr>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140" w:type="dxa"/>
                  <w:vMerge w:val="continue"/>
                  <w:tcBorders>
                    <w:tl2br w:val="nil"/>
                    <w:tr2bl w:val="nil"/>
                  </w:tcBorders>
                  <w:tcMar>
                    <w:top w:w="0" w:type="dxa"/>
                    <w:left w:w="57" w:type="dxa"/>
                    <w:bottom w:w="0" w:type="dxa"/>
                    <w:right w:w="57" w:type="dxa"/>
                  </w:tcMar>
                  <w:vAlign w:val="center"/>
                </w:tcPr>
                <w:p w14:paraId="384E8ADD">
                  <w:pPr>
                    <w:jc w:val="center"/>
                    <w:rPr>
                      <w:rFonts w:ascii="Times New Roman" w:hAnsi="Times New Roman" w:eastAsia="宋体" w:cs="Times New Roman"/>
                      <w:color w:val="auto"/>
                    </w:rPr>
                  </w:pPr>
                </w:p>
              </w:tc>
              <w:tc>
                <w:tcPr>
                  <w:tcW w:w="1076" w:type="dxa"/>
                  <w:tcBorders>
                    <w:tl2br w:val="nil"/>
                    <w:tr2bl w:val="nil"/>
                  </w:tcBorders>
                  <w:tcMar>
                    <w:top w:w="0" w:type="dxa"/>
                    <w:left w:w="57" w:type="dxa"/>
                    <w:bottom w:w="0" w:type="dxa"/>
                    <w:right w:w="57" w:type="dxa"/>
                  </w:tcMar>
                  <w:vAlign w:val="center"/>
                </w:tcPr>
                <w:p w14:paraId="35A87584">
                  <w:pPr>
                    <w:jc w:val="center"/>
                    <w:rPr>
                      <w:rFonts w:ascii="Times New Roman" w:hAnsi="Times New Roman" w:eastAsia="宋体" w:cs="Times New Roman"/>
                      <w:color w:val="auto"/>
                    </w:rPr>
                  </w:pPr>
                  <w:r>
                    <w:rPr>
                      <w:rFonts w:hint="eastAsia" w:ascii="Times New Roman" w:hAnsi="Times New Roman" w:eastAsia="宋体" w:cs="Times New Roman"/>
                      <w:color w:val="auto"/>
                    </w:rPr>
                    <w:t>13</w:t>
                  </w:r>
                </w:p>
              </w:tc>
              <w:tc>
                <w:tcPr>
                  <w:tcW w:w="988" w:type="dxa"/>
                  <w:tcBorders>
                    <w:tl2br w:val="nil"/>
                    <w:tr2bl w:val="nil"/>
                  </w:tcBorders>
                  <w:tcMar>
                    <w:top w:w="0" w:type="dxa"/>
                    <w:left w:w="57" w:type="dxa"/>
                    <w:bottom w:w="0" w:type="dxa"/>
                    <w:right w:w="57" w:type="dxa"/>
                  </w:tcMar>
                  <w:vAlign w:val="center"/>
                </w:tcPr>
                <w:p w14:paraId="28C7BA65">
                  <w:pPr>
                    <w:jc w:val="center"/>
                    <w:rPr>
                      <w:rFonts w:ascii="Times New Roman" w:hAnsi="Times New Roman" w:eastAsia="宋体" w:cs="Times New Roman"/>
                      <w:color w:val="auto"/>
                    </w:rPr>
                  </w:pPr>
                  <w:r>
                    <w:rPr>
                      <w:rFonts w:hint="eastAsia" w:ascii="Times New Roman" w:hAnsi="Times New Roman" w:eastAsia="宋体" w:cs="Times New Roman"/>
                      <w:color w:val="auto"/>
                    </w:rPr>
                    <w:t>0.1</w:t>
                  </w:r>
                </w:p>
              </w:tc>
              <w:tc>
                <w:tcPr>
                  <w:tcW w:w="713" w:type="dxa"/>
                  <w:tcBorders>
                    <w:tl2br w:val="nil"/>
                    <w:tr2bl w:val="nil"/>
                  </w:tcBorders>
                  <w:shd w:val="clear" w:color="auto" w:fill="auto"/>
                  <w:tcMar>
                    <w:top w:w="0" w:type="dxa"/>
                    <w:left w:w="57" w:type="dxa"/>
                    <w:bottom w:w="0" w:type="dxa"/>
                    <w:right w:w="57" w:type="dxa"/>
                  </w:tcMar>
                  <w:vAlign w:val="center"/>
                </w:tcPr>
                <w:p w14:paraId="2CEA93D3">
                  <w:pPr>
                    <w:jc w:val="center"/>
                    <w:rPr>
                      <w:color w:val="auto"/>
                    </w:rPr>
                  </w:pPr>
                  <w:r>
                    <w:rPr>
                      <w:rFonts w:hint="eastAsia"/>
                      <w:color w:val="auto"/>
                    </w:rPr>
                    <w:t>100</w:t>
                  </w:r>
                </w:p>
              </w:tc>
              <w:tc>
                <w:tcPr>
                  <w:tcW w:w="713" w:type="dxa"/>
                  <w:tcBorders>
                    <w:tl2br w:val="nil"/>
                    <w:tr2bl w:val="nil"/>
                  </w:tcBorders>
                  <w:tcMar>
                    <w:top w:w="0" w:type="dxa"/>
                    <w:left w:w="57" w:type="dxa"/>
                    <w:bottom w:w="0" w:type="dxa"/>
                    <w:right w:w="57" w:type="dxa"/>
                  </w:tcMar>
                  <w:vAlign w:val="center"/>
                </w:tcPr>
                <w:p w14:paraId="6C6B0991">
                  <w:pPr>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达标</w:t>
                  </w:r>
                </w:p>
              </w:tc>
              <w:tc>
                <w:tcPr>
                  <w:tcW w:w="1102" w:type="dxa"/>
                  <w:vMerge w:val="continue"/>
                  <w:tcBorders>
                    <w:tl2br w:val="nil"/>
                    <w:tr2bl w:val="nil"/>
                  </w:tcBorders>
                  <w:tcMar>
                    <w:top w:w="0" w:type="dxa"/>
                    <w:left w:w="57" w:type="dxa"/>
                    <w:bottom w:w="0" w:type="dxa"/>
                    <w:right w:w="57" w:type="dxa"/>
                  </w:tcMar>
                  <w:vAlign w:val="center"/>
                </w:tcPr>
                <w:p w14:paraId="65404CBE">
                  <w:pPr>
                    <w:jc w:val="center"/>
                    <w:rPr>
                      <w:rFonts w:ascii="仿宋" w:hAnsi="仿宋" w:eastAsia="仿宋" w:cs="仿宋"/>
                      <w:b/>
                      <w:bCs/>
                      <w:color w:val="auto"/>
                      <w:kern w:val="0"/>
                      <w:sz w:val="18"/>
                      <w:szCs w:val="18"/>
                      <w:lang w:bidi="ar"/>
                    </w:rPr>
                  </w:pPr>
                </w:p>
              </w:tc>
              <w:tc>
                <w:tcPr>
                  <w:tcW w:w="1948" w:type="dxa"/>
                  <w:vMerge w:val="continue"/>
                  <w:tcBorders>
                    <w:tl2br w:val="nil"/>
                    <w:tr2bl w:val="nil"/>
                  </w:tcBorders>
                  <w:tcMar>
                    <w:top w:w="0" w:type="dxa"/>
                    <w:left w:w="57" w:type="dxa"/>
                    <w:bottom w:w="0" w:type="dxa"/>
                    <w:right w:w="57" w:type="dxa"/>
                  </w:tcMar>
                  <w:vAlign w:val="center"/>
                </w:tcPr>
                <w:p w14:paraId="7D1DAF4F">
                  <w:pPr>
                    <w:jc w:val="center"/>
                    <w:rPr>
                      <w:rFonts w:ascii="仿宋" w:hAnsi="仿宋" w:eastAsia="仿宋" w:cs="仿宋"/>
                      <w:b/>
                      <w:bCs/>
                      <w:color w:val="auto"/>
                      <w:kern w:val="0"/>
                      <w:sz w:val="18"/>
                      <w:szCs w:val="18"/>
                      <w:lang w:bidi="ar"/>
                    </w:rPr>
                  </w:pPr>
                </w:p>
              </w:tc>
            </w:tr>
          </w:tbl>
          <w:p w14:paraId="66848AE5">
            <w:pPr>
              <w:spacing w:line="276" w:lineRule="auto"/>
              <w:jc w:val="center"/>
              <w:rPr>
                <w:b/>
                <w:color w:val="auto"/>
                <w:sz w:val="24"/>
                <w:szCs w:val="22"/>
              </w:rPr>
            </w:pPr>
            <w:r>
              <w:rPr>
                <w:rFonts w:hint="eastAsia"/>
                <w:b/>
                <w:color w:val="auto"/>
                <w:sz w:val="24"/>
                <w:szCs w:val="22"/>
              </w:rPr>
              <w:t>表4-17  废水排放及排放口基本情况一览表</w:t>
            </w:r>
          </w:p>
          <w:tbl>
            <w:tblPr>
              <w:tblStyle w:val="23"/>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996"/>
              <w:gridCol w:w="1511"/>
              <w:gridCol w:w="1311"/>
              <w:gridCol w:w="1120"/>
              <w:gridCol w:w="1161"/>
              <w:gridCol w:w="1202"/>
              <w:gridCol w:w="1255"/>
              <w:gridCol w:w="1207"/>
              <w:gridCol w:w="2130"/>
              <w:gridCol w:w="1256"/>
            </w:tblGrid>
            <w:tr w14:paraId="67F1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42" w:type="dxa"/>
                  <w:gridSpan w:val="4"/>
                  <w:vAlign w:val="center"/>
                </w:tcPr>
                <w:p w14:paraId="4A32BEC4">
                  <w:pPr>
                    <w:jc w:val="center"/>
                    <w:rPr>
                      <w:b/>
                      <w:bCs/>
                      <w:color w:val="auto"/>
                    </w:rPr>
                  </w:pPr>
                  <w:r>
                    <w:rPr>
                      <w:rFonts w:hint="eastAsia"/>
                      <w:b/>
                      <w:bCs/>
                      <w:color w:val="auto"/>
                    </w:rPr>
                    <w:t>排放口基本情况</w:t>
                  </w:r>
                </w:p>
              </w:tc>
              <w:tc>
                <w:tcPr>
                  <w:tcW w:w="1120" w:type="dxa"/>
                  <w:vMerge w:val="restart"/>
                  <w:vAlign w:val="center"/>
                </w:tcPr>
                <w:p w14:paraId="010F2B5B">
                  <w:pPr>
                    <w:jc w:val="center"/>
                    <w:rPr>
                      <w:b/>
                      <w:bCs/>
                      <w:color w:val="auto"/>
                    </w:rPr>
                  </w:pPr>
                  <w:r>
                    <w:rPr>
                      <w:rFonts w:hint="eastAsia"/>
                      <w:b/>
                      <w:bCs/>
                      <w:color w:val="auto"/>
                    </w:rPr>
                    <w:t>排放去向</w:t>
                  </w:r>
                </w:p>
              </w:tc>
              <w:tc>
                <w:tcPr>
                  <w:tcW w:w="1161" w:type="dxa"/>
                  <w:vMerge w:val="restart"/>
                  <w:vAlign w:val="center"/>
                </w:tcPr>
                <w:p w14:paraId="0AEB3772">
                  <w:pPr>
                    <w:jc w:val="center"/>
                    <w:rPr>
                      <w:b/>
                      <w:bCs/>
                      <w:color w:val="auto"/>
                    </w:rPr>
                  </w:pPr>
                  <w:r>
                    <w:rPr>
                      <w:rFonts w:hint="eastAsia"/>
                      <w:b/>
                      <w:bCs/>
                      <w:color w:val="auto"/>
                    </w:rPr>
                    <w:t>排放规律</w:t>
                  </w:r>
                </w:p>
              </w:tc>
              <w:tc>
                <w:tcPr>
                  <w:tcW w:w="3664" w:type="dxa"/>
                  <w:gridSpan w:val="3"/>
                  <w:vAlign w:val="center"/>
                </w:tcPr>
                <w:p w14:paraId="735C2CC6">
                  <w:pPr>
                    <w:jc w:val="center"/>
                    <w:rPr>
                      <w:b/>
                      <w:bCs/>
                      <w:color w:val="auto"/>
                    </w:rPr>
                  </w:pPr>
                  <w:r>
                    <w:rPr>
                      <w:rFonts w:hint="eastAsia"/>
                      <w:b/>
                      <w:bCs/>
                      <w:color w:val="auto"/>
                    </w:rPr>
                    <w:t>污染物排放</w:t>
                  </w:r>
                </w:p>
              </w:tc>
              <w:tc>
                <w:tcPr>
                  <w:tcW w:w="3386" w:type="dxa"/>
                  <w:gridSpan w:val="2"/>
                  <w:vAlign w:val="center"/>
                </w:tcPr>
                <w:p w14:paraId="3101EF2E">
                  <w:pPr>
                    <w:jc w:val="center"/>
                    <w:rPr>
                      <w:b/>
                      <w:bCs/>
                      <w:color w:val="auto"/>
                    </w:rPr>
                  </w:pPr>
                  <w:r>
                    <w:rPr>
                      <w:rFonts w:hint="eastAsia"/>
                      <w:b/>
                      <w:bCs/>
                      <w:color w:val="auto"/>
                    </w:rPr>
                    <w:t>接管标准</w:t>
                  </w:r>
                </w:p>
              </w:tc>
            </w:tr>
            <w:tr w14:paraId="7B98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14:paraId="280B23F7">
                  <w:pPr>
                    <w:jc w:val="center"/>
                    <w:rPr>
                      <w:b/>
                      <w:bCs/>
                      <w:color w:val="auto"/>
                    </w:rPr>
                  </w:pPr>
                  <w:r>
                    <w:rPr>
                      <w:rFonts w:hint="eastAsia"/>
                      <w:b/>
                      <w:bCs/>
                      <w:color w:val="auto"/>
                    </w:rPr>
                    <w:t>编号</w:t>
                  </w:r>
                </w:p>
              </w:tc>
              <w:tc>
                <w:tcPr>
                  <w:tcW w:w="996" w:type="dxa"/>
                  <w:vAlign w:val="center"/>
                </w:tcPr>
                <w:p w14:paraId="3465BEEA">
                  <w:pPr>
                    <w:jc w:val="center"/>
                    <w:rPr>
                      <w:b/>
                      <w:bCs/>
                      <w:color w:val="auto"/>
                    </w:rPr>
                  </w:pPr>
                  <w:r>
                    <w:rPr>
                      <w:rFonts w:hint="eastAsia"/>
                      <w:b/>
                      <w:bCs/>
                      <w:color w:val="auto"/>
                    </w:rPr>
                    <w:t>名称</w:t>
                  </w:r>
                </w:p>
              </w:tc>
              <w:tc>
                <w:tcPr>
                  <w:tcW w:w="1511" w:type="dxa"/>
                  <w:vAlign w:val="center"/>
                </w:tcPr>
                <w:p w14:paraId="1D7F87E3">
                  <w:pPr>
                    <w:jc w:val="center"/>
                    <w:rPr>
                      <w:b/>
                      <w:bCs/>
                      <w:color w:val="auto"/>
                    </w:rPr>
                  </w:pPr>
                  <w:r>
                    <w:rPr>
                      <w:rFonts w:hint="eastAsia"/>
                      <w:b/>
                      <w:bCs/>
                      <w:color w:val="auto"/>
                    </w:rPr>
                    <w:t>排放口类型</w:t>
                  </w:r>
                </w:p>
              </w:tc>
              <w:tc>
                <w:tcPr>
                  <w:tcW w:w="1311" w:type="dxa"/>
                  <w:vAlign w:val="center"/>
                </w:tcPr>
                <w:p w14:paraId="132768A0">
                  <w:pPr>
                    <w:jc w:val="center"/>
                    <w:rPr>
                      <w:b/>
                      <w:bCs/>
                      <w:color w:val="auto"/>
                    </w:rPr>
                  </w:pPr>
                  <w:r>
                    <w:rPr>
                      <w:rFonts w:hint="eastAsia"/>
                      <w:b/>
                      <w:bCs/>
                      <w:color w:val="auto"/>
                    </w:rPr>
                    <w:t>地理坐标</w:t>
                  </w:r>
                </w:p>
              </w:tc>
              <w:tc>
                <w:tcPr>
                  <w:tcW w:w="1120" w:type="dxa"/>
                  <w:vMerge w:val="continue"/>
                  <w:vAlign w:val="center"/>
                </w:tcPr>
                <w:p w14:paraId="145284BE">
                  <w:pPr>
                    <w:jc w:val="center"/>
                    <w:rPr>
                      <w:b/>
                      <w:bCs/>
                      <w:color w:val="auto"/>
                    </w:rPr>
                  </w:pPr>
                </w:p>
              </w:tc>
              <w:tc>
                <w:tcPr>
                  <w:tcW w:w="1161" w:type="dxa"/>
                  <w:vMerge w:val="continue"/>
                  <w:vAlign w:val="center"/>
                </w:tcPr>
                <w:p w14:paraId="7EC67DA4">
                  <w:pPr>
                    <w:jc w:val="center"/>
                    <w:rPr>
                      <w:b/>
                      <w:bCs/>
                      <w:color w:val="auto"/>
                    </w:rPr>
                  </w:pPr>
                </w:p>
              </w:tc>
              <w:tc>
                <w:tcPr>
                  <w:tcW w:w="1202" w:type="dxa"/>
                  <w:vAlign w:val="center"/>
                </w:tcPr>
                <w:p w14:paraId="0DCF107E">
                  <w:pPr>
                    <w:jc w:val="center"/>
                    <w:rPr>
                      <w:b/>
                      <w:bCs/>
                      <w:color w:val="auto"/>
                    </w:rPr>
                  </w:pPr>
                  <w:r>
                    <w:rPr>
                      <w:rFonts w:hint="eastAsia"/>
                      <w:b/>
                      <w:bCs/>
                      <w:color w:val="auto"/>
                    </w:rPr>
                    <w:t>污染物种类</w:t>
                  </w:r>
                </w:p>
              </w:tc>
              <w:tc>
                <w:tcPr>
                  <w:tcW w:w="1255" w:type="dxa"/>
                  <w:vAlign w:val="center"/>
                </w:tcPr>
                <w:p w14:paraId="26DD8291">
                  <w:pPr>
                    <w:jc w:val="center"/>
                    <w:rPr>
                      <w:b/>
                      <w:bCs/>
                      <w:color w:val="auto"/>
                    </w:rPr>
                  </w:pPr>
                  <w:r>
                    <w:rPr>
                      <w:rFonts w:hint="eastAsia"/>
                      <w:b/>
                      <w:bCs/>
                      <w:color w:val="auto"/>
                    </w:rPr>
                    <w:t>浓度（mg/L）</w:t>
                  </w:r>
                </w:p>
              </w:tc>
              <w:tc>
                <w:tcPr>
                  <w:tcW w:w="1207" w:type="dxa"/>
                  <w:vAlign w:val="center"/>
                </w:tcPr>
                <w:p w14:paraId="5CA4BD4B">
                  <w:pPr>
                    <w:jc w:val="center"/>
                    <w:rPr>
                      <w:b/>
                      <w:bCs/>
                      <w:color w:val="auto"/>
                    </w:rPr>
                  </w:pPr>
                  <w:r>
                    <w:rPr>
                      <w:rFonts w:hint="eastAsia"/>
                      <w:b/>
                      <w:bCs/>
                      <w:color w:val="auto"/>
                    </w:rPr>
                    <w:t>排放量</w:t>
                  </w:r>
                  <w:r>
                    <w:rPr>
                      <w:rFonts w:hint="eastAsia"/>
                      <w:b/>
                      <w:color w:val="auto"/>
                    </w:rPr>
                    <w:t>（t/a）</w:t>
                  </w:r>
                </w:p>
              </w:tc>
              <w:tc>
                <w:tcPr>
                  <w:tcW w:w="2130" w:type="dxa"/>
                  <w:vAlign w:val="center"/>
                </w:tcPr>
                <w:p w14:paraId="4E31FAAB">
                  <w:pPr>
                    <w:jc w:val="center"/>
                    <w:rPr>
                      <w:b/>
                      <w:bCs/>
                      <w:color w:val="auto"/>
                    </w:rPr>
                  </w:pPr>
                  <w:r>
                    <w:rPr>
                      <w:rFonts w:hint="eastAsia"/>
                      <w:b/>
                      <w:bCs/>
                      <w:color w:val="auto"/>
                    </w:rPr>
                    <w:t>名称</w:t>
                  </w:r>
                </w:p>
              </w:tc>
              <w:tc>
                <w:tcPr>
                  <w:tcW w:w="1256" w:type="dxa"/>
                  <w:vAlign w:val="center"/>
                </w:tcPr>
                <w:p w14:paraId="16A6C363">
                  <w:pPr>
                    <w:jc w:val="center"/>
                    <w:rPr>
                      <w:b/>
                      <w:bCs/>
                      <w:color w:val="auto"/>
                    </w:rPr>
                  </w:pPr>
                  <w:r>
                    <w:rPr>
                      <w:rFonts w:hint="eastAsia"/>
                      <w:b/>
                      <w:bCs/>
                      <w:color w:val="auto"/>
                    </w:rPr>
                    <w:t>浓度（mg/L）</w:t>
                  </w:r>
                </w:p>
              </w:tc>
            </w:tr>
            <w:tr w14:paraId="715E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restart"/>
                  <w:vAlign w:val="center"/>
                </w:tcPr>
                <w:p w14:paraId="2991B8C5">
                  <w:pPr>
                    <w:jc w:val="center"/>
                    <w:rPr>
                      <w:color w:val="auto"/>
                    </w:rPr>
                  </w:pPr>
                  <w:r>
                    <w:rPr>
                      <w:rFonts w:hint="eastAsia"/>
                      <w:color w:val="auto"/>
                    </w:rPr>
                    <w:t>1</w:t>
                  </w:r>
                </w:p>
              </w:tc>
              <w:tc>
                <w:tcPr>
                  <w:tcW w:w="996" w:type="dxa"/>
                  <w:vMerge w:val="restart"/>
                  <w:vAlign w:val="center"/>
                </w:tcPr>
                <w:p w14:paraId="7176A6FE">
                  <w:pPr>
                    <w:jc w:val="center"/>
                    <w:rPr>
                      <w:color w:val="auto"/>
                    </w:rPr>
                  </w:pPr>
                  <w:r>
                    <w:rPr>
                      <w:rFonts w:hint="eastAsia"/>
                      <w:color w:val="auto"/>
                    </w:rPr>
                    <w:t>DW001</w:t>
                  </w:r>
                </w:p>
              </w:tc>
              <w:tc>
                <w:tcPr>
                  <w:tcW w:w="1511" w:type="dxa"/>
                  <w:vMerge w:val="restart"/>
                  <w:vAlign w:val="center"/>
                </w:tcPr>
                <w:p w14:paraId="7B42BB3A">
                  <w:pPr>
                    <w:jc w:val="center"/>
                    <w:rPr>
                      <w:color w:val="auto"/>
                    </w:rPr>
                  </w:pPr>
                  <w:r>
                    <w:rPr>
                      <w:rFonts w:hint="eastAsia"/>
                      <w:color w:val="auto"/>
                    </w:rPr>
                    <w:t>☑企业总排</w:t>
                  </w:r>
                </w:p>
                <w:p w14:paraId="01710A28">
                  <w:pPr>
                    <w:jc w:val="center"/>
                    <w:rPr>
                      <w:color w:val="auto"/>
                    </w:rPr>
                  </w:pPr>
                  <w:r>
                    <w:rPr>
                      <w:rFonts w:hint="eastAsia"/>
                      <w:color w:val="auto"/>
                    </w:rPr>
                    <w:t>□雨水排放</w:t>
                  </w:r>
                </w:p>
                <w:p w14:paraId="47735291">
                  <w:pPr>
                    <w:jc w:val="center"/>
                    <w:rPr>
                      <w:color w:val="auto"/>
                    </w:rPr>
                  </w:pPr>
                  <w:r>
                    <w:rPr>
                      <w:rFonts w:hint="eastAsia"/>
                      <w:color w:val="auto"/>
                    </w:rPr>
                    <w:t>□清净下水排放</w:t>
                  </w:r>
                </w:p>
                <w:p w14:paraId="5105D570">
                  <w:pPr>
                    <w:jc w:val="center"/>
                    <w:rPr>
                      <w:color w:val="auto"/>
                    </w:rPr>
                  </w:pPr>
                  <w:r>
                    <w:rPr>
                      <w:rFonts w:hint="eastAsia"/>
                      <w:color w:val="auto"/>
                    </w:rPr>
                    <w:t>□温排水排放</w:t>
                  </w:r>
                </w:p>
                <w:p w14:paraId="0610B658">
                  <w:pPr>
                    <w:jc w:val="center"/>
                    <w:rPr>
                      <w:color w:val="auto"/>
                    </w:rPr>
                  </w:pPr>
                  <w:r>
                    <w:rPr>
                      <w:rFonts w:hint="eastAsia"/>
                      <w:color w:val="auto"/>
                    </w:rPr>
                    <w:t>□车间或车间口处理设施排放</w:t>
                  </w:r>
                </w:p>
              </w:tc>
              <w:tc>
                <w:tcPr>
                  <w:tcW w:w="1311" w:type="dxa"/>
                  <w:vMerge w:val="restart"/>
                  <w:shd w:val="clear" w:color="auto" w:fill="auto"/>
                  <w:vAlign w:val="center"/>
                </w:tcPr>
                <w:p w14:paraId="6203E2AD">
                  <w:pPr>
                    <w:jc w:val="center"/>
                    <w:rPr>
                      <w:color w:val="auto"/>
                    </w:rPr>
                  </w:pPr>
                  <w:r>
                    <w:rPr>
                      <w:rFonts w:hint="eastAsia"/>
                      <w:color w:val="auto"/>
                    </w:rPr>
                    <w:t>119.46862，</w:t>
                  </w:r>
                </w:p>
                <w:p w14:paraId="7442CDE0">
                  <w:pPr>
                    <w:jc w:val="center"/>
                    <w:rPr>
                      <w:color w:val="auto"/>
                    </w:rPr>
                  </w:pPr>
                  <w:r>
                    <w:rPr>
                      <w:rFonts w:hint="eastAsia"/>
                      <w:color w:val="auto"/>
                    </w:rPr>
                    <w:t>31.78813</w:t>
                  </w:r>
                </w:p>
              </w:tc>
              <w:tc>
                <w:tcPr>
                  <w:tcW w:w="1120" w:type="dxa"/>
                  <w:vMerge w:val="restart"/>
                  <w:shd w:val="clear" w:color="auto" w:fill="auto"/>
                  <w:vAlign w:val="center"/>
                </w:tcPr>
                <w:p w14:paraId="611F3CFD">
                  <w:pPr>
                    <w:adjustRightInd w:val="0"/>
                    <w:jc w:val="center"/>
                    <w:rPr>
                      <w:rFonts w:hint="eastAsia" w:eastAsia="宋体"/>
                      <w:color w:val="auto"/>
                      <w:lang w:eastAsia="zh-CN"/>
                    </w:rPr>
                  </w:pPr>
                  <w:r>
                    <w:rPr>
                      <w:color w:val="auto"/>
                    </w:rPr>
                    <w:t>进入</w:t>
                  </w:r>
                  <w:r>
                    <w:rPr>
                      <w:rFonts w:hint="eastAsia"/>
                      <w:color w:val="auto"/>
                      <w:lang w:eastAsia="zh-CN"/>
                    </w:rPr>
                    <w:t>常州市金坛区溪城污水处理有限公司直溪污水处理厂</w:t>
                  </w:r>
                </w:p>
              </w:tc>
              <w:tc>
                <w:tcPr>
                  <w:tcW w:w="1161" w:type="dxa"/>
                  <w:vMerge w:val="restart"/>
                  <w:shd w:val="clear" w:color="auto" w:fill="auto"/>
                  <w:vAlign w:val="center"/>
                </w:tcPr>
                <w:p w14:paraId="7A82B858">
                  <w:pPr>
                    <w:adjustRightInd w:val="0"/>
                    <w:jc w:val="center"/>
                    <w:rPr>
                      <w:color w:val="auto"/>
                    </w:rPr>
                  </w:pPr>
                  <w:r>
                    <w:rPr>
                      <w:color w:val="auto"/>
                    </w:rPr>
                    <w:t>间断排放，排放期间流量不稳定</w:t>
                  </w:r>
                </w:p>
              </w:tc>
              <w:tc>
                <w:tcPr>
                  <w:tcW w:w="1202" w:type="dxa"/>
                  <w:vAlign w:val="center"/>
                </w:tcPr>
                <w:p w14:paraId="63198EB5">
                  <w:pPr>
                    <w:jc w:val="center"/>
                    <w:rPr>
                      <w:color w:val="auto"/>
                    </w:rPr>
                  </w:pPr>
                  <w:r>
                    <w:rPr>
                      <w:rFonts w:hint="eastAsia"/>
                      <w:color w:val="auto"/>
                    </w:rPr>
                    <w:t>水量</w:t>
                  </w:r>
                </w:p>
              </w:tc>
              <w:tc>
                <w:tcPr>
                  <w:tcW w:w="1255" w:type="dxa"/>
                  <w:vAlign w:val="center"/>
                </w:tcPr>
                <w:p w14:paraId="4BA8AE81">
                  <w:pPr>
                    <w:jc w:val="center"/>
                    <w:rPr>
                      <w:color w:val="auto"/>
                    </w:rPr>
                  </w:pPr>
                  <w:r>
                    <w:rPr>
                      <w:rFonts w:hint="eastAsia"/>
                      <w:color w:val="auto"/>
                    </w:rPr>
                    <w:t>/</w:t>
                  </w:r>
                </w:p>
              </w:tc>
              <w:tc>
                <w:tcPr>
                  <w:tcW w:w="1207" w:type="dxa"/>
                  <w:vAlign w:val="center"/>
                </w:tcPr>
                <w:p w14:paraId="4813FAC6">
                  <w:pPr>
                    <w:jc w:val="center"/>
                    <w:rPr>
                      <w:rFonts w:hint="default" w:eastAsia="宋体"/>
                      <w:color w:val="auto"/>
                      <w:lang w:val="en-US" w:eastAsia="zh-CN"/>
                    </w:rPr>
                  </w:pPr>
                  <w:r>
                    <w:rPr>
                      <w:rFonts w:hint="eastAsia"/>
                      <w:color w:val="auto"/>
                    </w:rPr>
                    <w:t>7</w:t>
                  </w:r>
                  <w:r>
                    <w:rPr>
                      <w:rFonts w:hint="eastAsia"/>
                      <w:color w:val="auto"/>
                      <w:lang w:val="en-US" w:eastAsia="zh-CN"/>
                    </w:rPr>
                    <w:t>488</w:t>
                  </w:r>
                </w:p>
              </w:tc>
              <w:tc>
                <w:tcPr>
                  <w:tcW w:w="2130" w:type="dxa"/>
                  <w:vAlign w:val="center"/>
                </w:tcPr>
                <w:p w14:paraId="372605E9">
                  <w:pPr>
                    <w:jc w:val="center"/>
                    <w:rPr>
                      <w:color w:val="auto"/>
                    </w:rPr>
                  </w:pPr>
                  <w:r>
                    <w:rPr>
                      <w:rFonts w:hint="eastAsia"/>
                      <w:color w:val="auto"/>
                    </w:rPr>
                    <w:t>/</w:t>
                  </w:r>
                </w:p>
              </w:tc>
              <w:tc>
                <w:tcPr>
                  <w:tcW w:w="1256" w:type="dxa"/>
                  <w:vAlign w:val="center"/>
                </w:tcPr>
                <w:p w14:paraId="2274C221">
                  <w:pPr>
                    <w:jc w:val="center"/>
                    <w:rPr>
                      <w:color w:val="auto"/>
                    </w:rPr>
                  </w:pPr>
                  <w:r>
                    <w:rPr>
                      <w:rFonts w:hint="eastAsia"/>
                      <w:color w:val="auto"/>
                    </w:rPr>
                    <w:t>/</w:t>
                  </w:r>
                </w:p>
              </w:tc>
            </w:tr>
            <w:tr w14:paraId="30AD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continue"/>
                  <w:vAlign w:val="center"/>
                </w:tcPr>
                <w:p w14:paraId="2063E124">
                  <w:pPr>
                    <w:jc w:val="center"/>
                    <w:rPr>
                      <w:color w:val="auto"/>
                    </w:rPr>
                  </w:pPr>
                </w:p>
              </w:tc>
              <w:tc>
                <w:tcPr>
                  <w:tcW w:w="996" w:type="dxa"/>
                  <w:vMerge w:val="continue"/>
                  <w:vAlign w:val="center"/>
                </w:tcPr>
                <w:p w14:paraId="10AFFEED">
                  <w:pPr>
                    <w:jc w:val="center"/>
                    <w:rPr>
                      <w:color w:val="auto"/>
                    </w:rPr>
                  </w:pPr>
                </w:p>
              </w:tc>
              <w:tc>
                <w:tcPr>
                  <w:tcW w:w="1511" w:type="dxa"/>
                  <w:vMerge w:val="continue"/>
                  <w:vAlign w:val="center"/>
                </w:tcPr>
                <w:p w14:paraId="58E9774A">
                  <w:pPr>
                    <w:jc w:val="center"/>
                    <w:rPr>
                      <w:color w:val="auto"/>
                    </w:rPr>
                  </w:pPr>
                </w:p>
              </w:tc>
              <w:tc>
                <w:tcPr>
                  <w:tcW w:w="1311" w:type="dxa"/>
                  <w:vMerge w:val="continue"/>
                  <w:shd w:val="clear" w:color="auto" w:fill="auto"/>
                  <w:vAlign w:val="center"/>
                </w:tcPr>
                <w:p w14:paraId="20A23153">
                  <w:pPr>
                    <w:jc w:val="center"/>
                    <w:rPr>
                      <w:color w:val="auto"/>
                    </w:rPr>
                  </w:pPr>
                </w:p>
              </w:tc>
              <w:tc>
                <w:tcPr>
                  <w:tcW w:w="1120" w:type="dxa"/>
                  <w:vMerge w:val="continue"/>
                  <w:vAlign w:val="center"/>
                </w:tcPr>
                <w:p w14:paraId="0FA528A1">
                  <w:pPr>
                    <w:jc w:val="center"/>
                    <w:rPr>
                      <w:color w:val="auto"/>
                    </w:rPr>
                  </w:pPr>
                </w:p>
              </w:tc>
              <w:tc>
                <w:tcPr>
                  <w:tcW w:w="1161" w:type="dxa"/>
                  <w:vMerge w:val="continue"/>
                  <w:vAlign w:val="center"/>
                </w:tcPr>
                <w:p w14:paraId="7D14A9F5">
                  <w:pPr>
                    <w:jc w:val="center"/>
                    <w:rPr>
                      <w:color w:val="auto"/>
                    </w:rPr>
                  </w:pPr>
                </w:p>
              </w:tc>
              <w:tc>
                <w:tcPr>
                  <w:tcW w:w="1202" w:type="dxa"/>
                  <w:shd w:val="clear" w:color="auto" w:fill="auto"/>
                  <w:vAlign w:val="center"/>
                </w:tcPr>
                <w:p w14:paraId="0D794C2B">
                  <w:pPr>
                    <w:jc w:val="center"/>
                    <w:rPr>
                      <w:color w:val="auto"/>
                    </w:rPr>
                  </w:pPr>
                  <w:r>
                    <w:rPr>
                      <w:color w:val="auto"/>
                    </w:rPr>
                    <w:t>COD</w:t>
                  </w:r>
                </w:p>
              </w:tc>
              <w:tc>
                <w:tcPr>
                  <w:tcW w:w="1255" w:type="dxa"/>
                  <w:vAlign w:val="center"/>
                </w:tcPr>
                <w:p w14:paraId="4D9627F1">
                  <w:pPr>
                    <w:jc w:val="center"/>
                    <w:rPr>
                      <w:color w:val="auto"/>
                    </w:rPr>
                  </w:pPr>
                  <w:r>
                    <w:rPr>
                      <w:rFonts w:hint="eastAsia" w:ascii="Times New Roman" w:hAnsi="Times New Roman" w:eastAsia="宋体" w:cs="Times New Roman"/>
                      <w:color w:val="auto"/>
                    </w:rPr>
                    <w:t>4</w:t>
                  </w:r>
                  <w:r>
                    <w:rPr>
                      <w:rFonts w:hint="eastAsia" w:ascii="Times New Roman" w:hAnsi="Times New Roman" w:eastAsia="宋体" w:cs="Times New Roman"/>
                      <w:color w:val="auto"/>
                      <w:lang w:val="en-US" w:eastAsia="zh-CN"/>
                    </w:rPr>
                    <w:t>17</w:t>
                  </w:r>
                </w:p>
              </w:tc>
              <w:tc>
                <w:tcPr>
                  <w:tcW w:w="1207" w:type="dxa"/>
                  <w:vAlign w:val="center"/>
                </w:tcPr>
                <w:p w14:paraId="5FD0E7D1">
                  <w:pPr>
                    <w:jc w:val="center"/>
                    <w:rPr>
                      <w:color w:val="auto"/>
                    </w:rPr>
                  </w:pPr>
                  <w:r>
                    <w:rPr>
                      <w:rFonts w:hint="eastAsia" w:ascii="Times New Roman" w:hAnsi="Times New Roman" w:eastAsia="宋体" w:cs="Times New Roman"/>
                      <w:color w:val="auto"/>
                      <w:lang w:val="en-US" w:eastAsia="zh-CN"/>
                    </w:rPr>
                    <w:t>3.12</w:t>
                  </w:r>
                </w:p>
              </w:tc>
              <w:tc>
                <w:tcPr>
                  <w:tcW w:w="2130" w:type="dxa"/>
                  <w:vMerge w:val="restart"/>
                  <w:vAlign w:val="center"/>
                </w:tcPr>
                <w:p w14:paraId="035F454A">
                  <w:pPr>
                    <w:jc w:val="center"/>
                    <w:rPr>
                      <w:color w:val="auto"/>
                    </w:rPr>
                  </w:pPr>
                  <w:r>
                    <w:rPr>
                      <w:rFonts w:hint="eastAsia"/>
                      <w:color w:val="auto"/>
                    </w:rPr>
                    <w:t>《污水排入城镇下水道水质标准》（GB/T31962-2015）中表1中B级标准</w:t>
                  </w:r>
                </w:p>
              </w:tc>
              <w:tc>
                <w:tcPr>
                  <w:tcW w:w="1256" w:type="dxa"/>
                  <w:vAlign w:val="center"/>
                </w:tcPr>
                <w:p w14:paraId="3F94E428">
                  <w:pPr>
                    <w:jc w:val="center"/>
                    <w:rPr>
                      <w:color w:val="auto"/>
                    </w:rPr>
                  </w:pPr>
                  <w:r>
                    <w:rPr>
                      <w:color w:val="auto"/>
                    </w:rPr>
                    <w:t>500</w:t>
                  </w:r>
                </w:p>
              </w:tc>
            </w:tr>
            <w:tr w14:paraId="0CC0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continue"/>
                  <w:vAlign w:val="center"/>
                </w:tcPr>
                <w:p w14:paraId="5000E8C2">
                  <w:pPr>
                    <w:jc w:val="center"/>
                    <w:rPr>
                      <w:color w:val="auto"/>
                    </w:rPr>
                  </w:pPr>
                </w:p>
              </w:tc>
              <w:tc>
                <w:tcPr>
                  <w:tcW w:w="996" w:type="dxa"/>
                  <w:vMerge w:val="continue"/>
                  <w:vAlign w:val="center"/>
                </w:tcPr>
                <w:p w14:paraId="082977AF">
                  <w:pPr>
                    <w:jc w:val="center"/>
                    <w:rPr>
                      <w:color w:val="auto"/>
                    </w:rPr>
                  </w:pPr>
                </w:p>
              </w:tc>
              <w:tc>
                <w:tcPr>
                  <w:tcW w:w="1511" w:type="dxa"/>
                  <w:vMerge w:val="continue"/>
                  <w:vAlign w:val="center"/>
                </w:tcPr>
                <w:p w14:paraId="3B99CE39">
                  <w:pPr>
                    <w:jc w:val="center"/>
                    <w:rPr>
                      <w:color w:val="auto"/>
                    </w:rPr>
                  </w:pPr>
                </w:p>
              </w:tc>
              <w:tc>
                <w:tcPr>
                  <w:tcW w:w="1311" w:type="dxa"/>
                  <w:vMerge w:val="continue"/>
                  <w:vAlign w:val="center"/>
                </w:tcPr>
                <w:p w14:paraId="355A43F8">
                  <w:pPr>
                    <w:jc w:val="center"/>
                    <w:rPr>
                      <w:color w:val="auto"/>
                    </w:rPr>
                  </w:pPr>
                </w:p>
              </w:tc>
              <w:tc>
                <w:tcPr>
                  <w:tcW w:w="1120" w:type="dxa"/>
                  <w:vMerge w:val="continue"/>
                  <w:vAlign w:val="center"/>
                </w:tcPr>
                <w:p w14:paraId="247CCF05">
                  <w:pPr>
                    <w:jc w:val="center"/>
                    <w:rPr>
                      <w:color w:val="auto"/>
                    </w:rPr>
                  </w:pPr>
                </w:p>
              </w:tc>
              <w:tc>
                <w:tcPr>
                  <w:tcW w:w="1161" w:type="dxa"/>
                  <w:vMerge w:val="continue"/>
                  <w:vAlign w:val="center"/>
                </w:tcPr>
                <w:p w14:paraId="499A0940">
                  <w:pPr>
                    <w:jc w:val="center"/>
                    <w:rPr>
                      <w:color w:val="auto"/>
                    </w:rPr>
                  </w:pPr>
                </w:p>
              </w:tc>
              <w:tc>
                <w:tcPr>
                  <w:tcW w:w="1202" w:type="dxa"/>
                  <w:shd w:val="clear" w:color="auto" w:fill="auto"/>
                  <w:vAlign w:val="center"/>
                </w:tcPr>
                <w:p w14:paraId="2ABD475C">
                  <w:pPr>
                    <w:jc w:val="center"/>
                    <w:rPr>
                      <w:color w:val="auto"/>
                    </w:rPr>
                  </w:pPr>
                  <w:r>
                    <w:rPr>
                      <w:color w:val="auto"/>
                    </w:rPr>
                    <w:t>SS</w:t>
                  </w:r>
                </w:p>
              </w:tc>
              <w:tc>
                <w:tcPr>
                  <w:tcW w:w="1255" w:type="dxa"/>
                  <w:vAlign w:val="center"/>
                </w:tcPr>
                <w:p w14:paraId="229331F5">
                  <w:pPr>
                    <w:jc w:val="center"/>
                    <w:rPr>
                      <w:color w:val="auto"/>
                    </w:rPr>
                  </w:pPr>
                  <w:r>
                    <w:rPr>
                      <w:rFonts w:hint="eastAsia" w:ascii="Times New Roman" w:hAnsi="Times New Roman" w:eastAsia="宋体" w:cs="Times New Roman"/>
                      <w:color w:val="auto"/>
                      <w:lang w:val="en-US" w:eastAsia="zh-CN"/>
                    </w:rPr>
                    <w:t>283</w:t>
                  </w:r>
                </w:p>
              </w:tc>
              <w:tc>
                <w:tcPr>
                  <w:tcW w:w="1207" w:type="dxa"/>
                  <w:vAlign w:val="center"/>
                </w:tcPr>
                <w:p w14:paraId="4C4B84AF">
                  <w:pPr>
                    <w:jc w:val="center"/>
                    <w:rPr>
                      <w:color w:val="auto"/>
                    </w:rPr>
                  </w:pPr>
                  <w:r>
                    <w:rPr>
                      <w:rFonts w:hint="eastAsia" w:ascii="Times New Roman" w:hAnsi="Times New Roman" w:eastAsia="宋体" w:cs="Times New Roman"/>
                      <w:color w:val="auto"/>
                      <w:lang w:val="en-US" w:eastAsia="zh-CN"/>
                    </w:rPr>
                    <w:t>2.122</w:t>
                  </w:r>
                </w:p>
              </w:tc>
              <w:tc>
                <w:tcPr>
                  <w:tcW w:w="2130" w:type="dxa"/>
                  <w:vMerge w:val="continue"/>
                  <w:vAlign w:val="center"/>
                </w:tcPr>
                <w:p w14:paraId="7BF15F1B">
                  <w:pPr>
                    <w:jc w:val="center"/>
                    <w:rPr>
                      <w:color w:val="auto"/>
                    </w:rPr>
                  </w:pPr>
                </w:p>
              </w:tc>
              <w:tc>
                <w:tcPr>
                  <w:tcW w:w="1256" w:type="dxa"/>
                  <w:vAlign w:val="center"/>
                </w:tcPr>
                <w:p w14:paraId="3F05345A">
                  <w:pPr>
                    <w:jc w:val="center"/>
                    <w:rPr>
                      <w:color w:val="auto"/>
                    </w:rPr>
                  </w:pPr>
                  <w:r>
                    <w:rPr>
                      <w:color w:val="auto"/>
                    </w:rPr>
                    <w:t>400</w:t>
                  </w:r>
                </w:p>
              </w:tc>
            </w:tr>
            <w:tr w14:paraId="41EB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continue"/>
                  <w:vAlign w:val="center"/>
                </w:tcPr>
                <w:p w14:paraId="4CDEDF49">
                  <w:pPr>
                    <w:jc w:val="center"/>
                    <w:rPr>
                      <w:color w:val="auto"/>
                    </w:rPr>
                  </w:pPr>
                </w:p>
              </w:tc>
              <w:tc>
                <w:tcPr>
                  <w:tcW w:w="996" w:type="dxa"/>
                  <w:vMerge w:val="continue"/>
                  <w:vAlign w:val="center"/>
                </w:tcPr>
                <w:p w14:paraId="7EE6AD6F">
                  <w:pPr>
                    <w:jc w:val="center"/>
                    <w:rPr>
                      <w:color w:val="auto"/>
                    </w:rPr>
                  </w:pPr>
                </w:p>
              </w:tc>
              <w:tc>
                <w:tcPr>
                  <w:tcW w:w="1511" w:type="dxa"/>
                  <w:vMerge w:val="continue"/>
                  <w:vAlign w:val="center"/>
                </w:tcPr>
                <w:p w14:paraId="15EF4925">
                  <w:pPr>
                    <w:jc w:val="center"/>
                    <w:rPr>
                      <w:color w:val="auto"/>
                    </w:rPr>
                  </w:pPr>
                </w:p>
              </w:tc>
              <w:tc>
                <w:tcPr>
                  <w:tcW w:w="1311" w:type="dxa"/>
                  <w:vMerge w:val="continue"/>
                  <w:vAlign w:val="center"/>
                </w:tcPr>
                <w:p w14:paraId="66A9A17D">
                  <w:pPr>
                    <w:jc w:val="center"/>
                    <w:rPr>
                      <w:color w:val="auto"/>
                    </w:rPr>
                  </w:pPr>
                </w:p>
              </w:tc>
              <w:tc>
                <w:tcPr>
                  <w:tcW w:w="1120" w:type="dxa"/>
                  <w:vMerge w:val="continue"/>
                  <w:vAlign w:val="center"/>
                </w:tcPr>
                <w:p w14:paraId="74F0CBCC">
                  <w:pPr>
                    <w:jc w:val="center"/>
                    <w:rPr>
                      <w:color w:val="auto"/>
                    </w:rPr>
                  </w:pPr>
                </w:p>
              </w:tc>
              <w:tc>
                <w:tcPr>
                  <w:tcW w:w="1161" w:type="dxa"/>
                  <w:vMerge w:val="continue"/>
                  <w:vAlign w:val="center"/>
                </w:tcPr>
                <w:p w14:paraId="0C4F397C">
                  <w:pPr>
                    <w:jc w:val="center"/>
                    <w:rPr>
                      <w:color w:val="auto"/>
                    </w:rPr>
                  </w:pPr>
                </w:p>
              </w:tc>
              <w:tc>
                <w:tcPr>
                  <w:tcW w:w="1202" w:type="dxa"/>
                  <w:shd w:val="clear" w:color="auto" w:fill="auto"/>
                  <w:vAlign w:val="center"/>
                </w:tcPr>
                <w:p w14:paraId="0284162E">
                  <w:pPr>
                    <w:jc w:val="center"/>
                    <w:rPr>
                      <w:color w:val="auto"/>
                    </w:rPr>
                  </w:pPr>
                  <w:r>
                    <w:rPr>
                      <w:color w:val="auto"/>
                    </w:rPr>
                    <w:t>NH</w:t>
                  </w:r>
                  <w:r>
                    <w:rPr>
                      <w:color w:val="auto"/>
                      <w:vertAlign w:val="subscript"/>
                    </w:rPr>
                    <w:t>3</w:t>
                  </w:r>
                  <w:r>
                    <w:rPr>
                      <w:color w:val="auto"/>
                    </w:rPr>
                    <w:t>-N</w:t>
                  </w:r>
                </w:p>
              </w:tc>
              <w:tc>
                <w:tcPr>
                  <w:tcW w:w="1255" w:type="dxa"/>
                  <w:vAlign w:val="center"/>
                </w:tcPr>
                <w:p w14:paraId="7C34A6E3">
                  <w:pPr>
                    <w:jc w:val="center"/>
                    <w:rPr>
                      <w:color w:val="auto"/>
                    </w:rPr>
                  </w:pPr>
                  <w:r>
                    <w:rPr>
                      <w:rFonts w:hint="eastAsia" w:ascii="Times New Roman" w:hAnsi="Times New Roman" w:eastAsia="宋体" w:cs="Times New Roman"/>
                      <w:color w:val="auto"/>
                    </w:rPr>
                    <w:t>42</w:t>
                  </w:r>
                </w:p>
              </w:tc>
              <w:tc>
                <w:tcPr>
                  <w:tcW w:w="1207" w:type="dxa"/>
                  <w:vAlign w:val="center"/>
                </w:tcPr>
                <w:p w14:paraId="38F4F60F">
                  <w:pPr>
                    <w:jc w:val="center"/>
                    <w:rPr>
                      <w:color w:val="auto"/>
                    </w:rPr>
                  </w:pPr>
                  <w:r>
                    <w:rPr>
                      <w:rFonts w:hint="eastAsia" w:ascii="Times New Roman" w:hAnsi="Times New Roman" w:eastAsia="宋体" w:cs="Times New Roman"/>
                      <w:color w:val="auto"/>
                      <w:lang w:val="en-US" w:eastAsia="zh-CN"/>
                    </w:rPr>
                    <w:t>0.317</w:t>
                  </w:r>
                </w:p>
              </w:tc>
              <w:tc>
                <w:tcPr>
                  <w:tcW w:w="2130" w:type="dxa"/>
                  <w:vMerge w:val="continue"/>
                  <w:vAlign w:val="center"/>
                </w:tcPr>
                <w:p w14:paraId="1CA1F37F">
                  <w:pPr>
                    <w:jc w:val="center"/>
                    <w:rPr>
                      <w:color w:val="auto"/>
                    </w:rPr>
                  </w:pPr>
                </w:p>
              </w:tc>
              <w:tc>
                <w:tcPr>
                  <w:tcW w:w="1256" w:type="dxa"/>
                  <w:vAlign w:val="center"/>
                </w:tcPr>
                <w:p w14:paraId="68D7DA8E">
                  <w:pPr>
                    <w:jc w:val="center"/>
                    <w:rPr>
                      <w:color w:val="auto"/>
                    </w:rPr>
                  </w:pPr>
                  <w:r>
                    <w:rPr>
                      <w:color w:val="auto"/>
                    </w:rPr>
                    <w:t>45</w:t>
                  </w:r>
                </w:p>
              </w:tc>
            </w:tr>
            <w:tr w14:paraId="4548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024" w:type="dxa"/>
                  <w:vMerge w:val="continue"/>
                  <w:vAlign w:val="center"/>
                </w:tcPr>
                <w:p w14:paraId="3FBCE46A">
                  <w:pPr>
                    <w:jc w:val="center"/>
                    <w:rPr>
                      <w:color w:val="auto"/>
                    </w:rPr>
                  </w:pPr>
                </w:p>
              </w:tc>
              <w:tc>
                <w:tcPr>
                  <w:tcW w:w="996" w:type="dxa"/>
                  <w:vMerge w:val="continue"/>
                  <w:vAlign w:val="center"/>
                </w:tcPr>
                <w:p w14:paraId="00619936">
                  <w:pPr>
                    <w:jc w:val="center"/>
                    <w:rPr>
                      <w:color w:val="auto"/>
                    </w:rPr>
                  </w:pPr>
                </w:p>
              </w:tc>
              <w:tc>
                <w:tcPr>
                  <w:tcW w:w="1511" w:type="dxa"/>
                  <w:vMerge w:val="continue"/>
                  <w:vAlign w:val="center"/>
                </w:tcPr>
                <w:p w14:paraId="04BC3488">
                  <w:pPr>
                    <w:jc w:val="center"/>
                    <w:rPr>
                      <w:color w:val="auto"/>
                    </w:rPr>
                  </w:pPr>
                </w:p>
              </w:tc>
              <w:tc>
                <w:tcPr>
                  <w:tcW w:w="1311" w:type="dxa"/>
                  <w:vMerge w:val="continue"/>
                  <w:vAlign w:val="center"/>
                </w:tcPr>
                <w:p w14:paraId="5C983B0C">
                  <w:pPr>
                    <w:jc w:val="center"/>
                    <w:rPr>
                      <w:color w:val="auto"/>
                    </w:rPr>
                  </w:pPr>
                </w:p>
              </w:tc>
              <w:tc>
                <w:tcPr>
                  <w:tcW w:w="1120" w:type="dxa"/>
                  <w:vMerge w:val="continue"/>
                  <w:vAlign w:val="center"/>
                </w:tcPr>
                <w:p w14:paraId="7AC324B4">
                  <w:pPr>
                    <w:jc w:val="center"/>
                    <w:rPr>
                      <w:color w:val="auto"/>
                    </w:rPr>
                  </w:pPr>
                </w:p>
              </w:tc>
              <w:tc>
                <w:tcPr>
                  <w:tcW w:w="1161" w:type="dxa"/>
                  <w:vMerge w:val="continue"/>
                  <w:vAlign w:val="center"/>
                </w:tcPr>
                <w:p w14:paraId="28237F43">
                  <w:pPr>
                    <w:jc w:val="center"/>
                    <w:rPr>
                      <w:color w:val="auto"/>
                    </w:rPr>
                  </w:pPr>
                </w:p>
              </w:tc>
              <w:tc>
                <w:tcPr>
                  <w:tcW w:w="1202" w:type="dxa"/>
                  <w:shd w:val="clear" w:color="auto" w:fill="auto"/>
                  <w:vAlign w:val="center"/>
                </w:tcPr>
                <w:p w14:paraId="379BB302">
                  <w:pPr>
                    <w:jc w:val="center"/>
                    <w:rPr>
                      <w:color w:val="auto"/>
                    </w:rPr>
                  </w:pPr>
                  <w:r>
                    <w:rPr>
                      <w:color w:val="auto"/>
                    </w:rPr>
                    <w:t>TN</w:t>
                  </w:r>
                </w:p>
              </w:tc>
              <w:tc>
                <w:tcPr>
                  <w:tcW w:w="1255" w:type="dxa"/>
                  <w:vAlign w:val="center"/>
                </w:tcPr>
                <w:p w14:paraId="4B42DEBF">
                  <w:pPr>
                    <w:jc w:val="center"/>
                    <w:rPr>
                      <w:color w:val="auto"/>
                    </w:rPr>
                  </w:pPr>
                  <w:r>
                    <w:rPr>
                      <w:rFonts w:hint="eastAsia" w:ascii="Times New Roman" w:hAnsi="Times New Roman" w:eastAsia="宋体" w:cs="Times New Roman"/>
                      <w:color w:val="auto"/>
                    </w:rPr>
                    <w:t>6</w:t>
                  </w:r>
                  <w:r>
                    <w:rPr>
                      <w:rFonts w:hint="eastAsia" w:ascii="Times New Roman" w:hAnsi="Times New Roman" w:eastAsia="宋体" w:cs="Times New Roman"/>
                      <w:color w:val="auto"/>
                      <w:lang w:val="en-US" w:eastAsia="zh-CN"/>
                    </w:rPr>
                    <w:t>8</w:t>
                  </w:r>
                </w:p>
              </w:tc>
              <w:tc>
                <w:tcPr>
                  <w:tcW w:w="1207" w:type="dxa"/>
                  <w:vAlign w:val="center"/>
                </w:tcPr>
                <w:p w14:paraId="037721DF">
                  <w:pPr>
                    <w:jc w:val="center"/>
                    <w:rPr>
                      <w:color w:val="auto"/>
                    </w:rPr>
                  </w:pPr>
                  <w:r>
                    <w:rPr>
                      <w:rFonts w:hint="eastAsia" w:ascii="Times New Roman" w:hAnsi="Times New Roman" w:eastAsia="宋体" w:cs="Times New Roman"/>
                      <w:color w:val="auto"/>
                      <w:lang w:val="en-US" w:eastAsia="zh-CN"/>
                    </w:rPr>
                    <w:t>0.515</w:t>
                  </w:r>
                </w:p>
              </w:tc>
              <w:tc>
                <w:tcPr>
                  <w:tcW w:w="2130" w:type="dxa"/>
                  <w:vMerge w:val="continue"/>
                  <w:vAlign w:val="center"/>
                </w:tcPr>
                <w:p w14:paraId="2389FC38">
                  <w:pPr>
                    <w:jc w:val="center"/>
                    <w:rPr>
                      <w:color w:val="auto"/>
                    </w:rPr>
                  </w:pPr>
                </w:p>
              </w:tc>
              <w:tc>
                <w:tcPr>
                  <w:tcW w:w="1256" w:type="dxa"/>
                  <w:vAlign w:val="center"/>
                </w:tcPr>
                <w:p w14:paraId="1D497F1C">
                  <w:pPr>
                    <w:jc w:val="center"/>
                    <w:rPr>
                      <w:color w:val="auto"/>
                    </w:rPr>
                  </w:pPr>
                  <w:r>
                    <w:rPr>
                      <w:color w:val="auto"/>
                    </w:rPr>
                    <w:t>70</w:t>
                  </w:r>
                </w:p>
              </w:tc>
            </w:tr>
            <w:tr w14:paraId="342B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continue"/>
                  <w:vAlign w:val="center"/>
                </w:tcPr>
                <w:p w14:paraId="79F3800F">
                  <w:pPr>
                    <w:jc w:val="center"/>
                    <w:rPr>
                      <w:color w:val="auto"/>
                    </w:rPr>
                  </w:pPr>
                </w:p>
              </w:tc>
              <w:tc>
                <w:tcPr>
                  <w:tcW w:w="996" w:type="dxa"/>
                  <w:vMerge w:val="continue"/>
                  <w:vAlign w:val="center"/>
                </w:tcPr>
                <w:p w14:paraId="3BA45747">
                  <w:pPr>
                    <w:jc w:val="center"/>
                    <w:rPr>
                      <w:color w:val="auto"/>
                    </w:rPr>
                  </w:pPr>
                </w:p>
              </w:tc>
              <w:tc>
                <w:tcPr>
                  <w:tcW w:w="1511" w:type="dxa"/>
                  <w:vMerge w:val="continue"/>
                  <w:vAlign w:val="center"/>
                </w:tcPr>
                <w:p w14:paraId="2EEDCE41">
                  <w:pPr>
                    <w:jc w:val="center"/>
                    <w:rPr>
                      <w:color w:val="auto"/>
                    </w:rPr>
                  </w:pPr>
                </w:p>
              </w:tc>
              <w:tc>
                <w:tcPr>
                  <w:tcW w:w="1311" w:type="dxa"/>
                  <w:vMerge w:val="continue"/>
                  <w:vAlign w:val="center"/>
                </w:tcPr>
                <w:p w14:paraId="11A83DD8">
                  <w:pPr>
                    <w:jc w:val="center"/>
                    <w:rPr>
                      <w:color w:val="auto"/>
                    </w:rPr>
                  </w:pPr>
                </w:p>
              </w:tc>
              <w:tc>
                <w:tcPr>
                  <w:tcW w:w="1120" w:type="dxa"/>
                  <w:vMerge w:val="continue"/>
                  <w:vAlign w:val="center"/>
                </w:tcPr>
                <w:p w14:paraId="254F8EC5">
                  <w:pPr>
                    <w:jc w:val="center"/>
                    <w:rPr>
                      <w:color w:val="auto"/>
                    </w:rPr>
                  </w:pPr>
                </w:p>
              </w:tc>
              <w:tc>
                <w:tcPr>
                  <w:tcW w:w="1161" w:type="dxa"/>
                  <w:vMerge w:val="continue"/>
                  <w:vAlign w:val="center"/>
                </w:tcPr>
                <w:p w14:paraId="53F21DFE">
                  <w:pPr>
                    <w:jc w:val="center"/>
                    <w:rPr>
                      <w:color w:val="auto"/>
                    </w:rPr>
                  </w:pPr>
                </w:p>
              </w:tc>
              <w:tc>
                <w:tcPr>
                  <w:tcW w:w="1202" w:type="dxa"/>
                  <w:shd w:val="clear" w:color="auto" w:fill="auto"/>
                  <w:vAlign w:val="center"/>
                </w:tcPr>
                <w:p w14:paraId="4C49F785">
                  <w:pPr>
                    <w:jc w:val="center"/>
                    <w:rPr>
                      <w:color w:val="auto"/>
                    </w:rPr>
                  </w:pPr>
                  <w:r>
                    <w:rPr>
                      <w:color w:val="auto"/>
                    </w:rPr>
                    <w:t>TP</w:t>
                  </w:r>
                </w:p>
              </w:tc>
              <w:tc>
                <w:tcPr>
                  <w:tcW w:w="1255" w:type="dxa"/>
                  <w:vAlign w:val="center"/>
                </w:tcPr>
                <w:p w14:paraId="1D03EBB4">
                  <w:pPr>
                    <w:jc w:val="center"/>
                    <w:rPr>
                      <w:color w:val="auto"/>
                    </w:rPr>
                  </w:pPr>
                  <w:r>
                    <w:rPr>
                      <w:rFonts w:hint="eastAsia" w:ascii="Times New Roman" w:hAnsi="Times New Roman" w:eastAsia="宋体" w:cs="Times New Roman"/>
                      <w:color w:val="auto"/>
                    </w:rPr>
                    <w:t>8</w:t>
                  </w:r>
                </w:p>
              </w:tc>
              <w:tc>
                <w:tcPr>
                  <w:tcW w:w="1207" w:type="dxa"/>
                  <w:vAlign w:val="center"/>
                </w:tcPr>
                <w:p w14:paraId="60DCDC44">
                  <w:pPr>
                    <w:jc w:val="center"/>
                    <w:rPr>
                      <w:color w:val="auto"/>
                    </w:rPr>
                  </w:pPr>
                  <w:r>
                    <w:rPr>
                      <w:rFonts w:hint="eastAsia" w:ascii="Times New Roman" w:hAnsi="Times New Roman" w:eastAsia="宋体" w:cs="Times New Roman"/>
                      <w:color w:val="auto"/>
                      <w:lang w:val="en-US" w:eastAsia="zh-CN"/>
                    </w:rPr>
                    <w:t>0.06</w:t>
                  </w:r>
                </w:p>
              </w:tc>
              <w:tc>
                <w:tcPr>
                  <w:tcW w:w="2130" w:type="dxa"/>
                  <w:vMerge w:val="continue"/>
                  <w:vAlign w:val="center"/>
                </w:tcPr>
                <w:p w14:paraId="79F082BA">
                  <w:pPr>
                    <w:jc w:val="center"/>
                    <w:rPr>
                      <w:color w:val="auto"/>
                    </w:rPr>
                  </w:pPr>
                </w:p>
              </w:tc>
              <w:tc>
                <w:tcPr>
                  <w:tcW w:w="1256" w:type="dxa"/>
                  <w:vAlign w:val="center"/>
                </w:tcPr>
                <w:p w14:paraId="680428F1">
                  <w:pPr>
                    <w:jc w:val="center"/>
                    <w:rPr>
                      <w:color w:val="auto"/>
                    </w:rPr>
                  </w:pPr>
                  <w:r>
                    <w:rPr>
                      <w:color w:val="auto"/>
                    </w:rPr>
                    <w:t>8</w:t>
                  </w:r>
                </w:p>
              </w:tc>
            </w:tr>
            <w:tr w14:paraId="5907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Merge w:val="continue"/>
                  <w:vAlign w:val="center"/>
                </w:tcPr>
                <w:p w14:paraId="502FBB56">
                  <w:pPr>
                    <w:jc w:val="center"/>
                    <w:rPr>
                      <w:color w:val="auto"/>
                    </w:rPr>
                  </w:pPr>
                </w:p>
              </w:tc>
              <w:tc>
                <w:tcPr>
                  <w:tcW w:w="996" w:type="dxa"/>
                  <w:vMerge w:val="continue"/>
                  <w:vAlign w:val="center"/>
                </w:tcPr>
                <w:p w14:paraId="2A270C25">
                  <w:pPr>
                    <w:jc w:val="center"/>
                    <w:rPr>
                      <w:color w:val="auto"/>
                    </w:rPr>
                  </w:pPr>
                </w:p>
              </w:tc>
              <w:tc>
                <w:tcPr>
                  <w:tcW w:w="1511" w:type="dxa"/>
                  <w:vMerge w:val="continue"/>
                  <w:vAlign w:val="center"/>
                </w:tcPr>
                <w:p w14:paraId="07CA204C">
                  <w:pPr>
                    <w:jc w:val="center"/>
                    <w:rPr>
                      <w:color w:val="auto"/>
                    </w:rPr>
                  </w:pPr>
                </w:p>
              </w:tc>
              <w:tc>
                <w:tcPr>
                  <w:tcW w:w="1311" w:type="dxa"/>
                  <w:vMerge w:val="continue"/>
                  <w:vAlign w:val="center"/>
                </w:tcPr>
                <w:p w14:paraId="14184159">
                  <w:pPr>
                    <w:jc w:val="center"/>
                    <w:rPr>
                      <w:color w:val="auto"/>
                    </w:rPr>
                  </w:pPr>
                </w:p>
              </w:tc>
              <w:tc>
                <w:tcPr>
                  <w:tcW w:w="1120" w:type="dxa"/>
                  <w:vMerge w:val="continue"/>
                  <w:vAlign w:val="center"/>
                </w:tcPr>
                <w:p w14:paraId="4413D832">
                  <w:pPr>
                    <w:jc w:val="center"/>
                    <w:rPr>
                      <w:color w:val="auto"/>
                    </w:rPr>
                  </w:pPr>
                </w:p>
              </w:tc>
              <w:tc>
                <w:tcPr>
                  <w:tcW w:w="1161" w:type="dxa"/>
                  <w:vMerge w:val="continue"/>
                  <w:vAlign w:val="center"/>
                </w:tcPr>
                <w:p w14:paraId="2B584288">
                  <w:pPr>
                    <w:jc w:val="center"/>
                    <w:rPr>
                      <w:color w:val="auto"/>
                    </w:rPr>
                  </w:pPr>
                </w:p>
              </w:tc>
              <w:tc>
                <w:tcPr>
                  <w:tcW w:w="1202" w:type="dxa"/>
                  <w:shd w:val="clear" w:color="auto" w:fill="auto"/>
                  <w:vAlign w:val="center"/>
                </w:tcPr>
                <w:p w14:paraId="732A796D">
                  <w:pPr>
                    <w:jc w:val="center"/>
                    <w:rPr>
                      <w:color w:val="auto"/>
                    </w:rPr>
                  </w:pPr>
                  <w:r>
                    <w:rPr>
                      <w:color w:val="auto"/>
                    </w:rPr>
                    <w:t>动植</w:t>
                  </w:r>
                </w:p>
                <w:p w14:paraId="18EDEDE8">
                  <w:pPr>
                    <w:jc w:val="center"/>
                    <w:rPr>
                      <w:color w:val="auto"/>
                    </w:rPr>
                  </w:pPr>
                  <w:r>
                    <w:rPr>
                      <w:color w:val="auto"/>
                    </w:rPr>
                    <w:t>物油</w:t>
                  </w:r>
                </w:p>
              </w:tc>
              <w:tc>
                <w:tcPr>
                  <w:tcW w:w="1255" w:type="dxa"/>
                  <w:vAlign w:val="center"/>
                </w:tcPr>
                <w:p w14:paraId="2D096079">
                  <w:pPr>
                    <w:jc w:val="center"/>
                    <w:rPr>
                      <w:color w:val="auto"/>
                    </w:rPr>
                  </w:pPr>
                  <w:r>
                    <w:rPr>
                      <w:rFonts w:hint="eastAsia" w:ascii="Times New Roman" w:hAnsi="Times New Roman" w:eastAsia="宋体" w:cs="Times New Roman"/>
                      <w:color w:val="auto"/>
                    </w:rPr>
                    <w:t>13</w:t>
                  </w:r>
                </w:p>
              </w:tc>
              <w:tc>
                <w:tcPr>
                  <w:tcW w:w="1207" w:type="dxa"/>
                  <w:vAlign w:val="center"/>
                </w:tcPr>
                <w:p w14:paraId="1A37FE0A">
                  <w:pPr>
                    <w:jc w:val="center"/>
                    <w:rPr>
                      <w:rFonts w:hint="default"/>
                      <w:color w:val="auto"/>
                      <w:lang w:val="en-US"/>
                    </w:rPr>
                  </w:pPr>
                  <w:r>
                    <w:rPr>
                      <w:rFonts w:hint="eastAsia" w:ascii="Times New Roman" w:hAnsi="Times New Roman" w:eastAsia="宋体" w:cs="Times New Roman"/>
                      <w:color w:val="auto"/>
                    </w:rPr>
                    <w:t>0.1</w:t>
                  </w:r>
                </w:p>
              </w:tc>
              <w:tc>
                <w:tcPr>
                  <w:tcW w:w="2130" w:type="dxa"/>
                  <w:vMerge w:val="continue"/>
                  <w:vAlign w:val="center"/>
                </w:tcPr>
                <w:p w14:paraId="4E882F05">
                  <w:pPr>
                    <w:jc w:val="center"/>
                    <w:rPr>
                      <w:color w:val="auto"/>
                    </w:rPr>
                  </w:pPr>
                </w:p>
              </w:tc>
              <w:tc>
                <w:tcPr>
                  <w:tcW w:w="1256" w:type="dxa"/>
                  <w:vAlign w:val="center"/>
                </w:tcPr>
                <w:p w14:paraId="50639642">
                  <w:pPr>
                    <w:jc w:val="center"/>
                    <w:rPr>
                      <w:color w:val="auto"/>
                    </w:rPr>
                  </w:pPr>
                  <w:r>
                    <w:rPr>
                      <w:rFonts w:hint="eastAsia"/>
                      <w:color w:val="auto"/>
                    </w:rPr>
                    <w:t>100</w:t>
                  </w:r>
                </w:p>
              </w:tc>
            </w:tr>
          </w:tbl>
          <w:p w14:paraId="28F9C2A2">
            <w:pPr>
              <w:pStyle w:val="32"/>
              <w:adjustRightInd/>
              <w:spacing w:line="360" w:lineRule="auto"/>
              <w:rPr>
                <w:color w:val="auto"/>
              </w:rPr>
            </w:pPr>
          </w:p>
          <w:p w14:paraId="088B135E">
            <w:pPr>
              <w:pStyle w:val="35"/>
              <w:rPr>
                <w:color w:val="auto"/>
              </w:rPr>
            </w:pPr>
          </w:p>
          <w:p w14:paraId="52C2512B">
            <w:pPr>
              <w:rPr>
                <w:color w:val="auto"/>
              </w:rPr>
            </w:pPr>
          </w:p>
          <w:p w14:paraId="1E3E7731">
            <w:pPr>
              <w:pStyle w:val="32"/>
              <w:adjustRightInd/>
              <w:spacing w:line="360" w:lineRule="auto"/>
              <w:rPr>
                <w:color w:val="auto"/>
                <w:sz w:val="28"/>
                <w:szCs w:val="44"/>
              </w:rPr>
            </w:pPr>
          </w:p>
        </w:tc>
      </w:tr>
    </w:tbl>
    <w:p w14:paraId="4EC234EC">
      <w:pPr>
        <w:pStyle w:val="3"/>
        <w:rPr>
          <w:color w:val="auto"/>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3"/>
        <w:tblW w:w="9863" w:type="dxa"/>
        <w:tblInd w:w="-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9305"/>
      </w:tblGrid>
      <w:tr w14:paraId="66B4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Pr>
          <w:p w14:paraId="54DA7347">
            <w:pPr>
              <w:rPr>
                <w:color w:val="auto"/>
              </w:rPr>
            </w:pPr>
          </w:p>
        </w:tc>
        <w:tc>
          <w:tcPr>
            <w:tcW w:w="9305" w:type="dxa"/>
          </w:tcPr>
          <w:p w14:paraId="551FB70C">
            <w:pPr>
              <w:pStyle w:val="3"/>
              <w:spacing w:line="360" w:lineRule="auto"/>
              <w:ind w:firstLine="480" w:firstLineChars="200"/>
              <w:outlineLvl w:val="2"/>
              <w:rPr>
                <w:color w:val="auto"/>
                <w:sz w:val="24"/>
              </w:rPr>
            </w:pPr>
            <w:r>
              <w:rPr>
                <w:rFonts w:hint="eastAsia"/>
                <w:color w:val="auto"/>
                <w:sz w:val="24"/>
              </w:rPr>
              <w:t>2.2废水治理设施可行性</w:t>
            </w:r>
          </w:p>
          <w:p w14:paraId="74ABDC6E">
            <w:pPr>
              <w:pStyle w:val="3"/>
              <w:spacing w:line="360" w:lineRule="auto"/>
              <w:ind w:firstLine="480" w:firstLineChars="200"/>
              <w:outlineLvl w:val="2"/>
              <w:rPr>
                <w:color w:val="auto"/>
                <w:sz w:val="24"/>
                <w:szCs w:val="24"/>
              </w:rPr>
            </w:pPr>
            <w:r>
              <w:rPr>
                <w:rFonts w:hint="eastAsia"/>
                <w:color w:val="auto"/>
                <w:sz w:val="24"/>
                <w:szCs w:val="24"/>
              </w:rPr>
              <w:t>（1）废水污染防治措施情况</w:t>
            </w:r>
          </w:p>
          <w:p w14:paraId="32C15F05">
            <w:pPr>
              <w:spacing w:line="360" w:lineRule="auto"/>
              <w:ind w:firstLine="480" w:firstLineChars="200"/>
              <w:jc w:val="left"/>
              <w:rPr>
                <w:color w:val="auto"/>
                <w:sz w:val="24"/>
              </w:rPr>
            </w:pPr>
            <w:r>
              <w:rPr>
                <w:color w:val="auto"/>
                <w:sz w:val="24"/>
              </w:rPr>
              <w:t>本项目厂区排水已实行“雨污分流”制，雨水经雨水管网收集后，排入当地市政雨水管网，最终汇入附近河流。</w:t>
            </w:r>
          </w:p>
          <w:p w14:paraId="55167858">
            <w:pPr>
              <w:spacing w:line="360" w:lineRule="auto"/>
              <w:ind w:firstLine="480" w:firstLineChars="200"/>
              <w:jc w:val="left"/>
              <w:rPr>
                <w:color w:val="auto"/>
                <w:sz w:val="24"/>
              </w:rPr>
            </w:pPr>
            <w:r>
              <w:rPr>
                <w:color w:val="auto"/>
                <w:sz w:val="24"/>
              </w:rPr>
              <w:t>本项</w:t>
            </w:r>
            <w:r>
              <w:rPr>
                <w:color w:val="auto"/>
                <w:sz w:val="24"/>
                <w:szCs w:val="24"/>
              </w:rPr>
              <w:t>目</w:t>
            </w:r>
            <w:r>
              <w:rPr>
                <w:rFonts w:hint="eastAsia"/>
                <w:color w:val="auto"/>
                <w:sz w:val="24"/>
              </w:rPr>
              <w:t>生活污水经化粪池预处理，食堂废水经隔油池预处理，一并</w:t>
            </w:r>
            <w:r>
              <w:rPr>
                <w:color w:val="auto"/>
                <w:sz w:val="24"/>
              </w:rPr>
              <w:t>接管排入市政污水管网，</w:t>
            </w:r>
            <w:r>
              <w:rPr>
                <w:bCs/>
                <w:color w:val="auto"/>
                <w:sz w:val="24"/>
              </w:rPr>
              <w:t>最终排入</w:t>
            </w:r>
            <w:r>
              <w:rPr>
                <w:rFonts w:hint="eastAsia"/>
                <w:bCs/>
                <w:color w:val="auto"/>
                <w:sz w:val="24"/>
                <w:lang w:eastAsia="zh-CN"/>
              </w:rPr>
              <w:t>常州市金坛区溪城污水处理有限公司直溪污水处理厂</w:t>
            </w:r>
            <w:r>
              <w:rPr>
                <w:bCs/>
                <w:color w:val="auto"/>
                <w:sz w:val="24"/>
              </w:rPr>
              <w:t>集中处理，尾水排入</w:t>
            </w:r>
            <w:r>
              <w:rPr>
                <w:rFonts w:hint="eastAsia"/>
                <w:bCs/>
                <w:color w:val="auto"/>
                <w:sz w:val="24"/>
              </w:rPr>
              <w:t>通济河</w:t>
            </w:r>
            <w:r>
              <w:rPr>
                <w:color w:val="auto"/>
                <w:sz w:val="24"/>
              </w:rPr>
              <w:t>。</w:t>
            </w:r>
          </w:p>
          <w:p w14:paraId="326FF812">
            <w:pPr>
              <w:pStyle w:val="3"/>
              <w:spacing w:line="360" w:lineRule="auto"/>
              <w:ind w:firstLine="480" w:firstLineChars="200"/>
              <w:outlineLvl w:val="2"/>
              <w:rPr>
                <w:color w:val="auto"/>
                <w:sz w:val="24"/>
                <w:szCs w:val="24"/>
              </w:rPr>
            </w:pPr>
            <w:r>
              <w:rPr>
                <w:rFonts w:hint="eastAsia"/>
                <w:color w:val="auto"/>
                <w:sz w:val="24"/>
                <w:szCs w:val="24"/>
              </w:rPr>
              <w:t>（2）废水接管可行性分析</w:t>
            </w:r>
          </w:p>
          <w:p w14:paraId="6A464443">
            <w:pPr>
              <w:pStyle w:val="3"/>
              <w:spacing w:line="360" w:lineRule="auto"/>
              <w:ind w:firstLine="480" w:firstLineChars="200"/>
              <w:outlineLvl w:val="2"/>
              <w:rPr>
                <w:color w:val="auto"/>
                <w:sz w:val="24"/>
                <w:szCs w:val="24"/>
              </w:rPr>
            </w:pPr>
            <w:r>
              <w:rPr>
                <w:rFonts w:hint="eastAsia"/>
                <w:color w:val="auto"/>
                <w:sz w:val="24"/>
                <w:szCs w:val="24"/>
              </w:rPr>
              <w:t>①接管可行性分析</w:t>
            </w:r>
          </w:p>
          <w:p w14:paraId="69ECC18A">
            <w:pPr>
              <w:pStyle w:val="3"/>
              <w:spacing w:line="360" w:lineRule="auto"/>
              <w:ind w:firstLine="480" w:firstLineChars="200"/>
              <w:outlineLvl w:val="2"/>
              <w:rPr>
                <w:color w:val="auto"/>
                <w:sz w:val="24"/>
                <w:szCs w:val="24"/>
              </w:rPr>
            </w:pPr>
            <w:r>
              <w:rPr>
                <w:color w:val="auto"/>
                <w:sz w:val="24"/>
                <w:szCs w:val="24"/>
              </w:rPr>
              <w:t>A水量可行性分析</w:t>
            </w:r>
          </w:p>
          <w:p w14:paraId="4E57E27A">
            <w:pPr>
              <w:spacing w:line="360" w:lineRule="auto"/>
              <w:ind w:firstLine="480" w:firstLineChars="200"/>
              <w:jc w:val="left"/>
              <w:rPr>
                <w:color w:val="auto"/>
                <w:sz w:val="24"/>
              </w:rPr>
            </w:pPr>
            <w:r>
              <w:rPr>
                <w:rFonts w:hint="eastAsia"/>
                <w:color w:val="auto"/>
                <w:sz w:val="24"/>
                <w:lang w:eastAsia="zh-CN"/>
              </w:rPr>
              <w:t>常州市金坛区溪城污水处理有限公司直溪污水处理厂</w:t>
            </w:r>
            <w:r>
              <w:rPr>
                <w:color w:val="auto"/>
                <w:sz w:val="24"/>
              </w:rPr>
              <w:t>目前处理能力1万m</w:t>
            </w:r>
            <w:r>
              <w:rPr>
                <w:color w:val="auto"/>
                <w:sz w:val="24"/>
                <w:vertAlign w:val="superscript"/>
              </w:rPr>
              <w:t>3</w:t>
            </w:r>
            <w:r>
              <w:rPr>
                <w:color w:val="auto"/>
                <w:sz w:val="24"/>
              </w:rPr>
              <w:t>/d，目前实际污水处理量</w:t>
            </w:r>
          </w:p>
          <w:p w14:paraId="275780D6">
            <w:pPr>
              <w:spacing w:line="360" w:lineRule="auto"/>
              <w:jc w:val="left"/>
              <w:rPr>
                <w:color w:val="auto"/>
                <w:sz w:val="24"/>
              </w:rPr>
            </w:pPr>
            <w:r>
              <w:rPr>
                <w:color w:val="auto"/>
                <w:sz w:val="24"/>
              </w:rPr>
              <w:t>为0.9万m</w:t>
            </w:r>
            <w:r>
              <w:rPr>
                <w:color w:val="auto"/>
                <w:sz w:val="24"/>
                <w:vertAlign w:val="superscript"/>
              </w:rPr>
              <w:t>3</w:t>
            </w:r>
            <w:r>
              <w:rPr>
                <w:color w:val="auto"/>
                <w:sz w:val="24"/>
              </w:rPr>
              <w:t>/d，尚有0.1万m</w:t>
            </w:r>
            <w:r>
              <w:rPr>
                <w:color w:val="auto"/>
                <w:sz w:val="24"/>
                <w:vertAlign w:val="superscript"/>
              </w:rPr>
              <w:t>3</w:t>
            </w:r>
            <w:r>
              <w:rPr>
                <w:color w:val="auto"/>
                <w:sz w:val="24"/>
              </w:rPr>
              <w:t>/d的余量。本项目废水量</w:t>
            </w:r>
            <w:r>
              <w:rPr>
                <w:rFonts w:hint="eastAsia"/>
                <w:color w:val="auto"/>
                <w:sz w:val="24"/>
              </w:rPr>
              <w:t>2</w:t>
            </w:r>
            <w:r>
              <w:rPr>
                <w:rFonts w:hint="eastAsia"/>
                <w:color w:val="auto"/>
                <w:sz w:val="24"/>
                <w:lang w:val="en-US" w:eastAsia="zh-CN"/>
              </w:rPr>
              <w:t>5</w:t>
            </w:r>
            <w:r>
              <w:rPr>
                <w:color w:val="auto"/>
                <w:sz w:val="24"/>
              </w:rPr>
              <w:t>m</w:t>
            </w:r>
            <w:r>
              <w:rPr>
                <w:color w:val="auto"/>
                <w:sz w:val="24"/>
                <w:vertAlign w:val="superscript"/>
              </w:rPr>
              <w:t>3</w:t>
            </w:r>
            <w:r>
              <w:rPr>
                <w:color w:val="auto"/>
                <w:sz w:val="24"/>
              </w:rPr>
              <w:t>/d（</w:t>
            </w:r>
            <w:r>
              <w:rPr>
                <w:rFonts w:hint="eastAsia"/>
                <w:color w:val="auto"/>
                <w:sz w:val="24"/>
              </w:rPr>
              <w:t>7</w:t>
            </w:r>
            <w:r>
              <w:rPr>
                <w:rFonts w:hint="eastAsia"/>
                <w:color w:val="auto"/>
                <w:sz w:val="24"/>
                <w:lang w:val="en-US" w:eastAsia="zh-CN"/>
              </w:rPr>
              <w:t>488</w:t>
            </w:r>
            <w:r>
              <w:rPr>
                <w:color w:val="auto"/>
                <w:sz w:val="24"/>
              </w:rPr>
              <w:t>m</w:t>
            </w:r>
            <w:r>
              <w:rPr>
                <w:color w:val="auto"/>
                <w:sz w:val="24"/>
                <w:vertAlign w:val="superscript"/>
              </w:rPr>
              <w:t>3</w:t>
            </w:r>
            <w:r>
              <w:rPr>
                <w:color w:val="auto"/>
                <w:sz w:val="24"/>
              </w:rPr>
              <w:t>/a），占污水厂剩余处理量</w:t>
            </w:r>
            <w:r>
              <w:rPr>
                <w:rFonts w:hint="eastAsia"/>
                <w:color w:val="auto"/>
                <w:sz w:val="24"/>
              </w:rPr>
              <w:t>2.6</w:t>
            </w:r>
            <w:r>
              <w:rPr>
                <w:color w:val="auto"/>
                <w:sz w:val="24"/>
              </w:rPr>
              <w:t>%，基本不会对污水处理厂的正常运行造成影响。因此，从废水量来看，</w:t>
            </w:r>
            <w:r>
              <w:rPr>
                <w:rFonts w:hint="eastAsia"/>
                <w:color w:val="auto"/>
                <w:sz w:val="24"/>
                <w:lang w:eastAsia="zh-CN"/>
              </w:rPr>
              <w:t>常州市金坛区溪城污水处理有限公司直溪污水处理厂</w:t>
            </w:r>
            <w:r>
              <w:rPr>
                <w:color w:val="auto"/>
                <w:sz w:val="24"/>
              </w:rPr>
              <w:t>完全有能力接纳本项目废水。</w:t>
            </w:r>
          </w:p>
          <w:p w14:paraId="53A0A82D">
            <w:pPr>
              <w:spacing w:line="360" w:lineRule="auto"/>
              <w:ind w:firstLine="480" w:firstLineChars="200"/>
              <w:jc w:val="left"/>
              <w:rPr>
                <w:color w:val="auto"/>
                <w:sz w:val="24"/>
              </w:rPr>
            </w:pPr>
            <w:r>
              <w:rPr>
                <w:color w:val="auto"/>
                <w:sz w:val="24"/>
              </w:rPr>
              <w:t>B水质可行性分析</w:t>
            </w:r>
          </w:p>
          <w:p w14:paraId="2DF50B6A">
            <w:pPr>
              <w:spacing w:line="360" w:lineRule="auto"/>
              <w:ind w:firstLine="480" w:firstLineChars="200"/>
              <w:jc w:val="left"/>
              <w:rPr>
                <w:color w:val="auto"/>
                <w:sz w:val="24"/>
              </w:rPr>
            </w:pPr>
            <w:r>
              <w:rPr>
                <w:color w:val="auto"/>
                <w:sz w:val="24"/>
              </w:rPr>
              <w:t>本项目</w:t>
            </w:r>
            <w:r>
              <w:rPr>
                <w:rFonts w:hint="eastAsia"/>
                <w:color w:val="auto"/>
                <w:sz w:val="24"/>
              </w:rPr>
              <w:t>废水</w:t>
            </w:r>
            <w:r>
              <w:rPr>
                <w:color w:val="auto"/>
                <w:sz w:val="24"/>
              </w:rPr>
              <w:t>水质简单，可达</w:t>
            </w:r>
            <w:r>
              <w:rPr>
                <w:rFonts w:hint="eastAsia"/>
                <w:color w:val="auto"/>
                <w:sz w:val="24"/>
                <w:lang w:eastAsia="zh-CN"/>
              </w:rPr>
              <w:t>常州市金坛区溪城污水处理有限公司直溪污水处理厂</w:t>
            </w:r>
            <w:r>
              <w:rPr>
                <w:color w:val="auto"/>
                <w:sz w:val="24"/>
              </w:rPr>
              <w:t>接管要求，经规范化排污口接管排入</w:t>
            </w:r>
            <w:r>
              <w:rPr>
                <w:rFonts w:hint="eastAsia"/>
                <w:color w:val="auto"/>
                <w:sz w:val="24"/>
                <w:lang w:eastAsia="zh-CN"/>
              </w:rPr>
              <w:t>常州市金坛区溪城污水处理有限公司直溪污水处理厂</w:t>
            </w:r>
            <w:r>
              <w:rPr>
                <w:color w:val="auto"/>
                <w:sz w:val="24"/>
              </w:rPr>
              <w:t>进行集中处理是可行的。</w:t>
            </w:r>
          </w:p>
          <w:p w14:paraId="45625734">
            <w:pPr>
              <w:spacing w:line="360" w:lineRule="auto"/>
              <w:ind w:firstLine="480" w:firstLineChars="200"/>
              <w:jc w:val="left"/>
              <w:rPr>
                <w:color w:val="auto"/>
                <w:sz w:val="24"/>
              </w:rPr>
            </w:pPr>
            <w:r>
              <w:rPr>
                <w:color w:val="auto"/>
                <w:sz w:val="24"/>
              </w:rPr>
              <w:t>C管网配套可行性分析</w:t>
            </w:r>
          </w:p>
          <w:p w14:paraId="13C72F5A">
            <w:pPr>
              <w:spacing w:line="360" w:lineRule="auto"/>
              <w:ind w:firstLine="480" w:firstLineChars="200"/>
              <w:jc w:val="left"/>
              <w:rPr>
                <w:color w:val="auto"/>
                <w:sz w:val="24"/>
              </w:rPr>
            </w:pPr>
            <w:r>
              <w:rPr>
                <w:color w:val="auto"/>
                <w:sz w:val="24"/>
              </w:rPr>
              <w:t>目前建设项目所在地污水管网已铺设到位，因此建设项目产生的废水接管排入</w:t>
            </w:r>
            <w:r>
              <w:rPr>
                <w:rFonts w:hint="eastAsia"/>
                <w:color w:val="auto"/>
                <w:sz w:val="24"/>
                <w:lang w:eastAsia="zh-CN"/>
              </w:rPr>
              <w:t>常州市金坛区溪城污水处理有限公司直溪污水处理厂</w:t>
            </w:r>
            <w:r>
              <w:rPr>
                <w:color w:val="auto"/>
                <w:sz w:val="24"/>
              </w:rPr>
              <w:t>进行处理是可行的。建设项目实施雨污分流制，依托现有污水接管口和雨水排放口，该排放口已根据江苏省环保厅《江苏省排污口设置及规范化整治管理办法》进行规范化设置。</w:t>
            </w:r>
          </w:p>
          <w:p w14:paraId="265990E5">
            <w:pPr>
              <w:spacing w:line="360" w:lineRule="auto"/>
              <w:ind w:firstLine="480" w:firstLineChars="200"/>
              <w:jc w:val="left"/>
              <w:rPr>
                <w:color w:val="auto"/>
                <w:sz w:val="24"/>
                <w:szCs w:val="24"/>
              </w:rPr>
            </w:pPr>
            <w:r>
              <w:rPr>
                <w:color w:val="auto"/>
                <w:sz w:val="24"/>
              </w:rPr>
              <w:t>从以上的分析可知，建设项目产生的废水接管排入</w:t>
            </w:r>
            <w:r>
              <w:rPr>
                <w:rFonts w:hint="eastAsia"/>
                <w:color w:val="auto"/>
                <w:sz w:val="24"/>
                <w:lang w:eastAsia="zh-CN"/>
              </w:rPr>
              <w:t>常州市金坛区溪城污水处理有限公司直溪污水处理厂</w:t>
            </w:r>
            <w:r>
              <w:rPr>
                <w:color w:val="auto"/>
                <w:sz w:val="24"/>
              </w:rPr>
              <w:t>集中处理可行，建设项目废水经</w:t>
            </w:r>
            <w:r>
              <w:rPr>
                <w:rFonts w:hint="eastAsia"/>
                <w:color w:val="auto"/>
                <w:sz w:val="24"/>
                <w:lang w:eastAsia="zh-CN"/>
              </w:rPr>
              <w:t>常州市金坛区溪城污水处理有限公司直溪污水处理厂</w:t>
            </w:r>
            <w:r>
              <w:rPr>
                <w:color w:val="auto"/>
                <w:sz w:val="24"/>
              </w:rPr>
              <w:t>处理达标后，尾水排入通济河，对地表水体影响较小。</w:t>
            </w:r>
          </w:p>
          <w:p w14:paraId="4A682F25">
            <w:pPr>
              <w:pStyle w:val="3"/>
              <w:ind w:firstLine="480" w:firstLineChars="200"/>
              <w:outlineLvl w:val="2"/>
              <w:rPr>
                <w:rFonts w:hint="eastAsia"/>
                <w:color w:val="auto"/>
                <w:sz w:val="24"/>
                <w:szCs w:val="24"/>
              </w:rPr>
            </w:pPr>
            <w:r>
              <w:rPr>
                <w:rFonts w:hint="eastAsia"/>
                <w:color w:val="auto"/>
                <w:sz w:val="24"/>
                <w:szCs w:val="24"/>
              </w:rPr>
              <w:t>2.3监测计划</w:t>
            </w:r>
          </w:p>
          <w:p w14:paraId="654DFA4B">
            <w:pPr>
              <w:ind w:firstLine="480" w:firstLineChars="200"/>
              <w:rPr>
                <w:color w:val="auto"/>
              </w:rPr>
            </w:pPr>
            <w:r>
              <w:rPr>
                <w:rFonts w:hint="eastAsia"/>
                <w:b w:val="0"/>
                <w:bCs w:val="0"/>
                <w:color w:val="auto"/>
                <w:sz w:val="24"/>
                <w:szCs w:val="24"/>
                <w:lang w:val="en-US" w:eastAsia="zh-CN"/>
              </w:rPr>
              <w:t>根据《排污单位自行监测技术指南 总则》（HJ819-2017），项目监测计划如下。</w:t>
            </w:r>
          </w:p>
          <w:p w14:paraId="29893DFB">
            <w:pPr>
              <w:jc w:val="center"/>
              <w:rPr>
                <w:rFonts w:hint="eastAsia"/>
                <w:b/>
                <w:bCs/>
                <w:color w:val="auto"/>
                <w:sz w:val="24"/>
                <w:szCs w:val="24"/>
              </w:rPr>
            </w:pPr>
          </w:p>
          <w:p w14:paraId="7B0610D3">
            <w:pPr>
              <w:jc w:val="center"/>
              <w:rPr>
                <w:b/>
                <w:bCs/>
                <w:color w:val="auto"/>
                <w:sz w:val="24"/>
                <w:szCs w:val="24"/>
              </w:rPr>
            </w:pPr>
            <w:r>
              <w:rPr>
                <w:rFonts w:hint="eastAsia"/>
                <w:b/>
                <w:bCs/>
                <w:color w:val="auto"/>
                <w:sz w:val="24"/>
                <w:szCs w:val="24"/>
              </w:rPr>
              <w:t>表4-18  项目环境监测计划表</w:t>
            </w:r>
          </w:p>
          <w:tbl>
            <w:tblPr>
              <w:tblStyle w:val="23"/>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35"/>
              <w:gridCol w:w="3250"/>
              <w:gridCol w:w="1808"/>
              <w:gridCol w:w="1826"/>
            </w:tblGrid>
            <w:tr w14:paraId="0C7E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1BFD2581">
                  <w:pPr>
                    <w:spacing w:line="0" w:lineRule="atLeast"/>
                    <w:jc w:val="center"/>
                    <w:rPr>
                      <w:b/>
                      <w:bCs/>
                      <w:color w:val="auto"/>
                    </w:rPr>
                  </w:pPr>
                  <w:r>
                    <w:rPr>
                      <w:rFonts w:hint="eastAsia"/>
                      <w:b/>
                      <w:bCs/>
                      <w:color w:val="auto"/>
                    </w:rPr>
                    <w:t>类别</w:t>
                  </w:r>
                </w:p>
              </w:tc>
              <w:tc>
                <w:tcPr>
                  <w:tcW w:w="1235" w:type="dxa"/>
                  <w:vAlign w:val="center"/>
                </w:tcPr>
                <w:p w14:paraId="30F88952">
                  <w:pPr>
                    <w:spacing w:line="0" w:lineRule="atLeast"/>
                    <w:jc w:val="center"/>
                    <w:rPr>
                      <w:b/>
                      <w:bCs/>
                      <w:color w:val="auto"/>
                    </w:rPr>
                  </w:pPr>
                  <w:r>
                    <w:rPr>
                      <w:rFonts w:hint="eastAsia"/>
                      <w:b/>
                      <w:bCs/>
                      <w:color w:val="auto"/>
                    </w:rPr>
                    <w:t>监测点位</w:t>
                  </w:r>
                </w:p>
              </w:tc>
              <w:tc>
                <w:tcPr>
                  <w:tcW w:w="3250" w:type="dxa"/>
                  <w:vAlign w:val="center"/>
                </w:tcPr>
                <w:p w14:paraId="1227EF7A">
                  <w:pPr>
                    <w:spacing w:line="0" w:lineRule="atLeast"/>
                    <w:jc w:val="center"/>
                    <w:rPr>
                      <w:b/>
                      <w:bCs/>
                      <w:color w:val="auto"/>
                    </w:rPr>
                  </w:pPr>
                  <w:r>
                    <w:rPr>
                      <w:rFonts w:hint="eastAsia"/>
                      <w:b/>
                      <w:bCs/>
                      <w:color w:val="auto"/>
                    </w:rPr>
                    <w:t>监测因子</w:t>
                  </w:r>
                </w:p>
              </w:tc>
              <w:tc>
                <w:tcPr>
                  <w:tcW w:w="1808" w:type="dxa"/>
                  <w:vAlign w:val="center"/>
                </w:tcPr>
                <w:p w14:paraId="38CAB348">
                  <w:pPr>
                    <w:spacing w:line="0" w:lineRule="atLeast"/>
                    <w:jc w:val="center"/>
                    <w:rPr>
                      <w:b/>
                      <w:bCs/>
                      <w:color w:val="auto"/>
                    </w:rPr>
                  </w:pPr>
                  <w:r>
                    <w:rPr>
                      <w:rFonts w:hint="eastAsia"/>
                      <w:b/>
                      <w:bCs/>
                      <w:color w:val="auto"/>
                    </w:rPr>
                    <w:t>监测频率</w:t>
                  </w:r>
                </w:p>
              </w:tc>
              <w:tc>
                <w:tcPr>
                  <w:tcW w:w="1826" w:type="dxa"/>
                  <w:vAlign w:val="center"/>
                </w:tcPr>
                <w:p w14:paraId="02E15828">
                  <w:pPr>
                    <w:spacing w:line="0" w:lineRule="atLeast"/>
                    <w:jc w:val="center"/>
                    <w:rPr>
                      <w:b/>
                      <w:bCs/>
                      <w:color w:val="auto"/>
                    </w:rPr>
                  </w:pPr>
                  <w:r>
                    <w:rPr>
                      <w:rFonts w:hint="eastAsia"/>
                      <w:b/>
                      <w:bCs/>
                      <w:color w:val="auto"/>
                    </w:rPr>
                    <w:t>备注</w:t>
                  </w:r>
                </w:p>
              </w:tc>
            </w:tr>
            <w:tr w14:paraId="028B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14:paraId="07051C85">
                  <w:pPr>
                    <w:pStyle w:val="3"/>
                    <w:spacing w:line="240" w:lineRule="auto"/>
                    <w:jc w:val="center"/>
                    <w:outlineLvl w:val="2"/>
                    <w:rPr>
                      <w:color w:val="auto"/>
                      <w:sz w:val="21"/>
                    </w:rPr>
                  </w:pPr>
                  <w:r>
                    <w:rPr>
                      <w:rFonts w:hint="eastAsia"/>
                      <w:color w:val="auto"/>
                      <w:sz w:val="21"/>
                    </w:rPr>
                    <w:t>废水</w:t>
                  </w:r>
                </w:p>
              </w:tc>
              <w:tc>
                <w:tcPr>
                  <w:tcW w:w="1235" w:type="dxa"/>
                  <w:vAlign w:val="center"/>
                </w:tcPr>
                <w:p w14:paraId="1183DE2F">
                  <w:pPr>
                    <w:pStyle w:val="3"/>
                    <w:spacing w:line="240" w:lineRule="auto"/>
                    <w:jc w:val="center"/>
                    <w:outlineLvl w:val="2"/>
                    <w:rPr>
                      <w:color w:val="auto"/>
                      <w:sz w:val="21"/>
                    </w:rPr>
                  </w:pPr>
                  <w:r>
                    <w:rPr>
                      <w:color w:val="auto"/>
                      <w:sz w:val="21"/>
                    </w:rPr>
                    <w:t>总排口</w:t>
                  </w:r>
                </w:p>
              </w:tc>
              <w:tc>
                <w:tcPr>
                  <w:tcW w:w="3250" w:type="dxa"/>
                  <w:vAlign w:val="center"/>
                </w:tcPr>
                <w:p w14:paraId="565BEC4E">
                  <w:pPr>
                    <w:pStyle w:val="3"/>
                    <w:spacing w:line="240" w:lineRule="auto"/>
                    <w:jc w:val="center"/>
                    <w:outlineLvl w:val="2"/>
                    <w:rPr>
                      <w:color w:val="auto"/>
                      <w:sz w:val="21"/>
                    </w:rPr>
                  </w:pPr>
                  <w:r>
                    <w:rPr>
                      <w:color w:val="auto"/>
                      <w:sz w:val="21"/>
                    </w:rPr>
                    <w:t>废水量、pH、COD、SS、氨氮、总磷、</w:t>
                  </w:r>
                  <w:r>
                    <w:rPr>
                      <w:rFonts w:hint="eastAsia"/>
                      <w:color w:val="auto"/>
                      <w:sz w:val="21"/>
                    </w:rPr>
                    <w:t>总氮、动植物油</w:t>
                  </w:r>
                </w:p>
              </w:tc>
              <w:tc>
                <w:tcPr>
                  <w:tcW w:w="1808" w:type="dxa"/>
                  <w:vAlign w:val="center"/>
                </w:tcPr>
                <w:p w14:paraId="02F9A173">
                  <w:pPr>
                    <w:pStyle w:val="3"/>
                    <w:spacing w:line="240" w:lineRule="auto"/>
                    <w:jc w:val="center"/>
                    <w:outlineLvl w:val="2"/>
                    <w:rPr>
                      <w:color w:val="auto"/>
                      <w:sz w:val="21"/>
                    </w:rPr>
                  </w:pPr>
                  <w:r>
                    <w:rPr>
                      <w:rFonts w:hint="eastAsia"/>
                      <w:color w:val="auto"/>
                      <w:sz w:val="21"/>
                    </w:rPr>
                    <w:t>1次/年</w:t>
                  </w:r>
                </w:p>
              </w:tc>
              <w:tc>
                <w:tcPr>
                  <w:tcW w:w="1826" w:type="dxa"/>
                  <w:vAlign w:val="center"/>
                </w:tcPr>
                <w:p w14:paraId="41AB674F">
                  <w:pPr>
                    <w:pStyle w:val="3"/>
                    <w:spacing w:line="240" w:lineRule="auto"/>
                    <w:jc w:val="center"/>
                    <w:outlineLvl w:val="2"/>
                    <w:rPr>
                      <w:color w:val="auto"/>
                      <w:sz w:val="21"/>
                    </w:rPr>
                  </w:pPr>
                  <w:r>
                    <w:rPr>
                      <w:rFonts w:hint="eastAsia"/>
                      <w:color w:val="auto"/>
                      <w:sz w:val="21"/>
                    </w:rPr>
                    <w:t>/</w:t>
                  </w:r>
                </w:p>
              </w:tc>
            </w:tr>
          </w:tbl>
          <w:p w14:paraId="01D19222">
            <w:pPr>
              <w:pStyle w:val="3"/>
              <w:ind w:firstLine="480" w:firstLineChars="200"/>
              <w:outlineLvl w:val="2"/>
              <w:rPr>
                <w:color w:val="auto"/>
                <w:sz w:val="24"/>
                <w:szCs w:val="24"/>
              </w:rPr>
            </w:pPr>
            <w:r>
              <w:rPr>
                <w:rFonts w:hint="eastAsia"/>
                <w:color w:val="auto"/>
                <w:sz w:val="24"/>
                <w:szCs w:val="24"/>
              </w:rPr>
              <w:t>2.4环境影响分析</w:t>
            </w:r>
          </w:p>
          <w:p w14:paraId="0EFA985D">
            <w:pPr>
              <w:pStyle w:val="3"/>
              <w:ind w:firstLine="480" w:firstLineChars="200"/>
              <w:outlineLvl w:val="2"/>
              <w:rPr>
                <w:color w:val="auto"/>
                <w:sz w:val="24"/>
                <w:szCs w:val="24"/>
              </w:rPr>
            </w:pPr>
            <w:r>
              <w:rPr>
                <w:rFonts w:hint="eastAsia"/>
                <w:color w:val="auto"/>
                <w:sz w:val="24"/>
                <w:szCs w:val="24"/>
              </w:rPr>
              <w:t>根据《环境影响评价技术导则地表水环境》（</w:t>
            </w:r>
            <w:r>
              <w:rPr>
                <w:color w:val="auto"/>
                <w:sz w:val="24"/>
                <w:szCs w:val="24"/>
              </w:rPr>
              <w:t>HJ2.3-2018</w:t>
            </w:r>
            <w:r>
              <w:rPr>
                <w:rFonts w:hint="eastAsia"/>
                <w:color w:val="auto"/>
                <w:sz w:val="24"/>
                <w:szCs w:val="24"/>
              </w:rPr>
              <w:t>），本项目为水污染影响三级</w:t>
            </w:r>
            <w:r>
              <w:rPr>
                <w:color w:val="auto"/>
                <w:sz w:val="24"/>
                <w:szCs w:val="24"/>
              </w:rPr>
              <w:t>B</w:t>
            </w:r>
            <w:r>
              <w:rPr>
                <w:rFonts w:hint="eastAsia"/>
                <w:color w:val="auto"/>
                <w:sz w:val="24"/>
                <w:szCs w:val="24"/>
              </w:rPr>
              <w:t>等级，接管</w:t>
            </w:r>
            <w:r>
              <w:rPr>
                <w:rFonts w:hint="eastAsia"/>
                <w:color w:val="auto"/>
                <w:sz w:val="24"/>
                <w:lang w:eastAsia="zh-CN"/>
              </w:rPr>
              <w:t>常州市金坛区溪城污水处理有限公司直溪污水处理厂</w:t>
            </w:r>
            <w:r>
              <w:rPr>
                <w:rFonts w:hint="eastAsia"/>
                <w:color w:val="auto"/>
                <w:sz w:val="24"/>
                <w:szCs w:val="24"/>
              </w:rPr>
              <w:t>。对</w:t>
            </w:r>
            <w:r>
              <w:rPr>
                <w:rFonts w:hint="eastAsia"/>
                <w:color w:val="auto"/>
                <w:sz w:val="24"/>
                <w:lang w:eastAsia="zh-CN"/>
              </w:rPr>
              <w:t>常州市金坛区溪城污水处理有限公司直溪污水处理厂</w:t>
            </w:r>
            <w:r>
              <w:rPr>
                <w:rFonts w:hint="eastAsia"/>
                <w:color w:val="auto"/>
                <w:sz w:val="24"/>
                <w:szCs w:val="24"/>
              </w:rPr>
              <w:t>接管可行性进行分析可知，本项目水量、水质等均符合</w:t>
            </w:r>
            <w:r>
              <w:rPr>
                <w:rFonts w:hint="eastAsia"/>
                <w:color w:val="auto"/>
                <w:sz w:val="24"/>
                <w:lang w:eastAsia="zh-CN"/>
              </w:rPr>
              <w:t>常州市金坛区溪城污水处理有限公司直溪污水处理厂</w:t>
            </w:r>
            <w:r>
              <w:rPr>
                <w:rFonts w:hint="eastAsia"/>
                <w:color w:val="auto"/>
                <w:sz w:val="24"/>
                <w:szCs w:val="24"/>
              </w:rPr>
              <w:t>接管要求。</w:t>
            </w:r>
          </w:p>
          <w:p w14:paraId="674C2EDB">
            <w:pPr>
              <w:pStyle w:val="3"/>
              <w:spacing w:line="360" w:lineRule="auto"/>
              <w:ind w:firstLine="480" w:firstLineChars="200"/>
              <w:outlineLvl w:val="2"/>
              <w:rPr>
                <w:color w:val="auto"/>
                <w:sz w:val="24"/>
                <w:szCs w:val="24"/>
              </w:rPr>
            </w:pPr>
            <w:r>
              <w:rPr>
                <w:rFonts w:hint="eastAsia"/>
                <w:color w:val="auto"/>
                <w:sz w:val="24"/>
                <w:szCs w:val="24"/>
              </w:rPr>
              <w:t>三、噪声</w:t>
            </w:r>
          </w:p>
          <w:p w14:paraId="2D18099D">
            <w:pPr>
              <w:pStyle w:val="3"/>
              <w:spacing w:line="360" w:lineRule="auto"/>
              <w:ind w:firstLine="480" w:firstLineChars="200"/>
              <w:outlineLvl w:val="2"/>
              <w:rPr>
                <w:color w:val="auto"/>
                <w:sz w:val="24"/>
                <w:szCs w:val="24"/>
              </w:rPr>
            </w:pPr>
            <w:r>
              <w:rPr>
                <w:rFonts w:hint="eastAsia"/>
                <w:color w:val="auto"/>
                <w:sz w:val="24"/>
                <w:szCs w:val="24"/>
              </w:rPr>
              <w:t>3.1噪声产生及排放情况</w:t>
            </w:r>
          </w:p>
          <w:p w14:paraId="376748D2">
            <w:pPr>
              <w:spacing w:line="276" w:lineRule="auto"/>
              <w:ind w:firstLine="361" w:firstLineChars="200"/>
              <w:rPr>
                <w:b/>
                <w:bCs/>
                <w:color w:val="auto"/>
                <w:kern w:val="0"/>
                <w:sz w:val="18"/>
                <w:szCs w:val="18"/>
              </w:rPr>
            </w:pPr>
          </w:p>
          <w:p w14:paraId="59E927EC">
            <w:pPr>
              <w:spacing w:line="276" w:lineRule="auto"/>
              <w:ind w:firstLine="361" w:firstLineChars="200"/>
              <w:rPr>
                <w:b/>
                <w:bCs/>
                <w:color w:val="auto"/>
                <w:kern w:val="0"/>
                <w:sz w:val="18"/>
                <w:szCs w:val="18"/>
              </w:rPr>
            </w:pPr>
          </w:p>
          <w:p w14:paraId="14F27AEC">
            <w:pPr>
              <w:spacing w:line="276" w:lineRule="auto"/>
              <w:ind w:firstLine="361" w:firstLineChars="200"/>
              <w:rPr>
                <w:b/>
                <w:bCs/>
                <w:color w:val="auto"/>
                <w:kern w:val="0"/>
                <w:sz w:val="18"/>
                <w:szCs w:val="18"/>
              </w:rPr>
            </w:pPr>
          </w:p>
          <w:p w14:paraId="09579F2E">
            <w:pPr>
              <w:spacing w:line="276" w:lineRule="auto"/>
              <w:ind w:firstLine="361" w:firstLineChars="200"/>
              <w:rPr>
                <w:b/>
                <w:bCs/>
                <w:color w:val="auto"/>
                <w:kern w:val="0"/>
                <w:sz w:val="18"/>
                <w:szCs w:val="18"/>
              </w:rPr>
            </w:pPr>
          </w:p>
          <w:p w14:paraId="78FC6D40">
            <w:pPr>
              <w:spacing w:line="276" w:lineRule="auto"/>
              <w:ind w:firstLine="361" w:firstLineChars="200"/>
              <w:rPr>
                <w:b/>
                <w:bCs/>
                <w:color w:val="auto"/>
                <w:kern w:val="0"/>
                <w:sz w:val="18"/>
                <w:szCs w:val="18"/>
              </w:rPr>
            </w:pPr>
          </w:p>
          <w:p w14:paraId="4F51AFDA">
            <w:pPr>
              <w:spacing w:line="276" w:lineRule="auto"/>
              <w:ind w:firstLine="361" w:firstLineChars="200"/>
              <w:rPr>
                <w:b/>
                <w:bCs/>
                <w:color w:val="auto"/>
                <w:kern w:val="0"/>
                <w:sz w:val="18"/>
                <w:szCs w:val="18"/>
              </w:rPr>
            </w:pPr>
          </w:p>
          <w:p w14:paraId="0CA1CCF1">
            <w:pPr>
              <w:spacing w:line="276" w:lineRule="auto"/>
              <w:ind w:firstLine="361" w:firstLineChars="200"/>
              <w:rPr>
                <w:b/>
                <w:bCs/>
                <w:color w:val="auto"/>
                <w:kern w:val="0"/>
                <w:sz w:val="18"/>
                <w:szCs w:val="18"/>
              </w:rPr>
            </w:pPr>
          </w:p>
          <w:p w14:paraId="0E95600C">
            <w:pPr>
              <w:spacing w:line="276" w:lineRule="auto"/>
              <w:ind w:firstLine="361" w:firstLineChars="200"/>
              <w:rPr>
                <w:b/>
                <w:bCs/>
                <w:color w:val="auto"/>
                <w:kern w:val="0"/>
                <w:sz w:val="18"/>
                <w:szCs w:val="18"/>
              </w:rPr>
            </w:pPr>
          </w:p>
          <w:p w14:paraId="6C84C933">
            <w:pPr>
              <w:spacing w:line="276" w:lineRule="auto"/>
              <w:ind w:firstLine="361" w:firstLineChars="200"/>
              <w:rPr>
                <w:b/>
                <w:bCs/>
                <w:color w:val="auto"/>
                <w:kern w:val="0"/>
                <w:sz w:val="18"/>
                <w:szCs w:val="18"/>
              </w:rPr>
            </w:pPr>
          </w:p>
          <w:p w14:paraId="76BB6D8E">
            <w:pPr>
              <w:spacing w:line="276" w:lineRule="auto"/>
              <w:ind w:firstLine="361" w:firstLineChars="200"/>
              <w:rPr>
                <w:b/>
                <w:bCs/>
                <w:color w:val="auto"/>
                <w:kern w:val="0"/>
                <w:sz w:val="18"/>
                <w:szCs w:val="18"/>
              </w:rPr>
            </w:pPr>
          </w:p>
          <w:p w14:paraId="3492D695">
            <w:pPr>
              <w:spacing w:line="276" w:lineRule="auto"/>
              <w:ind w:firstLine="361" w:firstLineChars="200"/>
              <w:rPr>
                <w:b/>
                <w:bCs/>
                <w:color w:val="auto"/>
                <w:kern w:val="0"/>
                <w:sz w:val="18"/>
                <w:szCs w:val="18"/>
              </w:rPr>
            </w:pPr>
          </w:p>
          <w:p w14:paraId="4BAE2AC7">
            <w:pPr>
              <w:spacing w:line="276" w:lineRule="auto"/>
              <w:ind w:firstLine="361" w:firstLineChars="200"/>
              <w:rPr>
                <w:b/>
                <w:bCs/>
                <w:color w:val="auto"/>
                <w:kern w:val="0"/>
                <w:sz w:val="18"/>
                <w:szCs w:val="18"/>
              </w:rPr>
            </w:pPr>
          </w:p>
          <w:p w14:paraId="64B866C2">
            <w:pPr>
              <w:spacing w:line="276" w:lineRule="auto"/>
              <w:ind w:firstLine="361" w:firstLineChars="200"/>
              <w:rPr>
                <w:b/>
                <w:bCs/>
                <w:color w:val="auto"/>
                <w:kern w:val="0"/>
                <w:sz w:val="18"/>
                <w:szCs w:val="18"/>
              </w:rPr>
            </w:pPr>
          </w:p>
          <w:p w14:paraId="32D42F7A">
            <w:pPr>
              <w:spacing w:line="276" w:lineRule="auto"/>
              <w:ind w:firstLine="361" w:firstLineChars="200"/>
              <w:rPr>
                <w:b/>
                <w:bCs/>
                <w:color w:val="auto"/>
                <w:kern w:val="0"/>
                <w:sz w:val="18"/>
                <w:szCs w:val="18"/>
              </w:rPr>
            </w:pPr>
          </w:p>
          <w:p w14:paraId="6D7AD4F3">
            <w:pPr>
              <w:spacing w:line="276" w:lineRule="auto"/>
              <w:ind w:firstLine="361" w:firstLineChars="200"/>
              <w:rPr>
                <w:b/>
                <w:bCs/>
                <w:color w:val="auto"/>
                <w:kern w:val="0"/>
                <w:sz w:val="18"/>
                <w:szCs w:val="18"/>
              </w:rPr>
            </w:pPr>
          </w:p>
          <w:p w14:paraId="6F1419F2">
            <w:pPr>
              <w:spacing w:line="276" w:lineRule="auto"/>
              <w:ind w:firstLine="361" w:firstLineChars="200"/>
              <w:rPr>
                <w:b/>
                <w:bCs/>
                <w:color w:val="auto"/>
                <w:kern w:val="0"/>
                <w:sz w:val="18"/>
                <w:szCs w:val="18"/>
              </w:rPr>
            </w:pPr>
          </w:p>
          <w:p w14:paraId="39529F99">
            <w:pPr>
              <w:spacing w:line="276" w:lineRule="auto"/>
              <w:ind w:firstLine="361" w:firstLineChars="200"/>
              <w:rPr>
                <w:b/>
                <w:bCs/>
                <w:color w:val="auto"/>
                <w:kern w:val="0"/>
                <w:sz w:val="18"/>
                <w:szCs w:val="18"/>
              </w:rPr>
            </w:pPr>
          </w:p>
          <w:p w14:paraId="531FB5C8">
            <w:pPr>
              <w:spacing w:line="276" w:lineRule="auto"/>
              <w:ind w:firstLine="361" w:firstLineChars="200"/>
              <w:rPr>
                <w:b/>
                <w:bCs/>
                <w:color w:val="auto"/>
                <w:kern w:val="0"/>
                <w:sz w:val="18"/>
                <w:szCs w:val="18"/>
              </w:rPr>
            </w:pPr>
          </w:p>
          <w:p w14:paraId="1B328BBC">
            <w:pPr>
              <w:spacing w:line="276" w:lineRule="auto"/>
              <w:ind w:firstLine="361" w:firstLineChars="200"/>
              <w:rPr>
                <w:b/>
                <w:bCs/>
                <w:color w:val="auto"/>
                <w:kern w:val="0"/>
                <w:sz w:val="18"/>
                <w:szCs w:val="18"/>
              </w:rPr>
            </w:pPr>
          </w:p>
          <w:p w14:paraId="398E8FFB">
            <w:pPr>
              <w:spacing w:line="276" w:lineRule="auto"/>
              <w:ind w:firstLine="361" w:firstLineChars="200"/>
              <w:rPr>
                <w:b/>
                <w:bCs/>
                <w:color w:val="auto"/>
                <w:kern w:val="0"/>
                <w:sz w:val="18"/>
                <w:szCs w:val="18"/>
              </w:rPr>
            </w:pPr>
          </w:p>
          <w:p w14:paraId="7CBBE795">
            <w:pPr>
              <w:spacing w:line="276" w:lineRule="auto"/>
              <w:ind w:firstLine="361" w:firstLineChars="200"/>
              <w:rPr>
                <w:b/>
                <w:bCs/>
                <w:color w:val="auto"/>
                <w:kern w:val="0"/>
                <w:sz w:val="18"/>
                <w:szCs w:val="18"/>
              </w:rPr>
            </w:pPr>
          </w:p>
          <w:p w14:paraId="6F500A19">
            <w:pPr>
              <w:spacing w:line="276" w:lineRule="auto"/>
              <w:ind w:firstLine="361" w:firstLineChars="200"/>
              <w:rPr>
                <w:b/>
                <w:bCs/>
                <w:color w:val="auto"/>
                <w:kern w:val="0"/>
                <w:sz w:val="18"/>
                <w:szCs w:val="18"/>
              </w:rPr>
            </w:pPr>
          </w:p>
          <w:p w14:paraId="3943D026">
            <w:pPr>
              <w:spacing w:line="276" w:lineRule="auto"/>
              <w:ind w:firstLine="361" w:firstLineChars="200"/>
              <w:rPr>
                <w:b/>
                <w:bCs/>
                <w:color w:val="auto"/>
                <w:kern w:val="0"/>
                <w:sz w:val="18"/>
                <w:szCs w:val="18"/>
              </w:rPr>
            </w:pPr>
          </w:p>
          <w:p w14:paraId="0EC7835A">
            <w:pPr>
              <w:spacing w:line="276" w:lineRule="auto"/>
              <w:ind w:firstLine="361" w:firstLineChars="200"/>
              <w:rPr>
                <w:b/>
                <w:bCs/>
                <w:color w:val="auto"/>
                <w:kern w:val="0"/>
                <w:sz w:val="18"/>
                <w:szCs w:val="18"/>
              </w:rPr>
            </w:pPr>
          </w:p>
          <w:p w14:paraId="77C9BFC4">
            <w:pPr>
              <w:spacing w:line="276" w:lineRule="auto"/>
              <w:ind w:firstLine="361" w:firstLineChars="200"/>
              <w:rPr>
                <w:b/>
                <w:bCs/>
                <w:color w:val="auto"/>
                <w:kern w:val="0"/>
                <w:sz w:val="18"/>
                <w:szCs w:val="18"/>
              </w:rPr>
            </w:pPr>
          </w:p>
          <w:p w14:paraId="399A6A46">
            <w:pPr>
              <w:spacing w:line="276" w:lineRule="auto"/>
              <w:ind w:firstLine="361" w:firstLineChars="200"/>
              <w:rPr>
                <w:b/>
                <w:bCs/>
                <w:color w:val="auto"/>
                <w:kern w:val="0"/>
                <w:sz w:val="18"/>
                <w:szCs w:val="18"/>
              </w:rPr>
            </w:pPr>
          </w:p>
          <w:p w14:paraId="3BD154B3">
            <w:pPr>
              <w:spacing w:line="276" w:lineRule="auto"/>
              <w:ind w:firstLine="361" w:firstLineChars="200"/>
              <w:rPr>
                <w:b/>
                <w:bCs/>
                <w:color w:val="auto"/>
                <w:kern w:val="0"/>
                <w:sz w:val="18"/>
                <w:szCs w:val="18"/>
              </w:rPr>
            </w:pPr>
          </w:p>
          <w:p w14:paraId="3BB1BC50">
            <w:pPr>
              <w:spacing w:line="276" w:lineRule="auto"/>
              <w:ind w:firstLine="361" w:firstLineChars="200"/>
              <w:rPr>
                <w:b/>
                <w:bCs/>
                <w:color w:val="auto"/>
                <w:kern w:val="0"/>
                <w:sz w:val="18"/>
                <w:szCs w:val="18"/>
              </w:rPr>
            </w:pPr>
          </w:p>
          <w:p w14:paraId="0231D968">
            <w:pPr>
              <w:spacing w:line="276" w:lineRule="auto"/>
              <w:ind w:firstLine="361" w:firstLineChars="200"/>
              <w:rPr>
                <w:b/>
                <w:bCs/>
                <w:color w:val="auto"/>
                <w:kern w:val="0"/>
                <w:sz w:val="18"/>
                <w:szCs w:val="18"/>
              </w:rPr>
            </w:pPr>
          </w:p>
          <w:p w14:paraId="195BA825">
            <w:pPr>
              <w:spacing w:line="276" w:lineRule="auto"/>
              <w:ind w:firstLine="361" w:firstLineChars="200"/>
              <w:rPr>
                <w:b/>
                <w:bCs/>
                <w:color w:val="auto"/>
                <w:kern w:val="0"/>
                <w:sz w:val="18"/>
                <w:szCs w:val="18"/>
              </w:rPr>
            </w:pPr>
          </w:p>
          <w:p w14:paraId="305E48B1">
            <w:pPr>
              <w:spacing w:line="276" w:lineRule="auto"/>
              <w:ind w:firstLine="361" w:firstLineChars="200"/>
              <w:rPr>
                <w:b/>
                <w:bCs/>
                <w:color w:val="auto"/>
                <w:kern w:val="0"/>
                <w:sz w:val="18"/>
                <w:szCs w:val="18"/>
              </w:rPr>
            </w:pPr>
          </w:p>
          <w:p w14:paraId="14295D0B">
            <w:pPr>
              <w:spacing w:line="276" w:lineRule="auto"/>
              <w:ind w:firstLine="361" w:firstLineChars="200"/>
              <w:rPr>
                <w:b/>
                <w:bCs/>
                <w:color w:val="auto"/>
                <w:kern w:val="0"/>
                <w:sz w:val="18"/>
                <w:szCs w:val="18"/>
              </w:rPr>
            </w:pPr>
          </w:p>
          <w:p w14:paraId="086D735E">
            <w:pPr>
              <w:spacing w:line="276" w:lineRule="auto"/>
              <w:ind w:firstLine="361" w:firstLineChars="200"/>
              <w:rPr>
                <w:b/>
                <w:bCs/>
                <w:color w:val="auto"/>
                <w:kern w:val="0"/>
                <w:sz w:val="18"/>
                <w:szCs w:val="18"/>
              </w:rPr>
            </w:pPr>
          </w:p>
          <w:p w14:paraId="68883F09">
            <w:pPr>
              <w:spacing w:line="276" w:lineRule="auto"/>
              <w:ind w:firstLine="361" w:firstLineChars="200"/>
              <w:rPr>
                <w:b/>
                <w:bCs/>
                <w:color w:val="auto"/>
                <w:kern w:val="0"/>
                <w:sz w:val="18"/>
                <w:szCs w:val="18"/>
              </w:rPr>
            </w:pPr>
          </w:p>
          <w:p w14:paraId="0E35AE60">
            <w:pPr>
              <w:spacing w:line="276" w:lineRule="auto"/>
              <w:ind w:firstLine="361" w:firstLineChars="200"/>
              <w:rPr>
                <w:b/>
                <w:bCs/>
                <w:color w:val="auto"/>
                <w:kern w:val="0"/>
                <w:sz w:val="18"/>
                <w:szCs w:val="18"/>
              </w:rPr>
            </w:pPr>
          </w:p>
          <w:p w14:paraId="050DEAA6">
            <w:pPr>
              <w:spacing w:line="276" w:lineRule="auto"/>
              <w:ind w:firstLine="361" w:firstLineChars="200"/>
              <w:rPr>
                <w:b/>
                <w:bCs/>
                <w:color w:val="auto"/>
                <w:kern w:val="0"/>
                <w:sz w:val="18"/>
                <w:szCs w:val="18"/>
              </w:rPr>
            </w:pPr>
          </w:p>
          <w:p w14:paraId="322B733E">
            <w:pPr>
              <w:spacing w:line="276" w:lineRule="auto"/>
              <w:ind w:firstLine="361" w:firstLineChars="200"/>
              <w:rPr>
                <w:b/>
                <w:bCs/>
                <w:color w:val="auto"/>
                <w:kern w:val="0"/>
                <w:sz w:val="18"/>
                <w:szCs w:val="18"/>
              </w:rPr>
            </w:pPr>
          </w:p>
          <w:p w14:paraId="584F7629">
            <w:pPr>
              <w:spacing w:line="276" w:lineRule="auto"/>
              <w:ind w:firstLine="361" w:firstLineChars="200"/>
              <w:rPr>
                <w:b/>
                <w:bCs/>
                <w:color w:val="auto"/>
                <w:kern w:val="0"/>
                <w:sz w:val="18"/>
                <w:szCs w:val="18"/>
              </w:rPr>
            </w:pPr>
          </w:p>
          <w:p w14:paraId="3EEC41F4">
            <w:pPr>
              <w:rPr>
                <w:color w:val="auto"/>
              </w:rPr>
            </w:pPr>
          </w:p>
        </w:tc>
      </w:tr>
    </w:tbl>
    <w:p w14:paraId="50D82018">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3607"/>
      </w:tblGrid>
      <w:tr w14:paraId="28BD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5BE6B2D">
            <w:pPr>
              <w:pStyle w:val="8"/>
              <w:rPr>
                <w:color w:val="auto"/>
              </w:rPr>
            </w:pPr>
          </w:p>
        </w:tc>
        <w:tc>
          <w:tcPr>
            <w:tcW w:w="13607" w:type="dxa"/>
          </w:tcPr>
          <w:p w14:paraId="721FBF66">
            <w:pPr>
              <w:ind w:firstLine="480" w:firstLineChars="200"/>
              <w:rPr>
                <w:color w:val="auto"/>
              </w:rPr>
            </w:pPr>
            <w:r>
              <w:rPr>
                <w:rFonts w:hint="eastAsia"/>
                <w:color w:val="auto"/>
                <w:sz w:val="24"/>
                <w:szCs w:val="24"/>
              </w:rPr>
              <w:t>本项目噪声源情况如表4-19、4-20所示</w:t>
            </w:r>
            <w:r>
              <w:rPr>
                <w:rFonts w:hint="eastAsia"/>
                <w:color w:val="auto"/>
              </w:rPr>
              <w:t>。</w:t>
            </w:r>
          </w:p>
          <w:p w14:paraId="6866C006">
            <w:pPr>
              <w:spacing w:line="276" w:lineRule="auto"/>
              <w:jc w:val="center"/>
              <w:rPr>
                <w:b/>
                <w:color w:val="auto"/>
                <w:kern w:val="0"/>
                <w:sz w:val="24"/>
                <w:szCs w:val="24"/>
              </w:rPr>
            </w:pPr>
            <w:r>
              <w:rPr>
                <w:b/>
                <w:color w:val="auto"/>
                <w:sz w:val="24"/>
                <w:szCs w:val="24"/>
              </w:rPr>
              <w:t>表</w:t>
            </w:r>
            <w:r>
              <w:rPr>
                <w:rFonts w:hint="eastAsia"/>
                <w:b/>
                <w:color w:val="auto"/>
                <w:sz w:val="24"/>
                <w:szCs w:val="24"/>
              </w:rPr>
              <w:t>4</w:t>
            </w:r>
            <w:r>
              <w:rPr>
                <w:b/>
                <w:color w:val="auto"/>
                <w:sz w:val="24"/>
                <w:szCs w:val="24"/>
              </w:rPr>
              <w:t>-</w:t>
            </w:r>
            <w:r>
              <w:rPr>
                <w:rFonts w:hint="eastAsia"/>
                <w:b/>
                <w:color w:val="auto"/>
                <w:sz w:val="24"/>
                <w:szCs w:val="24"/>
              </w:rPr>
              <w:t>19  工业企业噪声源强调查清单（室内噪声）</w:t>
            </w:r>
            <w:r>
              <w:rPr>
                <w:b/>
                <w:color w:val="auto"/>
                <w:sz w:val="24"/>
                <w:szCs w:val="24"/>
              </w:rPr>
              <w:t>单位：</w:t>
            </w:r>
            <w:r>
              <w:rPr>
                <w:b/>
                <w:color w:val="auto"/>
                <w:kern w:val="0"/>
                <w:sz w:val="24"/>
                <w:szCs w:val="24"/>
              </w:rPr>
              <w:t>dB（A）</w:t>
            </w:r>
          </w:p>
          <w:tbl>
            <w:tblPr>
              <w:tblStyle w:val="22"/>
              <w:tblW w:w="13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38"/>
              <w:gridCol w:w="781"/>
              <w:gridCol w:w="8"/>
              <w:gridCol w:w="774"/>
              <w:gridCol w:w="823"/>
              <w:gridCol w:w="636"/>
              <w:gridCol w:w="426"/>
              <w:gridCol w:w="531"/>
              <w:gridCol w:w="479"/>
              <w:gridCol w:w="427"/>
              <w:gridCol w:w="505"/>
              <w:gridCol w:w="427"/>
              <w:gridCol w:w="429"/>
              <w:gridCol w:w="428"/>
              <w:gridCol w:w="427"/>
              <w:gridCol w:w="432"/>
              <w:gridCol w:w="427"/>
              <w:gridCol w:w="708"/>
              <w:gridCol w:w="427"/>
              <w:gridCol w:w="427"/>
              <w:gridCol w:w="427"/>
              <w:gridCol w:w="427"/>
              <w:gridCol w:w="427"/>
              <w:gridCol w:w="427"/>
              <w:gridCol w:w="427"/>
              <w:gridCol w:w="427"/>
              <w:gridCol w:w="427"/>
            </w:tblGrid>
            <w:tr w14:paraId="4BB8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restart"/>
                  <w:tcBorders>
                    <w:tl2br w:val="nil"/>
                    <w:tr2bl w:val="nil"/>
                  </w:tcBorders>
                  <w:noWrap w:val="0"/>
                  <w:vAlign w:val="center"/>
                </w:tcPr>
                <w:p w14:paraId="2CED87CD">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38" w:type="dxa"/>
                  <w:vMerge w:val="restart"/>
                  <w:tcBorders>
                    <w:tl2br w:val="nil"/>
                    <w:tr2bl w:val="nil"/>
                  </w:tcBorders>
                  <w:noWrap w:val="0"/>
                  <w:vAlign w:val="center"/>
                </w:tcPr>
                <w:p w14:paraId="4C0968D3">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建筑物名称</w:t>
                  </w:r>
                </w:p>
              </w:tc>
              <w:tc>
                <w:tcPr>
                  <w:tcW w:w="1563" w:type="dxa"/>
                  <w:gridSpan w:val="3"/>
                  <w:tcBorders>
                    <w:tl2br w:val="nil"/>
                    <w:tr2bl w:val="nil"/>
                  </w:tcBorders>
                  <w:noWrap w:val="0"/>
                  <w:vAlign w:val="center"/>
                </w:tcPr>
                <w:p w14:paraId="54602157">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声源名称</w:t>
                  </w:r>
                </w:p>
              </w:tc>
              <w:tc>
                <w:tcPr>
                  <w:tcW w:w="823" w:type="dxa"/>
                  <w:tcBorders>
                    <w:tl2br w:val="nil"/>
                    <w:tr2bl w:val="nil"/>
                  </w:tcBorders>
                  <w:noWrap w:val="0"/>
                  <w:vAlign w:val="center"/>
                </w:tcPr>
                <w:p w14:paraId="3212E382">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声源源强</w:t>
                  </w:r>
                </w:p>
              </w:tc>
              <w:tc>
                <w:tcPr>
                  <w:tcW w:w="636" w:type="dxa"/>
                  <w:vMerge w:val="restart"/>
                  <w:tcBorders>
                    <w:tl2br w:val="nil"/>
                    <w:tr2bl w:val="nil"/>
                  </w:tcBorders>
                  <w:noWrap w:val="0"/>
                  <w:vAlign w:val="center"/>
                </w:tcPr>
                <w:p w14:paraId="10390E4E">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声源控制措施</w:t>
                  </w:r>
                </w:p>
              </w:tc>
              <w:tc>
                <w:tcPr>
                  <w:tcW w:w="1436" w:type="dxa"/>
                  <w:gridSpan w:val="3"/>
                  <w:tcBorders>
                    <w:tl2br w:val="nil"/>
                    <w:tr2bl w:val="nil"/>
                  </w:tcBorders>
                  <w:noWrap w:val="0"/>
                  <w:vAlign w:val="center"/>
                </w:tcPr>
                <w:p w14:paraId="11643DFA">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空间相对位置</w:t>
                  </w:r>
                </w:p>
              </w:tc>
              <w:tc>
                <w:tcPr>
                  <w:tcW w:w="1788" w:type="dxa"/>
                  <w:gridSpan w:val="4"/>
                  <w:tcBorders>
                    <w:tl2br w:val="nil"/>
                    <w:tr2bl w:val="nil"/>
                  </w:tcBorders>
                  <w:noWrap w:val="0"/>
                  <w:vAlign w:val="center"/>
                </w:tcPr>
                <w:p w14:paraId="46344B0A">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距室内边界距离</w:t>
                  </w:r>
                  <w:r>
                    <w:rPr>
                      <w:rFonts w:hint="default" w:ascii="Times New Roman" w:hAnsi="Times New Roman" w:eastAsia="宋体" w:cs="Times New Roman"/>
                      <w:b/>
                      <w:bCs/>
                      <w:color w:val="auto"/>
                      <w:sz w:val="21"/>
                      <w:szCs w:val="21"/>
                      <w:lang w:val="en-US" w:eastAsia="zh-CN"/>
                    </w:rPr>
                    <w:t>/m</w:t>
                  </w:r>
                </w:p>
              </w:tc>
              <w:tc>
                <w:tcPr>
                  <w:tcW w:w="1714" w:type="dxa"/>
                  <w:gridSpan w:val="4"/>
                  <w:tcBorders>
                    <w:tl2br w:val="nil"/>
                    <w:tr2bl w:val="nil"/>
                  </w:tcBorders>
                  <w:noWrap w:val="0"/>
                  <w:vAlign w:val="center"/>
                </w:tcPr>
                <w:p w14:paraId="4D6C31A0">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室内边界声级/dB(A)</w:t>
                  </w:r>
                </w:p>
              </w:tc>
              <w:tc>
                <w:tcPr>
                  <w:tcW w:w="708" w:type="dxa"/>
                  <w:vMerge w:val="restart"/>
                  <w:tcBorders>
                    <w:tl2br w:val="nil"/>
                    <w:tr2bl w:val="nil"/>
                  </w:tcBorders>
                  <w:noWrap w:val="0"/>
                  <w:vAlign w:val="center"/>
                </w:tcPr>
                <w:p w14:paraId="561AE2EC">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运行时段</w:t>
                  </w:r>
                </w:p>
              </w:tc>
              <w:tc>
                <w:tcPr>
                  <w:tcW w:w="1708" w:type="dxa"/>
                  <w:gridSpan w:val="4"/>
                  <w:tcBorders>
                    <w:tl2br w:val="nil"/>
                    <w:tr2bl w:val="nil"/>
                  </w:tcBorders>
                  <w:noWrap w:val="0"/>
                  <w:vAlign w:val="center"/>
                </w:tcPr>
                <w:p w14:paraId="650E6CD2">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建筑物插入损失/dB(A)</w:t>
                  </w:r>
                </w:p>
              </w:tc>
              <w:tc>
                <w:tcPr>
                  <w:tcW w:w="2135" w:type="dxa"/>
                  <w:gridSpan w:val="5"/>
                  <w:tcBorders>
                    <w:tl2br w:val="nil"/>
                    <w:tr2bl w:val="nil"/>
                  </w:tcBorders>
                  <w:noWrap w:val="0"/>
                  <w:vAlign w:val="center"/>
                </w:tcPr>
                <w:p w14:paraId="43F61278">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建筑外噪声</w:t>
                  </w:r>
                </w:p>
              </w:tc>
            </w:tr>
            <w:tr w14:paraId="2BE3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Merge w:val="continue"/>
                  <w:tcBorders>
                    <w:tl2br w:val="nil"/>
                    <w:tr2bl w:val="nil"/>
                  </w:tcBorders>
                  <w:noWrap w:val="0"/>
                  <w:vAlign w:val="center"/>
                </w:tcPr>
                <w:p w14:paraId="560445B2">
                  <w:pPr>
                    <w:spacing w:line="0" w:lineRule="atLeast"/>
                    <w:jc w:val="center"/>
                    <w:rPr>
                      <w:rFonts w:hint="default" w:ascii="Times New Roman" w:hAnsi="Times New Roman" w:eastAsia="宋体" w:cs="Times New Roman"/>
                      <w:b/>
                      <w:bCs/>
                      <w:color w:val="auto"/>
                      <w:sz w:val="21"/>
                      <w:szCs w:val="21"/>
                    </w:rPr>
                  </w:pPr>
                </w:p>
              </w:tc>
              <w:tc>
                <w:tcPr>
                  <w:tcW w:w="438" w:type="dxa"/>
                  <w:vMerge w:val="continue"/>
                  <w:tcBorders>
                    <w:tl2br w:val="nil"/>
                    <w:tr2bl w:val="nil"/>
                  </w:tcBorders>
                  <w:noWrap w:val="0"/>
                  <w:vAlign w:val="center"/>
                </w:tcPr>
                <w:p w14:paraId="5228637E">
                  <w:pPr>
                    <w:spacing w:line="0" w:lineRule="atLeast"/>
                    <w:jc w:val="center"/>
                    <w:rPr>
                      <w:rFonts w:hint="default" w:ascii="Times New Roman" w:hAnsi="Times New Roman" w:eastAsia="宋体" w:cs="Times New Roman"/>
                      <w:b/>
                      <w:bCs/>
                      <w:color w:val="auto"/>
                      <w:sz w:val="21"/>
                      <w:szCs w:val="21"/>
                    </w:rPr>
                  </w:pPr>
                </w:p>
              </w:tc>
              <w:tc>
                <w:tcPr>
                  <w:tcW w:w="781" w:type="dxa"/>
                  <w:vMerge w:val="restart"/>
                  <w:tcBorders>
                    <w:tl2br w:val="nil"/>
                    <w:tr2bl w:val="nil"/>
                  </w:tcBorders>
                  <w:noWrap w:val="0"/>
                  <w:vAlign w:val="center"/>
                </w:tcPr>
                <w:p w14:paraId="4671AD9B">
                  <w:pPr>
                    <w:spacing w:line="0" w:lineRule="atLeast"/>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名称</w:t>
                  </w:r>
                </w:p>
              </w:tc>
              <w:tc>
                <w:tcPr>
                  <w:tcW w:w="782" w:type="dxa"/>
                  <w:gridSpan w:val="2"/>
                  <w:vMerge w:val="restart"/>
                  <w:tcBorders>
                    <w:tl2br w:val="nil"/>
                    <w:tr2bl w:val="nil"/>
                  </w:tcBorders>
                  <w:noWrap w:val="0"/>
                  <w:vAlign w:val="center"/>
                </w:tcPr>
                <w:p w14:paraId="23B16971">
                  <w:pPr>
                    <w:spacing w:line="0" w:lineRule="atLeast"/>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数量</w:t>
                  </w:r>
                </w:p>
              </w:tc>
              <w:tc>
                <w:tcPr>
                  <w:tcW w:w="823" w:type="dxa"/>
                  <w:vMerge w:val="restart"/>
                  <w:tcBorders>
                    <w:tl2br w:val="nil"/>
                    <w:tr2bl w:val="nil"/>
                  </w:tcBorders>
                  <w:noWrap w:val="0"/>
                  <w:vAlign w:val="center"/>
                </w:tcPr>
                <w:p w14:paraId="67F9C843">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声功率级/dB(A)</w:t>
                  </w:r>
                </w:p>
              </w:tc>
              <w:tc>
                <w:tcPr>
                  <w:tcW w:w="636" w:type="dxa"/>
                  <w:vMerge w:val="continue"/>
                  <w:tcBorders>
                    <w:tl2br w:val="nil"/>
                    <w:tr2bl w:val="nil"/>
                  </w:tcBorders>
                  <w:noWrap w:val="0"/>
                  <w:vAlign w:val="center"/>
                </w:tcPr>
                <w:p w14:paraId="214B2295">
                  <w:pPr>
                    <w:spacing w:line="0" w:lineRule="atLeast"/>
                    <w:jc w:val="center"/>
                    <w:rPr>
                      <w:rFonts w:hint="default" w:ascii="Times New Roman" w:hAnsi="Times New Roman" w:eastAsia="宋体" w:cs="Times New Roman"/>
                      <w:color w:val="auto"/>
                      <w:sz w:val="21"/>
                      <w:szCs w:val="21"/>
                    </w:rPr>
                  </w:pPr>
                </w:p>
              </w:tc>
              <w:tc>
                <w:tcPr>
                  <w:tcW w:w="426" w:type="dxa"/>
                  <w:vMerge w:val="restart"/>
                  <w:tcBorders>
                    <w:tl2br w:val="nil"/>
                    <w:tr2bl w:val="nil"/>
                  </w:tcBorders>
                  <w:noWrap w:val="0"/>
                  <w:vAlign w:val="center"/>
                </w:tcPr>
                <w:p w14:paraId="2DDD8646">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531" w:type="dxa"/>
                  <w:vMerge w:val="restart"/>
                  <w:tcBorders>
                    <w:tl2br w:val="nil"/>
                    <w:tr2bl w:val="nil"/>
                  </w:tcBorders>
                  <w:noWrap w:val="0"/>
                  <w:vAlign w:val="center"/>
                </w:tcPr>
                <w:p w14:paraId="1DA160D5">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479" w:type="dxa"/>
                  <w:vMerge w:val="restart"/>
                  <w:tcBorders>
                    <w:tl2br w:val="nil"/>
                    <w:tr2bl w:val="nil"/>
                  </w:tcBorders>
                  <w:noWrap w:val="0"/>
                  <w:vAlign w:val="center"/>
                </w:tcPr>
                <w:p w14:paraId="73407502">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Z</w:t>
                  </w:r>
                </w:p>
              </w:tc>
              <w:tc>
                <w:tcPr>
                  <w:tcW w:w="427" w:type="dxa"/>
                  <w:vMerge w:val="restart"/>
                  <w:tcBorders>
                    <w:tl2br w:val="nil"/>
                    <w:tr2bl w:val="nil"/>
                  </w:tcBorders>
                  <w:noWrap w:val="0"/>
                  <w:vAlign w:val="center"/>
                </w:tcPr>
                <w:p w14:paraId="1CA1317D">
                  <w:pPr>
                    <w:spacing w:line="0" w:lineRule="atLeas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东</w:t>
                  </w:r>
                </w:p>
              </w:tc>
              <w:tc>
                <w:tcPr>
                  <w:tcW w:w="505" w:type="dxa"/>
                  <w:vMerge w:val="restart"/>
                  <w:tcBorders>
                    <w:tl2br w:val="nil"/>
                    <w:tr2bl w:val="nil"/>
                  </w:tcBorders>
                  <w:noWrap w:val="0"/>
                  <w:vAlign w:val="center"/>
                </w:tcPr>
                <w:p w14:paraId="74F5D60A">
                  <w:pPr>
                    <w:spacing w:line="0" w:lineRule="atLeas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南</w:t>
                  </w:r>
                </w:p>
              </w:tc>
              <w:tc>
                <w:tcPr>
                  <w:tcW w:w="427" w:type="dxa"/>
                  <w:vMerge w:val="restart"/>
                  <w:tcBorders>
                    <w:tl2br w:val="nil"/>
                    <w:tr2bl w:val="nil"/>
                  </w:tcBorders>
                  <w:noWrap w:val="0"/>
                  <w:vAlign w:val="center"/>
                </w:tcPr>
                <w:p w14:paraId="571AAD32">
                  <w:pPr>
                    <w:spacing w:line="0" w:lineRule="atLeas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西</w:t>
                  </w:r>
                </w:p>
              </w:tc>
              <w:tc>
                <w:tcPr>
                  <w:tcW w:w="429" w:type="dxa"/>
                  <w:vMerge w:val="restart"/>
                  <w:tcBorders>
                    <w:tl2br w:val="nil"/>
                    <w:tr2bl w:val="nil"/>
                  </w:tcBorders>
                  <w:noWrap w:val="0"/>
                  <w:vAlign w:val="center"/>
                </w:tcPr>
                <w:p w14:paraId="7EE10B2C">
                  <w:pPr>
                    <w:spacing w:line="0" w:lineRule="atLeas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北</w:t>
                  </w:r>
                </w:p>
              </w:tc>
              <w:tc>
                <w:tcPr>
                  <w:tcW w:w="428" w:type="dxa"/>
                  <w:vMerge w:val="restart"/>
                  <w:tcBorders>
                    <w:tl2br w:val="nil"/>
                    <w:tr2bl w:val="nil"/>
                  </w:tcBorders>
                  <w:noWrap w:val="0"/>
                  <w:vAlign w:val="center"/>
                </w:tcPr>
                <w:p w14:paraId="58016520">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东</w:t>
                  </w:r>
                </w:p>
              </w:tc>
              <w:tc>
                <w:tcPr>
                  <w:tcW w:w="427" w:type="dxa"/>
                  <w:vMerge w:val="restart"/>
                  <w:tcBorders>
                    <w:tl2br w:val="nil"/>
                    <w:tr2bl w:val="nil"/>
                  </w:tcBorders>
                  <w:noWrap w:val="0"/>
                  <w:vAlign w:val="center"/>
                </w:tcPr>
                <w:p w14:paraId="0B9E2DDF">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南</w:t>
                  </w:r>
                </w:p>
              </w:tc>
              <w:tc>
                <w:tcPr>
                  <w:tcW w:w="432" w:type="dxa"/>
                  <w:vMerge w:val="restart"/>
                  <w:tcBorders>
                    <w:tl2br w:val="nil"/>
                    <w:tr2bl w:val="nil"/>
                  </w:tcBorders>
                  <w:noWrap w:val="0"/>
                  <w:vAlign w:val="center"/>
                </w:tcPr>
                <w:p w14:paraId="6D322AEF">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西</w:t>
                  </w:r>
                </w:p>
              </w:tc>
              <w:tc>
                <w:tcPr>
                  <w:tcW w:w="427" w:type="dxa"/>
                  <w:vMerge w:val="restart"/>
                  <w:tcBorders>
                    <w:tl2br w:val="nil"/>
                    <w:tr2bl w:val="nil"/>
                  </w:tcBorders>
                  <w:noWrap w:val="0"/>
                  <w:vAlign w:val="center"/>
                </w:tcPr>
                <w:p w14:paraId="55FB2A5F">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北</w:t>
                  </w:r>
                </w:p>
              </w:tc>
              <w:tc>
                <w:tcPr>
                  <w:tcW w:w="708" w:type="dxa"/>
                  <w:vMerge w:val="continue"/>
                  <w:tcBorders>
                    <w:tl2br w:val="nil"/>
                    <w:tr2bl w:val="nil"/>
                  </w:tcBorders>
                  <w:noWrap w:val="0"/>
                  <w:vAlign w:val="center"/>
                </w:tcPr>
                <w:p w14:paraId="547E8E6A">
                  <w:pPr>
                    <w:spacing w:line="0" w:lineRule="atLeast"/>
                    <w:jc w:val="center"/>
                    <w:rPr>
                      <w:rFonts w:hint="default" w:ascii="Times New Roman" w:hAnsi="Times New Roman" w:eastAsia="宋体" w:cs="Times New Roman"/>
                      <w:b/>
                      <w:color w:val="auto"/>
                      <w:kern w:val="0"/>
                      <w:sz w:val="21"/>
                      <w:szCs w:val="21"/>
                    </w:rPr>
                  </w:pPr>
                </w:p>
              </w:tc>
              <w:tc>
                <w:tcPr>
                  <w:tcW w:w="427" w:type="dxa"/>
                  <w:vMerge w:val="restart"/>
                  <w:tcBorders>
                    <w:tl2br w:val="nil"/>
                    <w:tr2bl w:val="nil"/>
                  </w:tcBorders>
                  <w:noWrap w:val="0"/>
                  <w:vAlign w:val="center"/>
                </w:tcPr>
                <w:p w14:paraId="13750F3F">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东</w:t>
                  </w:r>
                </w:p>
              </w:tc>
              <w:tc>
                <w:tcPr>
                  <w:tcW w:w="427" w:type="dxa"/>
                  <w:vMerge w:val="restart"/>
                  <w:tcBorders>
                    <w:tl2br w:val="nil"/>
                    <w:tr2bl w:val="nil"/>
                  </w:tcBorders>
                  <w:noWrap w:val="0"/>
                  <w:vAlign w:val="center"/>
                </w:tcPr>
                <w:p w14:paraId="4FA96FC3">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南</w:t>
                  </w:r>
                </w:p>
              </w:tc>
              <w:tc>
                <w:tcPr>
                  <w:tcW w:w="427" w:type="dxa"/>
                  <w:vMerge w:val="restart"/>
                  <w:tcBorders>
                    <w:tl2br w:val="nil"/>
                    <w:tr2bl w:val="nil"/>
                  </w:tcBorders>
                  <w:noWrap w:val="0"/>
                  <w:vAlign w:val="center"/>
                </w:tcPr>
                <w:p w14:paraId="1C5F1390">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西</w:t>
                  </w:r>
                </w:p>
              </w:tc>
              <w:tc>
                <w:tcPr>
                  <w:tcW w:w="427" w:type="dxa"/>
                  <w:vMerge w:val="restart"/>
                  <w:tcBorders>
                    <w:tl2br w:val="nil"/>
                    <w:tr2bl w:val="nil"/>
                  </w:tcBorders>
                  <w:noWrap w:val="0"/>
                  <w:vAlign w:val="center"/>
                </w:tcPr>
                <w:p w14:paraId="1BBB40A3">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北</w:t>
                  </w:r>
                </w:p>
              </w:tc>
              <w:tc>
                <w:tcPr>
                  <w:tcW w:w="1708" w:type="dxa"/>
                  <w:gridSpan w:val="4"/>
                  <w:tcBorders>
                    <w:tl2br w:val="nil"/>
                    <w:tr2bl w:val="nil"/>
                  </w:tcBorders>
                  <w:noWrap w:val="0"/>
                  <w:vAlign w:val="center"/>
                </w:tcPr>
                <w:p w14:paraId="0CFBE8A0">
                  <w:pPr>
                    <w:spacing w:line="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w:t>
                  </w:r>
                  <w:r>
                    <w:rPr>
                      <w:rFonts w:hint="default" w:ascii="Times New Roman" w:hAnsi="Times New Roman" w:eastAsia="宋体" w:cs="Times New Roman"/>
                      <w:b/>
                      <w:bCs/>
                      <w:color w:val="auto"/>
                      <w:sz w:val="21"/>
                      <w:szCs w:val="21"/>
                      <w:highlight w:val="none"/>
                    </w:rPr>
                    <w:t>压</w:t>
                  </w:r>
                  <w:r>
                    <w:rPr>
                      <w:rFonts w:hint="default" w:ascii="Times New Roman" w:hAnsi="Times New Roman" w:eastAsia="宋体" w:cs="Times New Roman"/>
                      <w:b/>
                      <w:bCs/>
                      <w:color w:val="auto"/>
                      <w:sz w:val="21"/>
                      <w:szCs w:val="21"/>
                    </w:rPr>
                    <w:t>级/dB(A)</w:t>
                  </w:r>
                </w:p>
              </w:tc>
              <w:tc>
                <w:tcPr>
                  <w:tcW w:w="427" w:type="dxa"/>
                  <w:vMerge w:val="restart"/>
                  <w:tcBorders>
                    <w:tl2br w:val="nil"/>
                    <w:tr2bl w:val="nil"/>
                  </w:tcBorders>
                  <w:noWrap w:val="0"/>
                  <w:vAlign w:val="center"/>
                </w:tcPr>
                <w:p w14:paraId="69DD1228">
                  <w:pPr>
                    <w:spacing w:line="0" w:lineRule="atLeas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建筑外距离</w:t>
                  </w:r>
                </w:p>
              </w:tc>
            </w:tr>
            <w:tr w14:paraId="3913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427" w:type="dxa"/>
                  <w:vMerge w:val="continue"/>
                  <w:tcBorders>
                    <w:tl2br w:val="nil"/>
                    <w:tr2bl w:val="nil"/>
                  </w:tcBorders>
                  <w:noWrap w:val="0"/>
                  <w:vAlign w:val="center"/>
                </w:tcPr>
                <w:p w14:paraId="5323C137">
                  <w:pPr>
                    <w:spacing w:line="0" w:lineRule="atLeast"/>
                    <w:jc w:val="center"/>
                    <w:rPr>
                      <w:rFonts w:hint="default" w:ascii="Times New Roman" w:hAnsi="Times New Roman" w:eastAsia="宋体" w:cs="Times New Roman"/>
                      <w:color w:val="auto"/>
                      <w:sz w:val="21"/>
                      <w:szCs w:val="21"/>
                    </w:rPr>
                  </w:pPr>
                </w:p>
              </w:tc>
              <w:tc>
                <w:tcPr>
                  <w:tcW w:w="438" w:type="dxa"/>
                  <w:vMerge w:val="continue"/>
                  <w:tcBorders>
                    <w:tl2br w:val="nil"/>
                    <w:tr2bl w:val="nil"/>
                  </w:tcBorders>
                  <w:noWrap w:val="0"/>
                  <w:vAlign w:val="center"/>
                </w:tcPr>
                <w:p w14:paraId="7D6C581C">
                  <w:pPr>
                    <w:spacing w:line="0" w:lineRule="atLeast"/>
                    <w:jc w:val="center"/>
                    <w:rPr>
                      <w:rFonts w:hint="default" w:ascii="Times New Roman" w:hAnsi="Times New Roman" w:eastAsia="宋体" w:cs="Times New Roman"/>
                      <w:color w:val="auto"/>
                      <w:sz w:val="21"/>
                      <w:szCs w:val="21"/>
                    </w:rPr>
                  </w:pPr>
                </w:p>
              </w:tc>
              <w:tc>
                <w:tcPr>
                  <w:tcW w:w="781" w:type="dxa"/>
                  <w:vMerge w:val="continue"/>
                  <w:tcBorders>
                    <w:tl2br w:val="nil"/>
                    <w:tr2bl w:val="nil"/>
                  </w:tcBorders>
                  <w:noWrap w:val="0"/>
                  <w:vAlign w:val="center"/>
                </w:tcPr>
                <w:p w14:paraId="47C240D6">
                  <w:pPr>
                    <w:spacing w:line="0" w:lineRule="atLeast"/>
                    <w:jc w:val="center"/>
                    <w:rPr>
                      <w:rFonts w:hint="default" w:ascii="Times New Roman" w:hAnsi="Times New Roman" w:eastAsia="宋体" w:cs="Times New Roman"/>
                      <w:color w:val="auto"/>
                      <w:sz w:val="21"/>
                      <w:szCs w:val="21"/>
                    </w:rPr>
                  </w:pPr>
                </w:p>
              </w:tc>
              <w:tc>
                <w:tcPr>
                  <w:tcW w:w="782" w:type="dxa"/>
                  <w:gridSpan w:val="2"/>
                  <w:vMerge w:val="continue"/>
                  <w:tcBorders>
                    <w:tl2br w:val="nil"/>
                    <w:tr2bl w:val="nil"/>
                  </w:tcBorders>
                  <w:noWrap w:val="0"/>
                  <w:vAlign w:val="center"/>
                </w:tcPr>
                <w:p w14:paraId="61AE3313">
                  <w:pPr>
                    <w:spacing w:line="0" w:lineRule="atLeast"/>
                    <w:jc w:val="center"/>
                    <w:rPr>
                      <w:rFonts w:hint="default" w:ascii="Times New Roman" w:hAnsi="Times New Roman" w:eastAsia="宋体" w:cs="Times New Roman"/>
                      <w:color w:val="auto"/>
                      <w:sz w:val="21"/>
                      <w:szCs w:val="21"/>
                    </w:rPr>
                  </w:pPr>
                </w:p>
              </w:tc>
              <w:tc>
                <w:tcPr>
                  <w:tcW w:w="823" w:type="dxa"/>
                  <w:vMerge w:val="continue"/>
                  <w:tcBorders>
                    <w:tl2br w:val="nil"/>
                    <w:tr2bl w:val="nil"/>
                  </w:tcBorders>
                  <w:noWrap w:val="0"/>
                  <w:vAlign w:val="center"/>
                </w:tcPr>
                <w:p w14:paraId="23BD368A">
                  <w:pPr>
                    <w:spacing w:line="0" w:lineRule="atLeast"/>
                    <w:jc w:val="center"/>
                    <w:rPr>
                      <w:rFonts w:hint="default" w:ascii="Times New Roman" w:hAnsi="Times New Roman" w:eastAsia="宋体" w:cs="Times New Roman"/>
                      <w:color w:val="auto"/>
                      <w:sz w:val="21"/>
                      <w:szCs w:val="21"/>
                    </w:rPr>
                  </w:pPr>
                </w:p>
              </w:tc>
              <w:tc>
                <w:tcPr>
                  <w:tcW w:w="636" w:type="dxa"/>
                  <w:vMerge w:val="continue"/>
                  <w:tcBorders>
                    <w:tl2br w:val="nil"/>
                    <w:tr2bl w:val="nil"/>
                  </w:tcBorders>
                  <w:noWrap w:val="0"/>
                  <w:vAlign w:val="center"/>
                </w:tcPr>
                <w:p w14:paraId="675CF14C">
                  <w:pPr>
                    <w:spacing w:line="0" w:lineRule="atLeast"/>
                    <w:jc w:val="center"/>
                    <w:rPr>
                      <w:rFonts w:hint="default" w:ascii="Times New Roman" w:hAnsi="Times New Roman" w:eastAsia="宋体" w:cs="Times New Roman"/>
                      <w:color w:val="auto"/>
                      <w:sz w:val="21"/>
                      <w:szCs w:val="21"/>
                    </w:rPr>
                  </w:pPr>
                </w:p>
              </w:tc>
              <w:tc>
                <w:tcPr>
                  <w:tcW w:w="426" w:type="dxa"/>
                  <w:vMerge w:val="continue"/>
                  <w:tcBorders>
                    <w:tl2br w:val="nil"/>
                    <w:tr2bl w:val="nil"/>
                  </w:tcBorders>
                  <w:noWrap w:val="0"/>
                  <w:vAlign w:val="center"/>
                </w:tcPr>
                <w:p w14:paraId="0419F737">
                  <w:pPr>
                    <w:spacing w:line="0" w:lineRule="atLeast"/>
                    <w:jc w:val="center"/>
                    <w:rPr>
                      <w:rFonts w:hint="default" w:ascii="Times New Roman" w:hAnsi="Times New Roman" w:eastAsia="宋体" w:cs="Times New Roman"/>
                      <w:color w:val="auto"/>
                      <w:sz w:val="21"/>
                      <w:szCs w:val="21"/>
                    </w:rPr>
                  </w:pPr>
                </w:p>
              </w:tc>
              <w:tc>
                <w:tcPr>
                  <w:tcW w:w="531" w:type="dxa"/>
                  <w:vMerge w:val="continue"/>
                  <w:tcBorders>
                    <w:tl2br w:val="nil"/>
                    <w:tr2bl w:val="nil"/>
                  </w:tcBorders>
                  <w:noWrap w:val="0"/>
                  <w:vAlign w:val="center"/>
                </w:tcPr>
                <w:p w14:paraId="5B37E362">
                  <w:pPr>
                    <w:spacing w:line="0" w:lineRule="atLeast"/>
                    <w:jc w:val="center"/>
                    <w:rPr>
                      <w:rFonts w:hint="default" w:ascii="Times New Roman" w:hAnsi="Times New Roman" w:eastAsia="宋体" w:cs="Times New Roman"/>
                      <w:color w:val="auto"/>
                      <w:sz w:val="21"/>
                      <w:szCs w:val="21"/>
                    </w:rPr>
                  </w:pPr>
                </w:p>
              </w:tc>
              <w:tc>
                <w:tcPr>
                  <w:tcW w:w="479" w:type="dxa"/>
                  <w:vMerge w:val="continue"/>
                  <w:tcBorders>
                    <w:tl2br w:val="nil"/>
                    <w:tr2bl w:val="nil"/>
                  </w:tcBorders>
                  <w:noWrap w:val="0"/>
                  <w:vAlign w:val="center"/>
                </w:tcPr>
                <w:p w14:paraId="6FA05D2C">
                  <w:pPr>
                    <w:spacing w:line="0" w:lineRule="atLeast"/>
                    <w:jc w:val="center"/>
                    <w:rPr>
                      <w:rFonts w:hint="default" w:ascii="Times New Roman" w:hAnsi="Times New Roman" w:eastAsia="宋体" w:cs="Times New Roman"/>
                      <w:color w:val="auto"/>
                      <w:sz w:val="21"/>
                      <w:szCs w:val="21"/>
                    </w:rPr>
                  </w:pPr>
                </w:p>
              </w:tc>
              <w:tc>
                <w:tcPr>
                  <w:tcW w:w="427" w:type="dxa"/>
                  <w:vMerge w:val="continue"/>
                  <w:tcBorders>
                    <w:tl2br w:val="nil"/>
                    <w:tr2bl w:val="nil"/>
                  </w:tcBorders>
                  <w:noWrap w:val="0"/>
                  <w:vAlign w:val="center"/>
                </w:tcPr>
                <w:p w14:paraId="7EA44B1D">
                  <w:pPr>
                    <w:spacing w:line="0" w:lineRule="atLeast"/>
                    <w:jc w:val="center"/>
                    <w:rPr>
                      <w:rFonts w:hint="default" w:ascii="Times New Roman" w:hAnsi="Times New Roman" w:eastAsia="宋体" w:cs="Times New Roman"/>
                      <w:color w:val="auto"/>
                      <w:sz w:val="21"/>
                      <w:szCs w:val="21"/>
                    </w:rPr>
                  </w:pPr>
                </w:p>
              </w:tc>
              <w:tc>
                <w:tcPr>
                  <w:tcW w:w="505" w:type="dxa"/>
                  <w:vMerge w:val="continue"/>
                  <w:tcBorders>
                    <w:tl2br w:val="nil"/>
                    <w:tr2bl w:val="nil"/>
                  </w:tcBorders>
                  <w:noWrap w:val="0"/>
                  <w:vAlign w:val="center"/>
                </w:tcPr>
                <w:p w14:paraId="06040DB4">
                  <w:pPr>
                    <w:spacing w:line="0" w:lineRule="atLeast"/>
                    <w:jc w:val="center"/>
                    <w:rPr>
                      <w:rFonts w:hint="default" w:ascii="Times New Roman" w:hAnsi="Times New Roman" w:eastAsia="宋体" w:cs="Times New Roman"/>
                      <w:color w:val="auto"/>
                      <w:sz w:val="21"/>
                      <w:szCs w:val="21"/>
                    </w:rPr>
                  </w:pPr>
                </w:p>
              </w:tc>
              <w:tc>
                <w:tcPr>
                  <w:tcW w:w="427" w:type="dxa"/>
                  <w:vMerge w:val="continue"/>
                  <w:tcBorders>
                    <w:tl2br w:val="nil"/>
                    <w:tr2bl w:val="nil"/>
                  </w:tcBorders>
                  <w:noWrap w:val="0"/>
                  <w:vAlign w:val="center"/>
                </w:tcPr>
                <w:p w14:paraId="0CB89F04">
                  <w:pPr>
                    <w:spacing w:line="0" w:lineRule="atLeast"/>
                    <w:jc w:val="center"/>
                    <w:rPr>
                      <w:rFonts w:hint="default" w:ascii="Times New Roman" w:hAnsi="Times New Roman" w:eastAsia="宋体" w:cs="Times New Roman"/>
                      <w:color w:val="auto"/>
                      <w:sz w:val="21"/>
                      <w:szCs w:val="21"/>
                    </w:rPr>
                  </w:pPr>
                </w:p>
              </w:tc>
              <w:tc>
                <w:tcPr>
                  <w:tcW w:w="429" w:type="dxa"/>
                  <w:vMerge w:val="continue"/>
                  <w:tcBorders>
                    <w:tl2br w:val="nil"/>
                    <w:tr2bl w:val="nil"/>
                  </w:tcBorders>
                  <w:noWrap w:val="0"/>
                  <w:vAlign w:val="center"/>
                </w:tcPr>
                <w:p w14:paraId="5D64771D">
                  <w:pPr>
                    <w:spacing w:line="0" w:lineRule="atLeast"/>
                    <w:jc w:val="center"/>
                    <w:rPr>
                      <w:rFonts w:hint="default" w:ascii="Times New Roman" w:hAnsi="Times New Roman" w:eastAsia="宋体" w:cs="Times New Roman"/>
                      <w:color w:val="auto"/>
                      <w:sz w:val="21"/>
                      <w:szCs w:val="21"/>
                    </w:rPr>
                  </w:pPr>
                </w:p>
              </w:tc>
              <w:tc>
                <w:tcPr>
                  <w:tcW w:w="428" w:type="dxa"/>
                  <w:vMerge w:val="continue"/>
                  <w:tcBorders>
                    <w:tl2br w:val="nil"/>
                    <w:tr2bl w:val="nil"/>
                  </w:tcBorders>
                  <w:noWrap w:val="0"/>
                  <w:vAlign w:val="center"/>
                </w:tcPr>
                <w:p w14:paraId="4CA6759D">
                  <w:pPr>
                    <w:spacing w:line="0" w:lineRule="atLeast"/>
                    <w:jc w:val="center"/>
                    <w:rPr>
                      <w:rFonts w:hint="default" w:ascii="Times New Roman" w:hAnsi="Times New Roman" w:eastAsia="宋体" w:cs="Times New Roman"/>
                      <w:color w:val="auto"/>
                      <w:sz w:val="21"/>
                      <w:szCs w:val="21"/>
                    </w:rPr>
                  </w:pPr>
                </w:p>
              </w:tc>
              <w:tc>
                <w:tcPr>
                  <w:tcW w:w="427" w:type="dxa"/>
                  <w:vMerge w:val="continue"/>
                  <w:tcBorders>
                    <w:tl2br w:val="nil"/>
                    <w:tr2bl w:val="nil"/>
                  </w:tcBorders>
                  <w:noWrap w:val="0"/>
                  <w:vAlign w:val="center"/>
                </w:tcPr>
                <w:p w14:paraId="69061257">
                  <w:pPr>
                    <w:spacing w:line="0" w:lineRule="atLeast"/>
                    <w:jc w:val="center"/>
                    <w:rPr>
                      <w:rFonts w:hint="default" w:ascii="Times New Roman" w:hAnsi="Times New Roman" w:eastAsia="宋体" w:cs="Times New Roman"/>
                      <w:color w:val="auto"/>
                      <w:sz w:val="21"/>
                      <w:szCs w:val="21"/>
                    </w:rPr>
                  </w:pPr>
                </w:p>
              </w:tc>
              <w:tc>
                <w:tcPr>
                  <w:tcW w:w="432" w:type="dxa"/>
                  <w:vMerge w:val="continue"/>
                  <w:tcBorders>
                    <w:tl2br w:val="nil"/>
                    <w:tr2bl w:val="nil"/>
                  </w:tcBorders>
                  <w:noWrap w:val="0"/>
                  <w:vAlign w:val="center"/>
                </w:tcPr>
                <w:p w14:paraId="4685A20C">
                  <w:pPr>
                    <w:spacing w:line="0" w:lineRule="atLeast"/>
                    <w:jc w:val="center"/>
                    <w:rPr>
                      <w:rFonts w:hint="default" w:ascii="Times New Roman" w:hAnsi="Times New Roman" w:eastAsia="宋体" w:cs="Times New Roman"/>
                      <w:color w:val="auto"/>
                      <w:sz w:val="21"/>
                      <w:szCs w:val="21"/>
                    </w:rPr>
                  </w:pPr>
                </w:p>
              </w:tc>
              <w:tc>
                <w:tcPr>
                  <w:tcW w:w="427" w:type="dxa"/>
                  <w:vMerge w:val="continue"/>
                  <w:tcBorders>
                    <w:tl2br w:val="nil"/>
                    <w:tr2bl w:val="nil"/>
                  </w:tcBorders>
                  <w:noWrap w:val="0"/>
                  <w:vAlign w:val="center"/>
                </w:tcPr>
                <w:p w14:paraId="7600E9FD">
                  <w:pPr>
                    <w:spacing w:line="0" w:lineRule="atLeast"/>
                    <w:jc w:val="center"/>
                    <w:rPr>
                      <w:rFonts w:hint="default" w:ascii="Times New Roman" w:hAnsi="Times New Roman" w:eastAsia="宋体" w:cs="Times New Roman"/>
                      <w:color w:val="auto"/>
                      <w:sz w:val="21"/>
                      <w:szCs w:val="21"/>
                    </w:rPr>
                  </w:pPr>
                </w:p>
              </w:tc>
              <w:tc>
                <w:tcPr>
                  <w:tcW w:w="708" w:type="dxa"/>
                  <w:vMerge w:val="continue"/>
                  <w:tcBorders>
                    <w:tl2br w:val="nil"/>
                    <w:tr2bl w:val="nil"/>
                  </w:tcBorders>
                  <w:noWrap w:val="0"/>
                  <w:vAlign w:val="center"/>
                </w:tcPr>
                <w:p w14:paraId="4971B7F5">
                  <w:pPr>
                    <w:spacing w:line="0" w:lineRule="atLeast"/>
                    <w:jc w:val="center"/>
                    <w:rPr>
                      <w:rFonts w:hint="default" w:ascii="Times New Roman" w:hAnsi="Times New Roman" w:eastAsia="宋体" w:cs="Times New Roman"/>
                      <w:color w:val="auto"/>
                      <w:sz w:val="21"/>
                      <w:szCs w:val="21"/>
                    </w:rPr>
                  </w:pPr>
                </w:p>
              </w:tc>
              <w:tc>
                <w:tcPr>
                  <w:tcW w:w="427" w:type="dxa"/>
                  <w:vMerge w:val="continue"/>
                  <w:tcBorders>
                    <w:tl2br w:val="nil"/>
                    <w:tr2bl w:val="nil"/>
                  </w:tcBorders>
                  <w:noWrap w:val="0"/>
                  <w:vAlign w:val="center"/>
                </w:tcPr>
                <w:p w14:paraId="20AEC9B3">
                  <w:pPr>
                    <w:spacing w:line="0" w:lineRule="atLeast"/>
                    <w:jc w:val="center"/>
                    <w:rPr>
                      <w:rFonts w:hint="default" w:ascii="Times New Roman" w:hAnsi="Times New Roman" w:eastAsia="宋体" w:cs="Times New Roman"/>
                      <w:color w:val="auto"/>
                      <w:sz w:val="21"/>
                      <w:szCs w:val="21"/>
                    </w:rPr>
                  </w:pPr>
                </w:p>
              </w:tc>
              <w:tc>
                <w:tcPr>
                  <w:tcW w:w="427" w:type="dxa"/>
                  <w:vMerge w:val="continue"/>
                  <w:tcBorders>
                    <w:tl2br w:val="nil"/>
                    <w:tr2bl w:val="nil"/>
                  </w:tcBorders>
                  <w:noWrap w:val="0"/>
                  <w:vAlign w:val="center"/>
                </w:tcPr>
                <w:p w14:paraId="774C912B">
                  <w:pPr>
                    <w:spacing w:line="0" w:lineRule="atLeast"/>
                    <w:jc w:val="center"/>
                    <w:rPr>
                      <w:rFonts w:hint="default" w:ascii="Times New Roman" w:hAnsi="Times New Roman" w:eastAsia="宋体" w:cs="Times New Roman"/>
                      <w:color w:val="auto"/>
                      <w:sz w:val="21"/>
                      <w:szCs w:val="21"/>
                    </w:rPr>
                  </w:pPr>
                </w:p>
              </w:tc>
              <w:tc>
                <w:tcPr>
                  <w:tcW w:w="427" w:type="dxa"/>
                  <w:vMerge w:val="continue"/>
                  <w:tcBorders>
                    <w:tl2br w:val="nil"/>
                    <w:tr2bl w:val="nil"/>
                  </w:tcBorders>
                  <w:noWrap w:val="0"/>
                  <w:vAlign w:val="center"/>
                </w:tcPr>
                <w:p w14:paraId="5E539F02">
                  <w:pPr>
                    <w:spacing w:line="0" w:lineRule="atLeast"/>
                    <w:jc w:val="center"/>
                    <w:rPr>
                      <w:rFonts w:hint="default" w:ascii="Times New Roman" w:hAnsi="Times New Roman" w:eastAsia="宋体" w:cs="Times New Roman"/>
                      <w:color w:val="auto"/>
                      <w:sz w:val="21"/>
                      <w:szCs w:val="21"/>
                    </w:rPr>
                  </w:pPr>
                </w:p>
              </w:tc>
              <w:tc>
                <w:tcPr>
                  <w:tcW w:w="427" w:type="dxa"/>
                  <w:vMerge w:val="continue"/>
                  <w:tcBorders>
                    <w:tl2br w:val="nil"/>
                    <w:tr2bl w:val="nil"/>
                  </w:tcBorders>
                  <w:noWrap w:val="0"/>
                  <w:vAlign w:val="center"/>
                </w:tcPr>
                <w:p w14:paraId="51182432">
                  <w:pPr>
                    <w:spacing w:line="0" w:lineRule="atLeast"/>
                    <w:jc w:val="center"/>
                    <w:rPr>
                      <w:rFonts w:hint="default" w:ascii="Times New Roman" w:hAnsi="Times New Roman" w:eastAsia="宋体" w:cs="Times New Roman"/>
                      <w:color w:val="auto"/>
                      <w:sz w:val="21"/>
                      <w:szCs w:val="21"/>
                    </w:rPr>
                  </w:pPr>
                </w:p>
              </w:tc>
              <w:tc>
                <w:tcPr>
                  <w:tcW w:w="427" w:type="dxa"/>
                  <w:tcBorders>
                    <w:tl2br w:val="nil"/>
                    <w:tr2bl w:val="nil"/>
                  </w:tcBorders>
                  <w:noWrap w:val="0"/>
                  <w:vAlign w:val="center"/>
                </w:tcPr>
                <w:p w14:paraId="42F79C3F">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东</w:t>
                  </w:r>
                </w:p>
              </w:tc>
              <w:tc>
                <w:tcPr>
                  <w:tcW w:w="427" w:type="dxa"/>
                  <w:tcBorders>
                    <w:tl2br w:val="nil"/>
                    <w:tr2bl w:val="nil"/>
                  </w:tcBorders>
                  <w:noWrap w:val="0"/>
                  <w:vAlign w:val="center"/>
                </w:tcPr>
                <w:p w14:paraId="7A673199">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南</w:t>
                  </w:r>
                </w:p>
              </w:tc>
              <w:tc>
                <w:tcPr>
                  <w:tcW w:w="427" w:type="dxa"/>
                  <w:tcBorders>
                    <w:tl2br w:val="nil"/>
                    <w:tr2bl w:val="nil"/>
                  </w:tcBorders>
                  <w:noWrap w:val="0"/>
                  <w:vAlign w:val="center"/>
                </w:tcPr>
                <w:p w14:paraId="234B27F1">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西</w:t>
                  </w:r>
                </w:p>
              </w:tc>
              <w:tc>
                <w:tcPr>
                  <w:tcW w:w="427" w:type="dxa"/>
                  <w:tcBorders>
                    <w:tl2br w:val="nil"/>
                    <w:tr2bl w:val="nil"/>
                  </w:tcBorders>
                  <w:noWrap w:val="0"/>
                  <w:vAlign w:val="center"/>
                </w:tcPr>
                <w:p w14:paraId="0B43A04E">
                  <w:pPr>
                    <w:spacing w:line="0" w:lineRule="atLeast"/>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北</w:t>
                  </w:r>
                </w:p>
              </w:tc>
              <w:tc>
                <w:tcPr>
                  <w:tcW w:w="427" w:type="dxa"/>
                  <w:vMerge w:val="continue"/>
                  <w:tcBorders>
                    <w:tl2br w:val="nil"/>
                    <w:tr2bl w:val="nil"/>
                  </w:tcBorders>
                  <w:noWrap w:val="0"/>
                  <w:vAlign w:val="center"/>
                </w:tcPr>
                <w:p w14:paraId="606C9993">
                  <w:pPr>
                    <w:spacing w:line="0" w:lineRule="atLeast"/>
                    <w:jc w:val="center"/>
                    <w:rPr>
                      <w:rFonts w:hint="default" w:ascii="Times New Roman" w:hAnsi="Times New Roman" w:eastAsia="宋体" w:cs="Times New Roman"/>
                      <w:color w:val="auto"/>
                      <w:sz w:val="21"/>
                      <w:szCs w:val="21"/>
                    </w:rPr>
                  </w:pPr>
                </w:p>
              </w:tc>
            </w:tr>
            <w:tr w14:paraId="3DFA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5AB60EE3">
                  <w:pPr>
                    <w:spacing w:line="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w:t>
                  </w:r>
                </w:p>
              </w:tc>
              <w:tc>
                <w:tcPr>
                  <w:tcW w:w="438" w:type="dxa"/>
                  <w:vMerge w:val="restart"/>
                  <w:tcBorders>
                    <w:tl2br w:val="nil"/>
                    <w:tr2bl w:val="nil"/>
                  </w:tcBorders>
                  <w:noWrap w:val="0"/>
                  <w:vAlign w:val="center"/>
                </w:tcPr>
                <w:p w14:paraId="3DDB86FA">
                  <w:pPr>
                    <w:spacing w:line="0" w:lineRule="atLeast"/>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color w:val="auto"/>
                      <w:sz w:val="21"/>
                      <w:szCs w:val="21"/>
                    </w:rPr>
                    <w:t>生产车间</w:t>
                  </w:r>
                </w:p>
              </w:tc>
              <w:tc>
                <w:tcPr>
                  <w:tcW w:w="789" w:type="dxa"/>
                  <w:gridSpan w:val="2"/>
                  <w:tcBorders>
                    <w:tl2br w:val="nil"/>
                    <w:tr2bl w:val="nil"/>
                  </w:tcBorders>
                  <w:noWrap w:val="0"/>
                  <w:vAlign w:val="center"/>
                </w:tcPr>
                <w:p w14:paraId="4CE6430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cs="宋体"/>
                      <w:i w:val="0"/>
                      <w:iCs w:val="0"/>
                      <w:color w:val="auto"/>
                      <w:kern w:val="0"/>
                      <w:sz w:val="21"/>
                      <w:szCs w:val="21"/>
                      <w:u w:val="none"/>
                      <w:lang w:val="en-US" w:eastAsia="zh-CN" w:bidi="ar"/>
                    </w:rPr>
                    <w:t>激光切割机</w:t>
                  </w:r>
                </w:p>
              </w:tc>
              <w:tc>
                <w:tcPr>
                  <w:tcW w:w="774" w:type="dxa"/>
                  <w:tcBorders>
                    <w:tl2br w:val="nil"/>
                    <w:tr2bl w:val="nil"/>
                  </w:tcBorders>
                  <w:noWrap w:val="0"/>
                  <w:vAlign w:val="center"/>
                </w:tcPr>
                <w:p w14:paraId="0F42F8D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6A033D62">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86.76</w:t>
                  </w:r>
                </w:p>
              </w:tc>
              <w:tc>
                <w:tcPr>
                  <w:tcW w:w="636" w:type="dxa"/>
                  <w:vMerge w:val="restart"/>
                  <w:tcBorders>
                    <w:tl2br w:val="nil"/>
                    <w:tr2bl w:val="nil"/>
                  </w:tcBorders>
                  <w:noWrap w:val="0"/>
                  <w:vAlign w:val="center"/>
                </w:tcPr>
                <w:p w14:paraId="3CD6F9FA">
                  <w:pPr>
                    <w:spacing w:line="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基础减振、隔声</w:t>
                  </w:r>
                </w:p>
              </w:tc>
              <w:tc>
                <w:tcPr>
                  <w:tcW w:w="426" w:type="dxa"/>
                  <w:tcBorders>
                    <w:tl2br w:val="nil"/>
                    <w:tr2bl w:val="nil"/>
                  </w:tcBorders>
                  <w:noWrap w:val="0"/>
                  <w:vAlign w:val="center"/>
                </w:tcPr>
                <w:p w14:paraId="33BA1119">
                  <w:pPr>
                    <w:widowControl/>
                    <w:spacing w:line="0" w:lineRule="atLeast"/>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50</w:t>
                  </w:r>
                </w:p>
              </w:tc>
              <w:tc>
                <w:tcPr>
                  <w:tcW w:w="531" w:type="dxa"/>
                  <w:tcBorders>
                    <w:tl2br w:val="nil"/>
                    <w:tr2bl w:val="nil"/>
                  </w:tcBorders>
                  <w:noWrap w:val="0"/>
                  <w:vAlign w:val="center"/>
                </w:tcPr>
                <w:p w14:paraId="61E00F24">
                  <w:pPr>
                    <w:widowControl/>
                    <w:spacing w:line="0" w:lineRule="atLeast"/>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40</w:t>
                  </w:r>
                </w:p>
              </w:tc>
              <w:tc>
                <w:tcPr>
                  <w:tcW w:w="479" w:type="dxa"/>
                  <w:tcBorders>
                    <w:tl2br w:val="nil"/>
                    <w:tr2bl w:val="nil"/>
                  </w:tcBorders>
                  <w:noWrap w:val="0"/>
                  <w:vAlign w:val="center"/>
                </w:tcPr>
                <w:p w14:paraId="37FD2FBD">
                  <w:pPr>
                    <w:widowControl/>
                    <w:spacing w:line="0" w:lineRule="atLeast"/>
                    <w:jc w:val="center"/>
                    <w:textAlignment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noWrap w:val="0"/>
                  <w:vAlign w:val="center"/>
                </w:tcPr>
                <w:p w14:paraId="34DBECA9">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38</w:t>
                  </w:r>
                </w:p>
              </w:tc>
              <w:tc>
                <w:tcPr>
                  <w:tcW w:w="505" w:type="dxa"/>
                  <w:tcBorders>
                    <w:tl2br w:val="nil"/>
                    <w:tr2bl w:val="nil"/>
                  </w:tcBorders>
                  <w:shd w:val="clear" w:color="auto" w:fill="auto"/>
                  <w:noWrap w:val="0"/>
                  <w:vAlign w:val="center"/>
                </w:tcPr>
                <w:p w14:paraId="7CD32451">
                  <w:pPr>
                    <w:widowControl/>
                    <w:spacing w:line="0" w:lineRule="atLeast"/>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10</w:t>
                  </w:r>
                </w:p>
              </w:tc>
              <w:tc>
                <w:tcPr>
                  <w:tcW w:w="427" w:type="dxa"/>
                  <w:tcBorders>
                    <w:tl2br w:val="nil"/>
                    <w:tr2bl w:val="nil"/>
                  </w:tcBorders>
                  <w:shd w:val="clear" w:color="auto" w:fill="auto"/>
                  <w:noWrap w:val="0"/>
                  <w:vAlign w:val="center"/>
                </w:tcPr>
                <w:p w14:paraId="353FB7C8">
                  <w:pPr>
                    <w:widowControl/>
                    <w:spacing w:line="0" w:lineRule="atLeast"/>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50</w:t>
                  </w:r>
                </w:p>
              </w:tc>
              <w:tc>
                <w:tcPr>
                  <w:tcW w:w="429" w:type="dxa"/>
                  <w:tcBorders>
                    <w:tl2br w:val="nil"/>
                    <w:tr2bl w:val="nil"/>
                  </w:tcBorders>
                  <w:noWrap w:val="0"/>
                  <w:vAlign w:val="center"/>
                </w:tcPr>
                <w:p w14:paraId="5092B07F">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797BABD5">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54</w:t>
                  </w:r>
                </w:p>
              </w:tc>
              <w:tc>
                <w:tcPr>
                  <w:tcW w:w="427" w:type="dxa"/>
                  <w:tcBorders>
                    <w:tl2br w:val="nil"/>
                    <w:tr2bl w:val="nil"/>
                  </w:tcBorders>
                  <w:noWrap w:val="0"/>
                  <w:vAlign w:val="center"/>
                </w:tcPr>
                <w:p w14:paraId="6E8A729D">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66</w:t>
                  </w:r>
                </w:p>
              </w:tc>
              <w:tc>
                <w:tcPr>
                  <w:tcW w:w="432" w:type="dxa"/>
                  <w:tcBorders>
                    <w:tl2br w:val="nil"/>
                    <w:tr2bl w:val="nil"/>
                  </w:tcBorders>
                  <w:noWrap w:val="0"/>
                  <w:vAlign w:val="center"/>
                </w:tcPr>
                <w:p w14:paraId="70F1FDAF">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52</w:t>
                  </w:r>
                </w:p>
              </w:tc>
              <w:tc>
                <w:tcPr>
                  <w:tcW w:w="427" w:type="dxa"/>
                  <w:tcBorders>
                    <w:tl2br w:val="nil"/>
                    <w:tr2bl w:val="nil"/>
                  </w:tcBorders>
                  <w:noWrap w:val="0"/>
                  <w:vAlign w:val="center"/>
                </w:tcPr>
                <w:p w14:paraId="790D0ED4">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72</w:t>
                  </w:r>
                </w:p>
              </w:tc>
              <w:tc>
                <w:tcPr>
                  <w:tcW w:w="708" w:type="dxa"/>
                  <w:tcBorders>
                    <w:tl2br w:val="nil"/>
                    <w:tr2bl w:val="nil"/>
                  </w:tcBorders>
                  <w:noWrap w:val="0"/>
                  <w:vAlign w:val="center"/>
                </w:tcPr>
                <w:p w14:paraId="2C954917">
                  <w:pPr>
                    <w:spacing w:line="0" w:lineRule="atLeast"/>
                    <w:jc w:val="center"/>
                    <w:rPr>
                      <w:rFonts w:hint="default" w:ascii="Times New Roman" w:hAnsi="Times New Roman" w:eastAsia="宋体" w:cs="Times New Roman"/>
                      <w:b/>
                      <w:color w:val="auto"/>
                      <w:kern w:val="0"/>
                      <w:sz w:val="21"/>
                      <w:szCs w:val="21"/>
                      <w:lang w:val="en-US"/>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7112A4AE">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EF341E0">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0856CBB">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3F3F1809">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CF59A07">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w:t>
                  </w:r>
                </w:p>
              </w:tc>
              <w:tc>
                <w:tcPr>
                  <w:tcW w:w="427" w:type="dxa"/>
                  <w:tcBorders>
                    <w:tl2br w:val="nil"/>
                    <w:tr2bl w:val="nil"/>
                  </w:tcBorders>
                  <w:noWrap w:val="0"/>
                  <w:vAlign w:val="center"/>
                </w:tcPr>
                <w:p w14:paraId="772B96E9">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41</w:t>
                  </w:r>
                </w:p>
              </w:tc>
              <w:tc>
                <w:tcPr>
                  <w:tcW w:w="427" w:type="dxa"/>
                  <w:tcBorders>
                    <w:tl2br w:val="nil"/>
                    <w:tr2bl w:val="nil"/>
                  </w:tcBorders>
                  <w:noWrap w:val="0"/>
                  <w:vAlign w:val="center"/>
                </w:tcPr>
                <w:p w14:paraId="54E89E09">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27</w:t>
                  </w:r>
                </w:p>
              </w:tc>
              <w:tc>
                <w:tcPr>
                  <w:tcW w:w="427" w:type="dxa"/>
                  <w:tcBorders>
                    <w:tl2br w:val="nil"/>
                    <w:tr2bl w:val="nil"/>
                  </w:tcBorders>
                  <w:noWrap w:val="0"/>
                  <w:vAlign w:val="center"/>
                </w:tcPr>
                <w:p w14:paraId="66804878">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47</w:t>
                  </w:r>
                </w:p>
              </w:tc>
              <w:tc>
                <w:tcPr>
                  <w:tcW w:w="427" w:type="dxa"/>
                  <w:tcBorders>
                    <w:tl2br w:val="nil"/>
                    <w:tr2bl w:val="nil"/>
                  </w:tcBorders>
                  <w:noWrap w:val="0"/>
                  <w:vAlign w:val="center"/>
                </w:tcPr>
                <w:p w14:paraId="6CC1DD54">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3439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502FF302">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p>
              </w:tc>
              <w:tc>
                <w:tcPr>
                  <w:tcW w:w="438" w:type="dxa"/>
                  <w:vMerge w:val="continue"/>
                  <w:tcBorders>
                    <w:tl2br w:val="nil"/>
                    <w:tr2bl w:val="nil"/>
                  </w:tcBorders>
                  <w:noWrap w:val="0"/>
                  <w:vAlign w:val="center"/>
                </w:tcPr>
                <w:p w14:paraId="5FE56041">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5A010D4B">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镗孔机</w:t>
                  </w:r>
                </w:p>
              </w:tc>
              <w:tc>
                <w:tcPr>
                  <w:tcW w:w="774" w:type="dxa"/>
                  <w:tcBorders>
                    <w:tl2br w:val="nil"/>
                    <w:tr2bl w:val="nil"/>
                  </w:tcBorders>
                  <w:noWrap w:val="0"/>
                  <w:vAlign w:val="center"/>
                </w:tcPr>
                <w:p w14:paraId="67DDB60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3CEFEB41">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76.02</w:t>
                  </w:r>
                </w:p>
              </w:tc>
              <w:tc>
                <w:tcPr>
                  <w:tcW w:w="636" w:type="dxa"/>
                  <w:vMerge w:val="continue"/>
                  <w:tcBorders>
                    <w:tl2br w:val="nil"/>
                    <w:tr2bl w:val="nil"/>
                  </w:tcBorders>
                  <w:noWrap w:val="0"/>
                  <w:vAlign w:val="center"/>
                </w:tcPr>
                <w:p w14:paraId="30E47800">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67A21025">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66</w:t>
                  </w:r>
                </w:p>
              </w:tc>
              <w:tc>
                <w:tcPr>
                  <w:tcW w:w="531" w:type="dxa"/>
                  <w:tcBorders>
                    <w:tl2br w:val="nil"/>
                    <w:tr2bl w:val="nil"/>
                  </w:tcBorders>
                  <w:noWrap w:val="0"/>
                  <w:vAlign w:val="center"/>
                </w:tcPr>
                <w:p w14:paraId="40239461">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40</w:t>
                  </w:r>
                </w:p>
              </w:tc>
              <w:tc>
                <w:tcPr>
                  <w:tcW w:w="479" w:type="dxa"/>
                  <w:tcBorders>
                    <w:tl2br w:val="nil"/>
                    <w:tr2bl w:val="nil"/>
                  </w:tcBorders>
                  <w:noWrap w:val="0"/>
                  <w:vAlign w:val="center"/>
                </w:tcPr>
                <w:p w14:paraId="3CC158C2">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noWrap w:val="0"/>
                  <w:vAlign w:val="center"/>
                </w:tcPr>
                <w:p w14:paraId="5F7B7DE2">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24</w:t>
                  </w:r>
                </w:p>
              </w:tc>
              <w:tc>
                <w:tcPr>
                  <w:tcW w:w="505" w:type="dxa"/>
                  <w:tcBorders>
                    <w:tl2br w:val="nil"/>
                    <w:tr2bl w:val="nil"/>
                  </w:tcBorders>
                  <w:shd w:val="clear" w:color="auto" w:fill="auto"/>
                  <w:noWrap w:val="0"/>
                  <w:vAlign w:val="center"/>
                </w:tcPr>
                <w:p w14:paraId="07706582">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427" w:type="dxa"/>
                  <w:tcBorders>
                    <w:tl2br w:val="nil"/>
                    <w:tr2bl w:val="nil"/>
                  </w:tcBorders>
                  <w:shd w:val="clear" w:color="auto" w:fill="auto"/>
                  <w:noWrap w:val="0"/>
                  <w:vAlign w:val="center"/>
                </w:tcPr>
                <w:p w14:paraId="4114603E">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66</w:t>
                  </w:r>
                </w:p>
              </w:tc>
              <w:tc>
                <w:tcPr>
                  <w:tcW w:w="429" w:type="dxa"/>
                  <w:tcBorders>
                    <w:tl2br w:val="nil"/>
                    <w:tr2bl w:val="nil"/>
                  </w:tcBorders>
                  <w:noWrap w:val="0"/>
                  <w:vAlign w:val="center"/>
                </w:tcPr>
                <w:p w14:paraId="28063676">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4D794E00">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48</w:t>
                  </w:r>
                </w:p>
              </w:tc>
              <w:tc>
                <w:tcPr>
                  <w:tcW w:w="427" w:type="dxa"/>
                  <w:tcBorders>
                    <w:tl2br w:val="nil"/>
                    <w:tr2bl w:val="nil"/>
                  </w:tcBorders>
                  <w:noWrap w:val="0"/>
                  <w:vAlign w:val="center"/>
                </w:tcPr>
                <w:p w14:paraId="0D7E4BDB">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56</w:t>
                  </w:r>
                </w:p>
              </w:tc>
              <w:tc>
                <w:tcPr>
                  <w:tcW w:w="432" w:type="dxa"/>
                  <w:tcBorders>
                    <w:tl2br w:val="nil"/>
                    <w:tr2bl w:val="nil"/>
                  </w:tcBorders>
                  <w:noWrap w:val="0"/>
                  <w:vAlign w:val="center"/>
                </w:tcPr>
                <w:p w14:paraId="0B78F772">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40</w:t>
                  </w:r>
                </w:p>
              </w:tc>
              <w:tc>
                <w:tcPr>
                  <w:tcW w:w="427" w:type="dxa"/>
                  <w:tcBorders>
                    <w:tl2br w:val="nil"/>
                    <w:tr2bl w:val="nil"/>
                  </w:tcBorders>
                  <w:noWrap w:val="0"/>
                  <w:vAlign w:val="center"/>
                </w:tcPr>
                <w:p w14:paraId="6AB6351A">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62</w:t>
                  </w:r>
                </w:p>
              </w:tc>
              <w:tc>
                <w:tcPr>
                  <w:tcW w:w="708" w:type="dxa"/>
                  <w:tcBorders>
                    <w:tl2br w:val="nil"/>
                    <w:tr2bl w:val="nil"/>
                  </w:tcBorders>
                  <w:noWrap w:val="0"/>
                  <w:vAlign w:val="center"/>
                </w:tcPr>
                <w:p w14:paraId="2993E9C3">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4CF5D90A">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31A9C978">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3BE0B989">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42DEE6A8">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1139D70D">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tcBorders>
                    <w:tl2br w:val="nil"/>
                    <w:tr2bl w:val="nil"/>
                  </w:tcBorders>
                  <w:noWrap w:val="0"/>
                  <w:vAlign w:val="center"/>
                </w:tcPr>
                <w:p w14:paraId="2DE7F6AE">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31</w:t>
                  </w:r>
                </w:p>
              </w:tc>
              <w:tc>
                <w:tcPr>
                  <w:tcW w:w="427" w:type="dxa"/>
                  <w:tcBorders>
                    <w:tl2br w:val="nil"/>
                    <w:tr2bl w:val="nil"/>
                  </w:tcBorders>
                  <w:noWrap w:val="0"/>
                  <w:vAlign w:val="center"/>
                </w:tcPr>
                <w:p w14:paraId="6B171DD2">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15</w:t>
                  </w:r>
                </w:p>
              </w:tc>
              <w:tc>
                <w:tcPr>
                  <w:tcW w:w="427" w:type="dxa"/>
                  <w:tcBorders>
                    <w:tl2br w:val="nil"/>
                    <w:tr2bl w:val="nil"/>
                  </w:tcBorders>
                  <w:noWrap w:val="0"/>
                  <w:vAlign w:val="center"/>
                </w:tcPr>
                <w:p w14:paraId="32362484">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37</w:t>
                  </w:r>
                </w:p>
              </w:tc>
              <w:tc>
                <w:tcPr>
                  <w:tcW w:w="427" w:type="dxa"/>
                  <w:tcBorders>
                    <w:tl2br w:val="nil"/>
                    <w:tr2bl w:val="nil"/>
                  </w:tcBorders>
                  <w:noWrap w:val="0"/>
                  <w:vAlign w:val="center"/>
                </w:tcPr>
                <w:p w14:paraId="60C90D8D">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4E4E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3B95E104">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3</w:t>
                  </w:r>
                </w:p>
              </w:tc>
              <w:tc>
                <w:tcPr>
                  <w:tcW w:w="438" w:type="dxa"/>
                  <w:vMerge w:val="continue"/>
                  <w:tcBorders>
                    <w:tl2br w:val="nil"/>
                    <w:tr2bl w:val="nil"/>
                  </w:tcBorders>
                  <w:noWrap w:val="0"/>
                  <w:vAlign w:val="center"/>
                </w:tcPr>
                <w:p w14:paraId="51B17407">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45E20FE4">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包口机</w:t>
                  </w:r>
                </w:p>
              </w:tc>
              <w:tc>
                <w:tcPr>
                  <w:tcW w:w="774" w:type="dxa"/>
                  <w:tcBorders>
                    <w:tl2br w:val="nil"/>
                    <w:tr2bl w:val="nil"/>
                  </w:tcBorders>
                  <w:noWrap w:val="0"/>
                  <w:vAlign w:val="center"/>
                </w:tcPr>
                <w:p w14:paraId="1BED93F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0CFCAEA5">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83.98</w:t>
                  </w:r>
                </w:p>
              </w:tc>
              <w:tc>
                <w:tcPr>
                  <w:tcW w:w="636" w:type="dxa"/>
                  <w:vMerge w:val="continue"/>
                  <w:tcBorders>
                    <w:tl2br w:val="nil"/>
                    <w:tr2bl w:val="nil"/>
                  </w:tcBorders>
                  <w:noWrap w:val="0"/>
                  <w:vAlign w:val="center"/>
                </w:tcPr>
                <w:p w14:paraId="58282CED">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41B36F90">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70</w:t>
                  </w:r>
                </w:p>
              </w:tc>
              <w:tc>
                <w:tcPr>
                  <w:tcW w:w="531" w:type="dxa"/>
                  <w:tcBorders>
                    <w:tl2br w:val="nil"/>
                    <w:tr2bl w:val="nil"/>
                  </w:tcBorders>
                  <w:noWrap w:val="0"/>
                  <w:vAlign w:val="center"/>
                </w:tcPr>
                <w:p w14:paraId="7C4DF520">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40</w:t>
                  </w:r>
                </w:p>
              </w:tc>
              <w:tc>
                <w:tcPr>
                  <w:tcW w:w="479" w:type="dxa"/>
                  <w:tcBorders>
                    <w:tl2br w:val="nil"/>
                    <w:tr2bl w:val="nil"/>
                  </w:tcBorders>
                  <w:noWrap w:val="0"/>
                  <w:vAlign w:val="center"/>
                </w:tcPr>
                <w:p w14:paraId="4C36C0AB">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noWrap w:val="0"/>
                  <w:vAlign w:val="center"/>
                </w:tcPr>
                <w:p w14:paraId="4FF6078E">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22</w:t>
                  </w:r>
                </w:p>
              </w:tc>
              <w:tc>
                <w:tcPr>
                  <w:tcW w:w="505" w:type="dxa"/>
                  <w:tcBorders>
                    <w:tl2br w:val="nil"/>
                    <w:tr2bl w:val="nil"/>
                  </w:tcBorders>
                  <w:shd w:val="clear" w:color="auto" w:fill="auto"/>
                  <w:noWrap w:val="0"/>
                  <w:vAlign w:val="center"/>
                </w:tcPr>
                <w:p w14:paraId="52A60684">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bCs/>
                      <w:color w:val="auto"/>
                      <w:kern w:val="0"/>
                      <w:sz w:val="21"/>
                      <w:szCs w:val="21"/>
                      <w:lang w:val="en-US" w:eastAsia="zh-CN" w:bidi="ar-SA"/>
                    </w:rPr>
                    <w:t>10</w:t>
                  </w:r>
                </w:p>
              </w:tc>
              <w:tc>
                <w:tcPr>
                  <w:tcW w:w="427" w:type="dxa"/>
                  <w:tcBorders>
                    <w:tl2br w:val="nil"/>
                    <w:tr2bl w:val="nil"/>
                  </w:tcBorders>
                  <w:shd w:val="clear" w:color="auto" w:fill="auto"/>
                  <w:noWrap w:val="0"/>
                  <w:vAlign w:val="center"/>
                </w:tcPr>
                <w:p w14:paraId="61196F9D">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70</w:t>
                  </w:r>
                </w:p>
              </w:tc>
              <w:tc>
                <w:tcPr>
                  <w:tcW w:w="429" w:type="dxa"/>
                  <w:tcBorders>
                    <w:tl2br w:val="nil"/>
                    <w:tr2bl w:val="nil"/>
                  </w:tcBorders>
                  <w:noWrap w:val="0"/>
                  <w:vAlign w:val="center"/>
                </w:tcPr>
                <w:p w14:paraId="37A71AFD">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006E7D97">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57</w:t>
                  </w:r>
                </w:p>
              </w:tc>
              <w:tc>
                <w:tcPr>
                  <w:tcW w:w="427" w:type="dxa"/>
                  <w:tcBorders>
                    <w:tl2br w:val="nil"/>
                    <w:tr2bl w:val="nil"/>
                  </w:tcBorders>
                  <w:noWrap w:val="0"/>
                  <w:vAlign w:val="center"/>
                </w:tcPr>
                <w:p w14:paraId="587FFA9A">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64</w:t>
                  </w:r>
                </w:p>
              </w:tc>
              <w:tc>
                <w:tcPr>
                  <w:tcW w:w="432" w:type="dxa"/>
                  <w:tcBorders>
                    <w:tl2br w:val="nil"/>
                    <w:tr2bl w:val="nil"/>
                  </w:tcBorders>
                  <w:noWrap w:val="0"/>
                  <w:vAlign w:val="center"/>
                </w:tcPr>
                <w:p w14:paraId="562AF745">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47</w:t>
                  </w:r>
                </w:p>
              </w:tc>
              <w:tc>
                <w:tcPr>
                  <w:tcW w:w="427" w:type="dxa"/>
                  <w:tcBorders>
                    <w:tl2br w:val="nil"/>
                    <w:tr2bl w:val="nil"/>
                  </w:tcBorders>
                  <w:noWrap w:val="0"/>
                  <w:vAlign w:val="center"/>
                </w:tcPr>
                <w:p w14:paraId="35B76F84">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70</w:t>
                  </w:r>
                </w:p>
              </w:tc>
              <w:tc>
                <w:tcPr>
                  <w:tcW w:w="708" w:type="dxa"/>
                  <w:tcBorders>
                    <w:tl2br w:val="nil"/>
                    <w:tr2bl w:val="nil"/>
                  </w:tcBorders>
                  <w:noWrap w:val="0"/>
                  <w:vAlign w:val="center"/>
                </w:tcPr>
                <w:p w14:paraId="12771E9C">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4408618D">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5923C06">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C58FCEB">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A50DD16">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8DCB22A">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27" w:type="dxa"/>
                  <w:tcBorders>
                    <w:tl2br w:val="nil"/>
                    <w:tr2bl w:val="nil"/>
                  </w:tcBorders>
                  <w:noWrap w:val="0"/>
                  <w:vAlign w:val="center"/>
                </w:tcPr>
                <w:p w14:paraId="73853FC9">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39</w:t>
                  </w:r>
                </w:p>
              </w:tc>
              <w:tc>
                <w:tcPr>
                  <w:tcW w:w="427" w:type="dxa"/>
                  <w:tcBorders>
                    <w:tl2br w:val="nil"/>
                    <w:tr2bl w:val="nil"/>
                  </w:tcBorders>
                  <w:noWrap w:val="0"/>
                  <w:vAlign w:val="center"/>
                </w:tcPr>
                <w:p w14:paraId="0EC35D95">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22</w:t>
                  </w:r>
                </w:p>
              </w:tc>
              <w:tc>
                <w:tcPr>
                  <w:tcW w:w="427" w:type="dxa"/>
                  <w:tcBorders>
                    <w:tl2br w:val="nil"/>
                    <w:tr2bl w:val="nil"/>
                  </w:tcBorders>
                  <w:noWrap w:val="0"/>
                  <w:vAlign w:val="center"/>
                </w:tcPr>
                <w:p w14:paraId="0840BA7C">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45</w:t>
                  </w:r>
                </w:p>
              </w:tc>
              <w:tc>
                <w:tcPr>
                  <w:tcW w:w="427" w:type="dxa"/>
                  <w:tcBorders>
                    <w:tl2br w:val="nil"/>
                    <w:tr2bl w:val="nil"/>
                  </w:tcBorders>
                  <w:noWrap w:val="0"/>
                  <w:vAlign w:val="center"/>
                </w:tcPr>
                <w:p w14:paraId="1D11784B">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7070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08889607">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4</w:t>
                  </w:r>
                </w:p>
              </w:tc>
              <w:tc>
                <w:tcPr>
                  <w:tcW w:w="438" w:type="dxa"/>
                  <w:vMerge w:val="continue"/>
                  <w:tcBorders>
                    <w:tl2br w:val="nil"/>
                    <w:tr2bl w:val="nil"/>
                  </w:tcBorders>
                  <w:noWrap w:val="0"/>
                  <w:vAlign w:val="center"/>
                </w:tcPr>
                <w:p w14:paraId="5C6697CE">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6332D884">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倒角机</w:t>
                  </w:r>
                </w:p>
              </w:tc>
              <w:tc>
                <w:tcPr>
                  <w:tcW w:w="774" w:type="dxa"/>
                  <w:tcBorders>
                    <w:tl2br w:val="nil"/>
                    <w:tr2bl w:val="nil"/>
                  </w:tcBorders>
                  <w:noWrap w:val="0"/>
                  <w:vAlign w:val="center"/>
                </w:tcPr>
                <w:p w14:paraId="0486425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3E37A868">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85.68</w:t>
                  </w:r>
                </w:p>
              </w:tc>
              <w:tc>
                <w:tcPr>
                  <w:tcW w:w="636" w:type="dxa"/>
                  <w:vMerge w:val="continue"/>
                  <w:tcBorders>
                    <w:tl2br w:val="nil"/>
                    <w:tr2bl w:val="nil"/>
                  </w:tcBorders>
                  <w:noWrap w:val="0"/>
                  <w:vAlign w:val="center"/>
                </w:tcPr>
                <w:p w14:paraId="11EF6A4C">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2FE13DE9">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74</w:t>
                  </w:r>
                </w:p>
              </w:tc>
              <w:tc>
                <w:tcPr>
                  <w:tcW w:w="531" w:type="dxa"/>
                  <w:tcBorders>
                    <w:tl2br w:val="nil"/>
                    <w:tr2bl w:val="nil"/>
                  </w:tcBorders>
                  <w:noWrap w:val="0"/>
                  <w:vAlign w:val="center"/>
                </w:tcPr>
                <w:p w14:paraId="31B2E8DC">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40</w:t>
                  </w:r>
                </w:p>
              </w:tc>
              <w:tc>
                <w:tcPr>
                  <w:tcW w:w="479" w:type="dxa"/>
                  <w:tcBorders>
                    <w:tl2br w:val="nil"/>
                    <w:tr2bl w:val="nil"/>
                  </w:tcBorders>
                  <w:noWrap w:val="0"/>
                  <w:vAlign w:val="center"/>
                </w:tcPr>
                <w:p w14:paraId="21BE1A4C">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noWrap w:val="0"/>
                  <w:vAlign w:val="center"/>
                </w:tcPr>
                <w:p w14:paraId="5AB86DFC">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15</w:t>
                  </w:r>
                </w:p>
              </w:tc>
              <w:tc>
                <w:tcPr>
                  <w:tcW w:w="505" w:type="dxa"/>
                  <w:tcBorders>
                    <w:tl2br w:val="nil"/>
                    <w:tr2bl w:val="nil"/>
                  </w:tcBorders>
                  <w:shd w:val="clear" w:color="auto" w:fill="auto"/>
                  <w:noWrap w:val="0"/>
                  <w:vAlign w:val="center"/>
                </w:tcPr>
                <w:p w14:paraId="3FCFD38E">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427" w:type="dxa"/>
                  <w:tcBorders>
                    <w:tl2br w:val="nil"/>
                    <w:tr2bl w:val="nil"/>
                  </w:tcBorders>
                  <w:shd w:val="clear" w:color="auto" w:fill="auto"/>
                  <w:noWrap w:val="0"/>
                  <w:vAlign w:val="center"/>
                </w:tcPr>
                <w:p w14:paraId="03A97820">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74</w:t>
                  </w:r>
                </w:p>
              </w:tc>
              <w:tc>
                <w:tcPr>
                  <w:tcW w:w="429" w:type="dxa"/>
                  <w:tcBorders>
                    <w:tl2br w:val="nil"/>
                    <w:tr2bl w:val="nil"/>
                  </w:tcBorders>
                  <w:noWrap w:val="0"/>
                  <w:vAlign w:val="center"/>
                </w:tcPr>
                <w:p w14:paraId="39090844">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0B643340">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62</w:t>
                  </w:r>
                </w:p>
              </w:tc>
              <w:tc>
                <w:tcPr>
                  <w:tcW w:w="427" w:type="dxa"/>
                  <w:tcBorders>
                    <w:tl2br w:val="nil"/>
                    <w:tr2bl w:val="nil"/>
                  </w:tcBorders>
                  <w:noWrap w:val="0"/>
                  <w:vAlign w:val="center"/>
                </w:tcPr>
                <w:p w14:paraId="3487A4B4">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66</w:t>
                  </w:r>
                </w:p>
              </w:tc>
              <w:tc>
                <w:tcPr>
                  <w:tcW w:w="432" w:type="dxa"/>
                  <w:tcBorders>
                    <w:tl2br w:val="nil"/>
                    <w:tr2bl w:val="nil"/>
                  </w:tcBorders>
                  <w:noWrap w:val="0"/>
                  <w:vAlign w:val="center"/>
                </w:tcPr>
                <w:p w14:paraId="37ED48F2">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48</w:t>
                  </w:r>
                </w:p>
              </w:tc>
              <w:tc>
                <w:tcPr>
                  <w:tcW w:w="427" w:type="dxa"/>
                  <w:tcBorders>
                    <w:tl2br w:val="nil"/>
                    <w:tr2bl w:val="nil"/>
                  </w:tcBorders>
                  <w:noWrap w:val="0"/>
                  <w:vAlign w:val="center"/>
                </w:tcPr>
                <w:p w14:paraId="3903B20E">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71</w:t>
                  </w:r>
                </w:p>
              </w:tc>
              <w:tc>
                <w:tcPr>
                  <w:tcW w:w="708" w:type="dxa"/>
                  <w:tcBorders>
                    <w:tl2br w:val="nil"/>
                    <w:tr2bl w:val="nil"/>
                  </w:tcBorders>
                  <w:noWrap w:val="0"/>
                  <w:vAlign w:val="center"/>
                </w:tcPr>
                <w:p w14:paraId="25B1F099">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599E90FB">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C89148D">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7D7439A7">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413D2E21">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63F98D5">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27" w:type="dxa"/>
                  <w:tcBorders>
                    <w:tl2br w:val="nil"/>
                    <w:tr2bl w:val="nil"/>
                  </w:tcBorders>
                  <w:noWrap w:val="0"/>
                  <w:vAlign w:val="center"/>
                </w:tcPr>
                <w:p w14:paraId="6BD1C6EC">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41</w:t>
                  </w:r>
                </w:p>
              </w:tc>
              <w:tc>
                <w:tcPr>
                  <w:tcW w:w="427" w:type="dxa"/>
                  <w:tcBorders>
                    <w:tl2br w:val="nil"/>
                    <w:tr2bl w:val="nil"/>
                  </w:tcBorders>
                  <w:noWrap w:val="0"/>
                  <w:vAlign w:val="center"/>
                </w:tcPr>
                <w:p w14:paraId="08CA7E75">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23</w:t>
                  </w:r>
                </w:p>
              </w:tc>
              <w:tc>
                <w:tcPr>
                  <w:tcW w:w="427" w:type="dxa"/>
                  <w:tcBorders>
                    <w:tl2br w:val="nil"/>
                    <w:tr2bl w:val="nil"/>
                  </w:tcBorders>
                  <w:noWrap w:val="0"/>
                  <w:vAlign w:val="center"/>
                </w:tcPr>
                <w:p w14:paraId="2A5F1D8E">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46</w:t>
                  </w:r>
                </w:p>
              </w:tc>
              <w:tc>
                <w:tcPr>
                  <w:tcW w:w="427" w:type="dxa"/>
                  <w:tcBorders>
                    <w:tl2br w:val="nil"/>
                    <w:tr2bl w:val="nil"/>
                  </w:tcBorders>
                  <w:noWrap w:val="0"/>
                  <w:vAlign w:val="center"/>
                </w:tcPr>
                <w:p w14:paraId="6B2F867F">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7C69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4758427A">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w:t>
                  </w:r>
                </w:p>
              </w:tc>
              <w:tc>
                <w:tcPr>
                  <w:tcW w:w="438" w:type="dxa"/>
                  <w:vMerge w:val="continue"/>
                  <w:tcBorders>
                    <w:tl2br w:val="nil"/>
                    <w:tr2bl w:val="nil"/>
                  </w:tcBorders>
                  <w:noWrap w:val="0"/>
                  <w:vAlign w:val="center"/>
                </w:tcPr>
                <w:p w14:paraId="3485F667">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6DB16AC1">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焊机</w:t>
                  </w:r>
                </w:p>
              </w:tc>
              <w:tc>
                <w:tcPr>
                  <w:tcW w:w="774" w:type="dxa"/>
                  <w:tcBorders>
                    <w:tl2br w:val="nil"/>
                    <w:tr2bl w:val="nil"/>
                  </w:tcBorders>
                  <w:noWrap w:val="0"/>
                  <w:vAlign w:val="center"/>
                </w:tcPr>
                <w:p w14:paraId="482AF5D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75FCE3A2">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636" w:type="dxa"/>
                  <w:vMerge w:val="continue"/>
                  <w:tcBorders>
                    <w:tl2br w:val="nil"/>
                    <w:tr2bl w:val="nil"/>
                  </w:tcBorders>
                  <w:noWrap w:val="0"/>
                  <w:vAlign w:val="center"/>
                </w:tcPr>
                <w:p w14:paraId="7782E477">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37DE1AF2">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66</w:t>
                  </w:r>
                </w:p>
              </w:tc>
              <w:tc>
                <w:tcPr>
                  <w:tcW w:w="531" w:type="dxa"/>
                  <w:tcBorders>
                    <w:tl2br w:val="nil"/>
                    <w:tr2bl w:val="nil"/>
                  </w:tcBorders>
                  <w:noWrap w:val="0"/>
                  <w:vAlign w:val="center"/>
                </w:tcPr>
                <w:p w14:paraId="2C875D27">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479" w:type="dxa"/>
                  <w:tcBorders>
                    <w:tl2br w:val="nil"/>
                    <w:tr2bl w:val="nil"/>
                  </w:tcBorders>
                  <w:noWrap w:val="0"/>
                  <w:vAlign w:val="center"/>
                </w:tcPr>
                <w:p w14:paraId="10E20D14">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shd w:val="clear" w:color="auto" w:fill="auto"/>
                  <w:noWrap w:val="0"/>
                  <w:vAlign w:val="center"/>
                </w:tcPr>
                <w:p w14:paraId="661B884A">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24</w:t>
                  </w:r>
                </w:p>
              </w:tc>
              <w:tc>
                <w:tcPr>
                  <w:tcW w:w="505" w:type="dxa"/>
                  <w:tcBorders>
                    <w:tl2br w:val="nil"/>
                    <w:tr2bl w:val="nil"/>
                  </w:tcBorders>
                  <w:shd w:val="clear" w:color="auto" w:fill="auto"/>
                  <w:noWrap w:val="0"/>
                  <w:vAlign w:val="center"/>
                </w:tcPr>
                <w:p w14:paraId="6D21F10F">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427" w:type="dxa"/>
                  <w:tcBorders>
                    <w:tl2br w:val="nil"/>
                    <w:tr2bl w:val="nil"/>
                  </w:tcBorders>
                  <w:shd w:val="clear" w:color="auto" w:fill="auto"/>
                  <w:noWrap w:val="0"/>
                  <w:vAlign w:val="center"/>
                </w:tcPr>
                <w:p w14:paraId="7EEE7EAE">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66</w:t>
                  </w:r>
                </w:p>
              </w:tc>
              <w:tc>
                <w:tcPr>
                  <w:tcW w:w="429" w:type="dxa"/>
                  <w:tcBorders>
                    <w:tl2br w:val="nil"/>
                    <w:tr2bl w:val="nil"/>
                  </w:tcBorders>
                  <w:noWrap w:val="0"/>
                  <w:vAlign w:val="center"/>
                </w:tcPr>
                <w:p w14:paraId="00C93ED3">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75AD1764">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57</w:t>
                  </w:r>
                </w:p>
              </w:tc>
              <w:tc>
                <w:tcPr>
                  <w:tcW w:w="427" w:type="dxa"/>
                  <w:tcBorders>
                    <w:tl2br w:val="nil"/>
                    <w:tr2bl w:val="nil"/>
                  </w:tcBorders>
                  <w:noWrap w:val="0"/>
                  <w:vAlign w:val="center"/>
                </w:tcPr>
                <w:p w14:paraId="3C372210">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71</w:t>
                  </w:r>
                </w:p>
              </w:tc>
              <w:tc>
                <w:tcPr>
                  <w:tcW w:w="432" w:type="dxa"/>
                  <w:tcBorders>
                    <w:tl2br w:val="nil"/>
                    <w:tr2bl w:val="nil"/>
                  </w:tcBorders>
                  <w:noWrap w:val="0"/>
                  <w:vAlign w:val="center"/>
                </w:tcPr>
                <w:p w14:paraId="6BE9187C">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48</w:t>
                  </w:r>
                </w:p>
              </w:tc>
              <w:tc>
                <w:tcPr>
                  <w:tcW w:w="427" w:type="dxa"/>
                  <w:tcBorders>
                    <w:tl2br w:val="nil"/>
                    <w:tr2bl w:val="nil"/>
                  </w:tcBorders>
                  <w:noWrap w:val="0"/>
                  <w:vAlign w:val="center"/>
                </w:tcPr>
                <w:p w14:paraId="16C465F6">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71</w:t>
                  </w:r>
                </w:p>
              </w:tc>
              <w:tc>
                <w:tcPr>
                  <w:tcW w:w="708" w:type="dxa"/>
                  <w:tcBorders>
                    <w:tl2br w:val="nil"/>
                    <w:tr2bl w:val="nil"/>
                  </w:tcBorders>
                  <w:noWrap w:val="0"/>
                  <w:vAlign w:val="center"/>
                </w:tcPr>
                <w:p w14:paraId="39BA8323">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5AC36F9D">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B16FB0E">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B96A93B">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4F69241">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3313CF42">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27" w:type="dxa"/>
                  <w:tcBorders>
                    <w:tl2br w:val="nil"/>
                    <w:tr2bl w:val="nil"/>
                  </w:tcBorders>
                  <w:noWrap w:val="0"/>
                  <w:vAlign w:val="center"/>
                </w:tcPr>
                <w:p w14:paraId="13E8DB13">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46</w:t>
                  </w:r>
                </w:p>
              </w:tc>
              <w:tc>
                <w:tcPr>
                  <w:tcW w:w="427" w:type="dxa"/>
                  <w:tcBorders>
                    <w:tl2br w:val="nil"/>
                    <w:tr2bl w:val="nil"/>
                  </w:tcBorders>
                  <w:noWrap w:val="0"/>
                  <w:vAlign w:val="center"/>
                </w:tcPr>
                <w:p w14:paraId="37761624">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23</w:t>
                  </w:r>
                </w:p>
              </w:tc>
              <w:tc>
                <w:tcPr>
                  <w:tcW w:w="427" w:type="dxa"/>
                  <w:tcBorders>
                    <w:tl2br w:val="nil"/>
                    <w:tr2bl w:val="nil"/>
                  </w:tcBorders>
                  <w:noWrap w:val="0"/>
                  <w:vAlign w:val="center"/>
                </w:tcPr>
                <w:p w14:paraId="6608581B">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46</w:t>
                  </w:r>
                </w:p>
              </w:tc>
              <w:tc>
                <w:tcPr>
                  <w:tcW w:w="427" w:type="dxa"/>
                  <w:tcBorders>
                    <w:tl2br w:val="nil"/>
                    <w:tr2bl w:val="nil"/>
                  </w:tcBorders>
                  <w:noWrap w:val="0"/>
                  <w:vAlign w:val="center"/>
                </w:tcPr>
                <w:p w14:paraId="36EB72E8">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33BC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1AFA5861">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w:t>
                  </w:r>
                </w:p>
              </w:tc>
              <w:tc>
                <w:tcPr>
                  <w:tcW w:w="438" w:type="dxa"/>
                  <w:vMerge w:val="continue"/>
                  <w:tcBorders>
                    <w:tl2br w:val="nil"/>
                    <w:tr2bl w:val="nil"/>
                  </w:tcBorders>
                  <w:noWrap w:val="0"/>
                  <w:vAlign w:val="center"/>
                </w:tcPr>
                <w:p w14:paraId="03BA0F98">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6F2D3498">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磨床线</w:t>
                  </w:r>
                </w:p>
              </w:tc>
              <w:tc>
                <w:tcPr>
                  <w:tcW w:w="774" w:type="dxa"/>
                  <w:tcBorders>
                    <w:tl2br w:val="nil"/>
                    <w:tr2bl w:val="nil"/>
                  </w:tcBorders>
                  <w:noWrap w:val="0"/>
                  <w:vAlign w:val="center"/>
                </w:tcPr>
                <w:p w14:paraId="698ADDC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r>
                    <w:rPr>
                      <w:rFonts w:hint="eastAsia" w:ascii="宋体" w:hAnsi="宋体" w:eastAsia="宋体" w:cs="宋体"/>
                      <w:i w:val="0"/>
                      <w:iCs w:val="0"/>
                      <w:color w:val="auto"/>
                      <w:kern w:val="0"/>
                      <w:sz w:val="21"/>
                      <w:szCs w:val="21"/>
                      <w:u w:val="none"/>
                      <w:lang w:val="en-US" w:eastAsia="zh-CN" w:bidi="ar"/>
                    </w:rPr>
                    <w:t>条</w:t>
                  </w:r>
                </w:p>
              </w:tc>
              <w:tc>
                <w:tcPr>
                  <w:tcW w:w="823" w:type="dxa"/>
                  <w:tcBorders>
                    <w:tl2br w:val="nil"/>
                    <w:tr2bl w:val="nil"/>
                  </w:tcBorders>
                  <w:noWrap w:val="0"/>
                  <w:vAlign w:val="center"/>
                </w:tcPr>
                <w:p w14:paraId="08BF8C1E">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84.03</w:t>
                  </w:r>
                </w:p>
              </w:tc>
              <w:tc>
                <w:tcPr>
                  <w:tcW w:w="636" w:type="dxa"/>
                  <w:vMerge w:val="continue"/>
                  <w:tcBorders>
                    <w:tl2br w:val="nil"/>
                    <w:tr2bl w:val="nil"/>
                  </w:tcBorders>
                  <w:noWrap w:val="0"/>
                  <w:vAlign w:val="center"/>
                </w:tcPr>
                <w:p w14:paraId="660FFBC1">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3085D6AF">
                  <w:pPr>
                    <w:widowControl/>
                    <w:spacing w:line="0" w:lineRule="atLeast"/>
                    <w:jc w:val="center"/>
                    <w:textAlignment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70</w:t>
                  </w:r>
                </w:p>
              </w:tc>
              <w:tc>
                <w:tcPr>
                  <w:tcW w:w="531" w:type="dxa"/>
                  <w:tcBorders>
                    <w:tl2br w:val="nil"/>
                    <w:tr2bl w:val="nil"/>
                  </w:tcBorders>
                  <w:noWrap w:val="0"/>
                  <w:vAlign w:val="center"/>
                </w:tcPr>
                <w:p w14:paraId="247B6CDD">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479" w:type="dxa"/>
                  <w:tcBorders>
                    <w:tl2br w:val="nil"/>
                    <w:tr2bl w:val="nil"/>
                  </w:tcBorders>
                  <w:noWrap w:val="0"/>
                  <w:vAlign w:val="center"/>
                </w:tcPr>
                <w:p w14:paraId="73DAB1CE">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shd w:val="clear" w:color="auto" w:fill="auto"/>
                  <w:noWrap w:val="0"/>
                  <w:vAlign w:val="center"/>
                </w:tcPr>
                <w:p w14:paraId="21C2C17C">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22</w:t>
                  </w:r>
                </w:p>
              </w:tc>
              <w:tc>
                <w:tcPr>
                  <w:tcW w:w="505" w:type="dxa"/>
                  <w:tcBorders>
                    <w:tl2br w:val="nil"/>
                    <w:tr2bl w:val="nil"/>
                  </w:tcBorders>
                  <w:shd w:val="clear" w:color="auto" w:fill="auto"/>
                  <w:noWrap w:val="0"/>
                  <w:vAlign w:val="center"/>
                </w:tcPr>
                <w:p w14:paraId="20EAB00D">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427" w:type="dxa"/>
                  <w:tcBorders>
                    <w:tl2br w:val="nil"/>
                    <w:tr2bl w:val="nil"/>
                  </w:tcBorders>
                  <w:shd w:val="clear" w:color="auto" w:fill="auto"/>
                  <w:noWrap w:val="0"/>
                  <w:vAlign w:val="center"/>
                </w:tcPr>
                <w:p w14:paraId="57EE1FAC">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70</w:t>
                  </w:r>
                </w:p>
              </w:tc>
              <w:tc>
                <w:tcPr>
                  <w:tcW w:w="429" w:type="dxa"/>
                  <w:tcBorders>
                    <w:tl2br w:val="nil"/>
                    <w:tr2bl w:val="nil"/>
                  </w:tcBorders>
                  <w:noWrap w:val="0"/>
                  <w:vAlign w:val="center"/>
                </w:tcPr>
                <w:p w14:paraId="31F9FD4D">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7800B077">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57</w:t>
                  </w:r>
                </w:p>
              </w:tc>
              <w:tc>
                <w:tcPr>
                  <w:tcW w:w="427" w:type="dxa"/>
                  <w:tcBorders>
                    <w:tl2br w:val="nil"/>
                    <w:tr2bl w:val="nil"/>
                  </w:tcBorders>
                  <w:noWrap w:val="0"/>
                  <w:vAlign w:val="center"/>
                </w:tcPr>
                <w:p w14:paraId="6141AFC0">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70</w:t>
                  </w:r>
                </w:p>
              </w:tc>
              <w:tc>
                <w:tcPr>
                  <w:tcW w:w="432" w:type="dxa"/>
                  <w:tcBorders>
                    <w:tl2br w:val="nil"/>
                    <w:tr2bl w:val="nil"/>
                  </w:tcBorders>
                  <w:noWrap w:val="0"/>
                  <w:vAlign w:val="center"/>
                </w:tcPr>
                <w:p w14:paraId="5B5576DF">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47</w:t>
                  </w:r>
                </w:p>
              </w:tc>
              <w:tc>
                <w:tcPr>
                  <w:tcW w:w="427" w:type="dxa"/>
                  <w:tcBorders>
                    <w:tl2br w:val="nil"/>
                    <w:tr2bl w:val="nil"/>
                  </w:tcBorders>
                  <w:noWrap w:val="0"/>
                  <w:vAlign w:val="center"/>
                </w:tcPr>
                <w:p w14:paraId="361A737D">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70</w:t>
                  </w:r>
                </w:p>
              </w:tc>
              <w:tc>
                <w:tcPr>
                  <w:tcW w:w="708" w:type="dxa"/>
                  <w:tcBorders>
                    <w:tl2br w:val="nil"/>
                    <w:tr2bl w:val="nil"/>
                  </w:tcBorders>
                  <w:noWrap w:val="0"/>
                  <w:vAlign w:val="center"/>
                </w:tcPr>
                <w:p w14:paraId="5B8D2C39">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135228F3">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09D510E">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7D169EAD">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257C958">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D499B20">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27" w:type="dxa"/>
                  <w:tcBorders>
                    <w:tl2br w:val="nil"/>
                    <w:tr2bl w:val="nil"/>
                  </w:tcBorders>
                  <w:noWrap w:val="0"/>
                  <w:vAlign w:val="center"/>
                </w:tcPr>
                <w:p w14:paraId="7366DC05">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45</w:t>
                  </w:r>
                </w:p>
              </w:tc>
              <w:tc>
                <w:tcPr>
                  <w:tcW w:w="427" w:type="dxa"/>
                  <w:tcBorders>
                    <w:tl2br w:val="nil"/>
                    <w:tr2bl w:val="nil"/>
                  </w:tcBorders>
                  <w:noWrap w:val="0"/>
                  <w:vAlign w:val="center"/>
                </w:tcPr>
                <w:p w14:paraId="1B2B4859">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22</w:t>
                  </w:r>
                </w:p>
              </w:tc>
              <w:tc>
                <w:tcPr>
                  <w:tcW w:w="427" w:type="dxa"/>
                  <w:tcBorders>
                    <w:tl2br w:val="nil"/>
                    <w:tr2bl w:val="nil"/>
                  </w:tcBorders>
                  <w:noWrap w:val="0"/>
                  <w:vAlign w:val="center"/>
                </w:tcPr>
                <w:p w14:paraId="798703DA">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45</w:t>
                  </w:r>
                </w:p>
              </w:tc>
              <w:tc>
                <w:tcPr>
                  <w:tcW w:w="427" w:type="dxa"/>
                  <w:tcBorders>
                    <w:tl2br w:val="nil"/>
                    <w:tr2bl w:val="nil"/>
                  </w:tcBorders>
                  <w:noWrap w:val="0"/>
                  <w:vAlign w:val="center"/>
                </w:tcPr>
                <w:p w14:paraId="2E04949A">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3B3A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6340DE45">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w:t>
                  </w:r>
                </w:p>
              </w:tc>
              <w:tc>
                <w:tcPr>
                  <w:tcW w:w="438" w:type="dxa"/>
                  <w:vMerge w:val="continue"/>
                  <w:tcBorders>
                    <w:tl2br w:val="nil"/>
                    <w:tr2bl w:val="nil"/>
                  </w:tcBorders>
                  <w:noWrap w:val="0"/>
                  <w:vAlign w:val="center"/>
                </w:tcPr>
                <w:p w14:paraId="643CC32A">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32DA8819">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扩口机</w:t>
                  </w:r>
                </w:p>
              </w:tc>
              <w:tc>
                <w:tcPr>
                  <w:tcW w:w="774" w:type="dxa"/>
                  <w:tcBorders>
                    <w:tl2br w:val="nil"/>
                    <w:tr2bl w:val="nil"/>
                  </w:tcBorders>
                  <w:noWrap w:val="0"/>
                  <w:vAlign w:val="center"/>
                </w:tcPr>
                <w:p w14:paraId="6972AD8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7CC82EBF">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73.01</w:t>
                  </w:r>
                </w:p>
              </w:tc>
              <w:tc>
                <w:tcPr>
                  <w:tcW w:w="636" w:type="dxa"/>
                  <w:vMerge w:val="continue"/>
                  <w:tcBorders>
                    <w:tl2br w:val="nil"/>
                    <w:tr2bl w:val="nil"/>
                  </w:tcBorders>
                  <w:noWrap w:val="0"/>
                  <w:vAlign w:val="center"/>
                </w:tcPr>
                <w:p w14:paraId="609AE4A4">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0630AE9B">
                  <w:pPr>
                    <w:widowControl/>
                    <w:spacing w:line="0" w:lineRule="atLeast"/>
                    <w:jc w:val="center"/>
                    <w:textAlignment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74</w:t>
                  </w:r>
                </w:p>
              </w:tc>
              <w:tc>
                <w:tcPr>
                  <w:tcW w:w="531" w:type="dxa"/>
                  <w:tcBorders>
                    <w:tl2br w:val="nil"/>
                    <w:tr2bl w:val="nil"/>
                  </w:tcBorders>
                  <w:noWrap w:val="0"/>
                  <w:vAlign w:val="center"/>
                </w:tcPr>
                <w:p w14:paraId="35AD91AF">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479" w:type="dxa"/>
                  <w:tcBorders>
                    <w:tl2br w:val="nil"/>
                    <w:tr2bl w:val="nil"/>
                  </w:tcBorders>
                  <w:noWrap w:val="0"/>
                  <w:vAlign w:val="center"/>
                </w:tcPr>
                <w:p w14:paraId="42745346">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shd w:val="clear" w:color="auto" w:fill="auto"/>
                  <w:noWrap w:val="0"/>
                  <w:vAlign w:val="center"/>
                </w:tcPr>
                <w:p w14:paraId="181607FD">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15</w:t>
                  </w:r>
                </w:p>
              </w:tc>
              <w:tc>
                <w:tcPr>
                  <w:tcW w:w="505" w:type="dxa"/>
                  <w:tcBorders>
                    <w:tl2br w:val="nil"/>
                    <w:tr2bl w:val="nil"/>
                  </w:tcBorders>
                  <w:shd w:val="clear" w:color="auto" w:fill="auto"/>
                  <w:noWrap w:val="0"/>
                  <w:vAlign w:val="center"/>
                </w:tcPr>
                <w:p w14:paraId="71905869">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427" w:type="dxa"/>
                  <w:tcBorders>
                    <w:tl2br w:val="nil"/>
                    <w:tr2bl w:val="nil"/>
                  </w:tcBorders>
                  <w:shd w:val="clear" w:color="auto" w:fill="auto"/>
                  <w:noWrap w:val="0"/>
                  <w:vAlign w:val="center"/>
                </w:tcPr>
                <w:p w14:paraId="776FB471">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74</w:t>
                  </w:r>
                </w:p>
              </w:tc>
              <w:tc>
                <w:tcPr>
                  <w:tcW w:w="429" w:type="dxa"/>
                  <w:tcBorders>
                    <w:tl2br w:val="nil"/>
                    <w:tr2bl w:val="nil"/>
                  </w:tcBorders>
                  <w:noWrap w:val="0"/>
                  <w:vAlign w:val="center"/>
                </w:tcPr>
                <w:p w14:paraId="0571162F">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285403A1">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49</w:t>
                  </w:r>
                </w:p>
              </w:tc>
              <w:tc>
                <w:tcPr>
                  <w:tcW w:w="427" w:type="dxa"/>
                  <w:tcBorders>
                    <w:tl2br w:val="nil"/>
                    <w:tr2bl w:val="nil"/>
                  </w:tcBorders>
                  <w:noWrap w:val="0"/>
                  <w:vAlign w:val="center"/>
                </w:tcPr>
                <w:p w14:paraId="28F6CB72">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59</w:t>
                  </w:r>
                </w:p>
              </w:tc>
              <w:tc>
                <w:tcPr>
                  <w:tcW w:w="432" w:type="dxa"/>
                  <w:tcBorders>
                    <w:tl2br w:val="nil"/>
                    <w:tr2bl w:val="nil"/>
                  </w:tcBorders>
                  <w:noWrap w:val="0"/>
                  <w:vAlign w:val="center"/>
                </w:tcPr>
                <w:p w14:paraId="1040B887">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35</w:t>
                  </w:r>
                </w:p>
              </w:tc>
              <w:tc>
                <w:tcPr>
                  <w:tcW w:w="427" w:type="dxa"/>
                  <w:tcBorders>
                    <w:tl2br w:val="nil"/>
                    <w:tr2bl w:val="nil"/>
                  </w:tcBorders>
                  <w:noWrap w:val="0"/>
                  <w:vAlign w:val="center"/>
                </w:tcPr>
                <w:p w14:paraId="1426BE14">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59</w:t>
                  </w:r>
                </w:p>
              </w:tc>
              <w:tc>
                <w:tcPr>
                  <w:tcW w:w="708" w:type="dxa"/>
                  <w:tcBorders>
                    <w:tl2br w:val="nil"/>
                    <w:tr2bl w:val="nil"/>
                  </w:tcBorders>
                  <w:noWrap w:val="0"/>
                  <w:vAlign w:val="center"/>
                </w:tcPr>
                <w:p w14:paraId="4148EADE">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611A92B1">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E62445E">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390E308">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4BFF0170">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1E52FB36">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tcBorders>
                    <w:tl2br w:val="nil"/>
                    <w:tr2bl w:val="nil"/>
                  </w:tcBorders>
                  <w:noWrap w:val="0"/>
                  <w:vAlign w:val="center"/>
                </w:tcPr>
                <w:p w14:paraId="3A3D0DB9">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34</w:t>
                  </w:r>
                </w:p>
              </w:tc>
              <w:tc>
                <w:tcPr>
                  <w:tcW w:w="427" w:type="dxa"/>
                  <w:tcBorders>
                    <w:tl2br w:val="nil"/>
                    <w:tr2bl w:val="nil"/>
                  </w:tcBorders>
                  <w:noWrap w:val="0"/>
                  <w:vAlign w:val="center"/>
                </w:tcPr>
                <w:p w14:paraId="3951C0BB">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10</w:t>
                  </w:r>
                </w:p>
              </w:tc>
              <w:tc>
                <w:tcPr>
                  <w:tcW w:w="427" w:type="dxa"/>
                  <w:tcBorders>
                    <w:tl2br w:val="nil"/>
                    <w:tr2bl w:val="nil"/>
                  </w:tcBorders>
                  <w:noWrap w:val="0"/>
                  <w:vAlign w:val="center"/>
                </w:tcPr>
                <w:p w14:paraId="2F0C719B">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34</w:t>
                  </w:r>
                </w:p>
              </w:tc>
              <w:tc>
                <w:tcPr>
                  <w:tcW w:w="427" w:type="dxa"/>
                  <w:tcBorders>
                    <w:tl2br w:val="nil"/>
                    <w:tr2bl w:val="nil"/>
                  </w:tcBorders>
                  <w:noWrap w:val="0"/>
                  <w:vAlign w:val="center"/>
                </w:tcPr>
                <w:p w14:paraId="5EF697DB">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7091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2D9070F7">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8</w:t>
                  </w:r>
                </w:p>
              </w:tc>
              <w:tc>
                <w:tcPr>
                  <w:tcW w:w="438" w:type="dxa"/>
                  <w:vMerge w:val="continue"/>
                  <w:tcBorders>
                    <w:tl2br w:val="nil"/>
                    <w:tr2bl w:val="nil"/>
                  </w:tcBorders>
                  <w:noWrap w:val="0"/>
                  <w:vAlign w:val="center"/>
                </w:tcPr>
                <w:p w14:paraId="28F32E4F">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4CC787AF">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洗管机</w:t>
                  </w:r>
                </w:p>
              </w:tc>
              <w:tc>
                <w:tcPr>
                  <w:tcW w:w="774" w:type="dxa"/>
                  <w:tcBorders>
                    <w:tl2br w:val="nil"/>
                    <w:tr2bl w:val="nil"/>
                  </w:tcBorders>
                  <w:noWrap w:val="0"/>
                  <w:vAlign w:val="center"/>
                </w:tcPr>
                <w:p w14:paraId="3F3B9D3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76D6712A">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76.02</w:t>
                  </w:r>
                </w:p>
              </w:tc>
              <w:tc>
                <w:tcPr>
                  <w:tcW w:w="636" w:type="dxa"/>
                  <w:vMerge w:val="continue"/>
                  <w:tcBorders>
                    <w:tl2br w:val="nil"/>
                    <w:tr2bl w:val="nil"/>
                  </w:tcBorders>
                  <w:noWrap w:val="0"/>
                  <w:vAlign w:val="center"/>
                </w:tcPr>
                <w:p w14:paraId="38880F54">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3A10322E">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25</w:t>
                  </w:r>
                </w:p>
              </w:tc>
              <w:tc>
                <w:tcPr>
                  <w:tcW w:w="531" w:type="dxa"/>
                  <w:tcBorders>
                    <w:tl2br w:val="nil"/>
                    <w:tr2bl w:val="nil"/>
                  </w:tcBorders>
                  <w:noWrap w:val="0"/>
                  <w:vAlign w:val="center"/>
                </w:tcPr>
                <w:p w14:paraId="2F16A51D">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95</w:t>
                  </w:r>
                </w:p>
              </w:tc>
              <w:tc>
                <w:tcPr>
                  <w:tcW w:w="479" w:type="dxa"/>
                  <w:tcBorders>
                    <w:tl2br w:val="nil"/>
                    <w:tr2bl w:val="nil"/>
                  </w:tcBorders>
                  <w:noWrap w:val="0"/>
                  <w:vAlign w:val="center"/>
                </w:tcPr>
                <w:p w14:paraId="53CAE510">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noWrap w:val="0"/>
                  <w:vAlign w:val="center"/>
                </w:tcPr>
                <w:p w14:paraId="3BE329F6">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69</w:t>
                  </w:r>
                </w:p>
              </w:tc>
              <w:tc>
                <w:tcPr>
                  <w:tcW w:w="505" w:type="dxa"/>
                  <w:tcBorders>
                    <w:tl2br w:val="nil"/>
                    <w:tr2bl w:val="nil"/>
                  </w:tcBorders>
                  <w:shd w:val="clear" w:color="auto" w:fill="auto"/>
                  <w:noWrap w:val="0"/>
                  <w:vAlign w:val="center"/>
                </w:tcPr>
                <w:p w14:paraId="1E57C369">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427" w:type="dxa"/>
                  <w:tcBorders>
                    <w:tl2br w:val="nil"/>
                    <w:tr2bl w:val="nil"/>
                  </w:tcBorders>
                  <w:shd w:val="clear" w:color="auto" w:fill="auto"/>
                  <w:noWrap w:val="0"/>
                  <w:vAlign w:val="center"/>
                </w:tcPr>
                <w:p w14:paraId="64B011B4">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25</w:t>
                  </w:r>
                </w:p>
              </w:tc>
              <w:tc>
                <w:tcPr>
                  <w:tcW w:w="429" w:type="dxa"/>
                  <w:tcBorders>
                    <w:tl2br w:val="nil"/>
                    <w:tr2bl w:val="nil"/>
                  </w:tcBorders>
                  <w:noWrap w:val="0"/>
                  <w:vAlign w:val="center"/>
                </w:tcPr>
                <w:p w14:paraId="5EC8AC09">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15</w:t>
                  </w:r>
                </w:p>
              </w:tc>
              <w:tc>
                <w:tcPr>
                  <w:tcW w:w="428" w:type="dxa"/>
                  <w:tcBorders>
                    <w:tl2br w:val="nil"/>
                    <w:tr2bl w:val="nil"/>
                  </w:tcBorders>
                  <w:noWrap w:val="0"/>
                  <w:vAlign w:val="center"/>
                </w:tcPr>
                <w:p w14:paraId="114CB3F3">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39</w:t>
                  </w:r>
                </w:p>
              </w:tc>
              <w:tc>
                <w:tcPr>
                  <w:tcW w:w="427" w:type="dxa"/>
                  <w:tcBorders>
                    <w:tl2br w:val="nil"/>
                    <w:tr2bl w:val="nil"/>
                  </w:tcBorders>
                  <w:noWrap w:val="0"/>
                  <w:vAlign w:val="center"/>
                </w:tcPr>
                <w:p w14:paraId="3A85D7BB">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62</w:t>
                  </w:r>
                </w:p>
              </w:tc>
              <w:tc>
                <w:tcPr>
                  <w:tcW w:w="432" w:type="dxa"/>
                  <w:tcBorders>
                    <w:tl2br w:val="nil"/>
                    <w:tr2bl w:val="nil"/>
                  </w:tcBorders>
                  <w:noWrap w:val="0"/>
                  <w:vAlign w:val="center"/>
                </w:tcPr>
                <w:p w14:paraId="752907A0">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48</w:t>
                  </w:r>
                </w:p>
              </w:tc>
              <w:tc>
                <w:tcPr>
                  <w:tcW w:w="427" w:type="dxa"/>
                  <w:tcBorders>
                    <w:tl2br w:val="nil"/>
                    <w:tr2bl w:val="nil"/>
                  </w:tcBorders>
                  <w:noWrap w:val="0"/>
                  <w:vAlign w:val="center"/>
                </w:tcPr>
                <w:p w14:paraId="74B224CD">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52</w:t>
                  </w:r>
                </w:p>
              </w:tc>
              <w:tc>
                <w:tcPr>
                  <w:tcW w:w="708" w:type="dxa"/>
                  <w:tcBorders>
                    <w:tl2br w:val="nil"/>
                    <w:tr2bl w:val="nil"/>
                  </w:tcBorders>
                  <w:noWrap w:val="0"/>
                  <w:vAlign w:val="center"/>
                </w:tcPr>
                <w:p w14:paraId="2B3CCBF5">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13A2B42C">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1179FF54">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138450E4">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8FA1762">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6BAF20C">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427" w:type="dxa"/>
                  <w:tcBorders>
                    <w:tl2br w:val="nil"/>
                    <w:tr2bl w:val="nil"/>
                  </w:tcBorders>
                  <w:noWrap w:val="0"/>
                  <w:vAlign w:val="center"/>
                </w:tcPr>
                <w:p w14:paraId="42CCBEBA">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37</w:t>
                  </w:r>
                </w:p>
              </w:tc>
              <w:tc>
                <w:tcPr>
                  <w:tcW w:w="427" w:type="dxa"/>
                  <w:tcBorders>
                    <w:tl2br w:val="nil"/>
                    <w:tr2bl w:val="nil"/>
                  </w:tcBorders>
                  <w:noWrap w:val="0"/>
                  <w:vAlign w:val="center"/>
                </w:tcPr>
                <w:p w14:paraId="13E642FD">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23</w:t>
                  </w:r>
                </w:p>
              </w:tc>
              <w:tc>
                <w:tcPr>
                  <w:tcW w:w="427" w:type="dxa"/>
                  <w:tcBorders>
                    <w:tl2br w:val="nil"/>
                    <w:tr2bl w:val="nil"/>
                  </w:tcBorders>
                  <w:noWrap w:val="0"/>
                  <w:vAlign w:val="center"/>
                </w:tcPr>
                <w:p w14:paraId="7BDE8AF1">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27</w:t>
                  </w:r>
                </w:p>
              </w:tc>
              <w:tc>
                <w:tcPr>
                  <w:tcW w:w="427" w:type="dxa"/>
                  <w:tcBorders>
                    <w:tl2br w:val="nil"/>
                    <w:tr2bl w:val="nil"/>
                  </w:tcBorders>
                  <w:noWrap w:val="0"/>
                  <w:vAlign w:val="center"/>
                </w:tcPr>
                <w:p w14:paraId="190118AF">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3FE5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659495CF">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9</w:t>
                  </w:r>
                </w:p>
              </w:tc>
              <w:tc>
                <w:tcPr>
                  <w:tcW w:w="438" w:type="dxa"/>
                  <w:vMerge w:val="continue"/>
                  <w:tcBorders>
                    <w:tl2br w:val="nil"/>
                    <w:tr2bl w:val="nil"/>
                  </w:tcBorders>
                  <w:noWrap w:val="0"/>
                  <w:vAlign w:val="center"/>
                </w:tcPr>
                <w:p w14:paraId="0605A998">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23CB7784">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控阀机</w:t>
                  </w:r>
                </w:p>
              </w:tc>
              <w:tc>
                <w:tcPr>
                  <w:tcW w:w="774" w:type="dxa"/>
                  <w:tcBorders>
                    <w:tl2br w:val="nil"/>
                    <w:tr2bl w:val="nil"/>
                  </w:tcBorders>
                  <w:noWrap w:val="0"/>
                  <w:vAlign w:val="center"/>
                </w:tcPr>
                <w:p w14:paraId="3686540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宋体" w:hAnsi="宋体" w:eastAsia="宋体" w:cs="宋体"/>
                      <w:i w:val="0"/>
                      <w:iCs w:val="0"/>
                      <w:color w:val="auto"/>
                      <w:kern w:val="0"/>
                      <w:sz w:val="21"/>
                      <w:szCs w:val="21"/>
                      <w:u w:val="none"/>
                      <w:lang w:val="en-US" w:eastAsia="zh-CN" w:bidi="ar"/>
                    </w:rPr>
                    <w:t>条</w:t>
                  </w:r>
                </w:p>
              </w:tc>
              <w:tc>
                <w:tcPr>
                  <w:tcW w:w="823" w:type="dxa"/>
                  <w:tcBorders>
                    <w:tl2br w:val="nil"/>
                    <w:tr2bl w:val="nil"/>
                  </w:tcBorders>
                  <w:noWrap w:val="0"/>
                  <w:vAlign w:val="center"/>
                </w:tcPr>
                <w:p w14:paraId="3E0A5130">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636" w:type="dxa"/>
                  <w:vMerge w:val="continue"/>
                  <w:tcBorders>
                    <w:tl2br w:val="nil"/>
                    <w:tr2bl w:val="nil"/>
                  </w:tcBorders>
                  <w:noWrap w:val="0"/>
                  <w:vAlign w:val="center"/>
                </w:tcPr>
                <w:p w14:paraId="53A5E290">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24948552">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80</w:t>
                  </w:r>
                </w:p>
              </w:tc>
              <w:tc>
                <w:tcPr>
                  <w:tcW w:w="531" w:type="dxa"/>
                  <w:tcBorders>
                    <w:tl2br w:val="nil"/>
                    <w:tr2bl w:val="nil"/>
                  </w:tcBorders>
                  <w:noWrap w:val="0"/>
                  <w:vAlign w:val="center"/>
                </w:tcPr>
                <w:p w14:paraId="2DECDA27">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479" w:type="dxa"/>
                  <w:tcBorders>
                    <w:tl2br w:val="nil"/>
                    <w:tr2bl w:val="nil"/>
                  </w:tcBorders>
                  <w:noWrap w:val="0"/>
                  <w:vAlign w:val="center"/>
                </w:tcPr>
                <w:p w14:paraId="69918E33">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noWrap w:val="0"/>
                  <w:vAlign w:val="center"/>
                </w:tcPr>
                <w:p w14:paraId="697F66C9">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11</w:t>
                  </w:r>
                </w:p>
              </w:tc>
              <w:tc>
                <w:tcPr>
                  <w:tcW w:w="505" w:type="dxa"/>
                  <w:tcBorders>
                    <w:tl2br w:val="nil"/>
                    <w:tr2bl w:val="nil"/>
                  </w:tcBorders>
                  <w:shd w:val="clear" w:color="auto" w:fill="auto"/>
                  <w:noWrap w:val="0"/>
                  <w:vAlign w:val="center"/>
                </w:tcPr>
                <w:p w14:paraId="496061EA">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427" w:type="dxa"/>
                  <w:tcBorders>
                    <w:tl2br w:val="nil"/>
                    <w:tr2bl w:val="nil"/>
                  </w:tcBorders>
                  <w:shd w:val="clear" w:color="auto" w:fill="auto"/>
                  <w:noWrap w:val="0"/>
                  <w:vAlign w:val="center"/>
                </w:tcPr>
                <w:p w14:paraId="12DABAF6">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80</w:t>
                  </w:r>
                </w:p>
              </w:tc>
              <w:tc>
                <w:tcPr>
                  <w:tcW w:w="429" w:type="dxa"/>
                  <w:tcBorders>
                    <w:tl2br w:val="nil"/>
                    <w:tr2bl w:val="nil"/>
                  </w:tcBorders>
                  <w:noWrap w:val="0"/>
                  <w:vAlign w:val="center"/>
                </w:tcPr>
                <w:p w14:paraId="1A86BD09">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10</w:t>
                  </w:r>
                </w:p>
              </w:tc>
              <w:tc>
                <w:tcPr>
                  <w:tcW w:w="428" w:type="dxa"/>
                  <w:tcBorders>
                    <w:tl2br w:val="nil"/>
                    <w:tr2bl w:val="nil"/>
                  </w:tcBorders>
                  <w:noWrap w:val="0"/>
                  <w:vAlign w:val="center"/>
                </w:tcPr>
                <w:p w14:paraId="45B2CFC5">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64</w:t>
                  </w:r>
                </w:p>
              </w:tc>
              <w:tc>
                <w:tcPr>
                  <w:tcW w:w="427" w:type="dxa"/>
                  <w:tcBorders>
                    <w:tl2br w:val="nil"/>
                    <w:tr2bl w:val="nil"/>
                  </w:tcBorders>
                  <w:noWrap w:val="0"/>
                  <w:vAlign w:val="center"/>
                </w:tcPr>
                <w:p w14:paraId="1E598119">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71</w:t>
                  </w:r>
                </w:p>
              </w:tc>
              <w:tc>
                <w:tcPr>
                  <w:tcW w:w="432" w:type="dxa"/>
                  <w:tcBorders>
                    <w:tl2br w:val="nil"/>
                    <w:tr2bl w:val="nil"/>
                  </w:tcBorders>
                  <w:noWrap w:val="0"/>
                  <w:vAlign w:val="center"/>
                </w:tcPr>
                <w:p w14:paraId="6A8A2007">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46</w:t>
                  </w:r>
                </w:p>
              </w:tc>
              <w:tc>
                <w:tcPr>
                  <w:tcW w:w="427" w:type="dxa"/>
                  <w:tcBorders>
                    <w:tl2br w:val="nil"/>
                    <w:tr2bl w:val="nil"/>
                  </w:tcBorders>
                  <w:noWrap w:val="0"/>
                  <w:vAlign w:val="center"/>
                </w:tcPr>
                <w:p w14:paraId="43BC52E3">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65</w:t>
                  </w:r>
                </w:p>
              </w:tc>
              <w:tc>
                <w:tcPr>
                  <w:tcW w:w="708" w:type="dxa"/>
                  <w:tcBorders>
                    <w:tl2br w:val="nil"/>
                    <w:tr2bl w:val="nil"/>
                  </w:tcBorders>
                  <w:noWrap w:val="0"/>
                  <w:vAlign w:val="center"/>
                </w:tcPr>
                <w:p w14:paraId="325CA497">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294EE950">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17BBC01">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1DB3007">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BEB0417">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9E772BB">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27" w:type="dxa"/>
                  <w:tcBorders>
                    <w:tl2br w:val="nil"/>
                    <w:tr2bl w:val="nil"/>
                  </w:tcBorders>
                  <w:noWrap w:val="0"/>
                  <w:vAlign w:val="center"/>
                </w:tcPr>
                <w:p w14:paraId="41EC958A">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46</w:t>
                  </w:r>
                </w:p>
              </w:tc>
              <w:tc>
                <w:tcPr>
                  <w:tcW w:w="427" w:type="dxa"/>
                  <w:tcBorders>
                    <w:tl2br w:val="nil"/>
                    <w:tr2bl w:val="nil"/>
                  </w:tcBorders>
                  <w:noWrap w:val="0"/>
                  <w:vAlign w:val="center"/>
                </w:tcPr>
                <w:p w14:paraId="192ED139">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21</w:t>
                  </w:r>
                </w:p>
              </w:tc>
              <w:tc>
                <w:tcPr>
                  <w:tcW w:w="427" w:type="dxa"/>
                  <w:tcBorders>
                    <w:tl2br w:val="nil"/>
                    <w:tr2bl w:val="nil"/>
                  </w:tcBorders>
                  <w:noWrap w:val="0"/>
                  <w:vAlign w:val="center"/>
                </w:tcPr>
                <w:p w14:paraId="49B8EC0A">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40</w:t>
                  </w:r>
                </w:p>
              </w:tc>
              <w:tc>
                <w:tcPr>
                  <w:tcW w:w="427" w:type="dxa"/>
                  <w:tcBorders>
                    <w:tl2br w:val="nil"/>
                    <w:tr2bl w:val="nil"/>
                  </w:tcBorders>
                  <w:noWrap w:val="0"/>
                  <w:vAlign w:val="center"/>
                </w:tcPr>
                <w:p w14:paraId="731F6A73">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0999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7F27AF3D">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10</w:t>
                  </w:r>
                </w:p>
              </w:tc>
              <w:tc>
                <w:tcPr>
                  <w:tcW w:w="438" w:type="dxa"/>
                  <w:vMerge w:val="continue"/>
                  <w:tcBorders>
                    <w:tl2br w:val="nil"/>
                    <w:tr2bl w:val="nil"/>
                  </w:tcBorders>
                  <w:noWrap w:val="0"/>
                  <w:vAlign w:val="center"/>
                </w:tcPr>
                <w:p w14:paraId="73D1AAA6">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64A4FBF8">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铆杆机</w:t>
                  </w:r>
                </w:p>
              </w:tc>
              <w:tc>
                <w:tcPr>
                  <w:tcW w:w="774" w:type="dxa"/>
                  <w:tcBorders>
                    <w:tl2br w:val="nil"/>
                    <w:tr2bl w:val="nil"/>
                  </w:tcBorders>
                  <w:noWrap w:val="0"/>
                  <w:vAlign w:val="center"/>
                </w:tcPr>
                <w:p w14:paraId="436C114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44731134">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81.14</w:t>
                  </w:r>
                </w:p>
              </w:tc>
              <w:tc>
                <w:tcPr>
                  <w:tcW w:w="636" w:type="dxa"/>
                  <w:vMerge w:val="continue"/>
                  <w:tcBorders>
                    <w:tl2br w:val="nil"/>
                    <w:tr2bl w:val="nil"/>
                  </w:tcBorders>
                  <w:noWrap w:val="0"/>
                  <w:vAlign w:val="center"/>
                </w:tcPr>
                <w:p w14:paraId="47D3DC16">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70D016B4">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80</w:t>
                  </w:r>
                </w:p>
              </w:tc>
              <w:tc>
                <w:tcPr>
                  <w:tcW w:w="531" w:type="dxa"/>
                  <w:tcBorders>
                    <w:tl2br w:val="nil"/>
                    <w:tr2bl w:val="nil"/>
                  </w:tcBorders>
                  <w:noWrap w:val="0"/>
                  <w:vAlign w:val="center"/>
                </w:tcPr>
                <w:p w14:paraId="6E148F6D">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40</w:t>
                  </w:r>
                </w:p>
              </w:tc>
              <w:tc>
                <w:tcPr>
                  <w:tcW w:w="479" w:type="dxa"/>
                  <w:tcBorders>
                    <w:tl2br w:val="nil"/>
                    <w:tr2bl w:val="nil"/>
                  </w:tcBorders>
                  <w:noWrap w:val="0"/>
                  <w:vAlign w:val="center"/>
                </w:tcPr>
                <w:p w14:paraId="300125F2">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noWrap w:val="0"/>
                  <w:vAlign w:val="center"/>
                </w:tcPr>
                <w:p w14:paraId="3CA1B797">
                  <w:pPr>
                    <w:widowControl/>
                    <w:spacing w:line="0" w:lineRule="atLeast"/>
                    <w:jc w:val="center"/>
                    <w:textAlignment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11</w:t>
                  </w:r>
                </w:p>
              </w:tc>
              <w:tc>
                <w:tcPr>
                  <w:tcW w:w="505" w:type="dxa"/>
                  <w:tcBorders>
                    <w:tl2br w:val="nil"/>
                    <w:tr2bl w:val="nil"/>
                  </w:tcBorders>
                  <w:shd w:val="clear" w:color="auto" w:fill="auto"/>
                  <w:noWrap w:val="0"/>
                  <w:vAlign w:val="center"/>
                </w:tcPr>
                <w:p w14:paraId="73C882B3">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w:t>
                  </w:r>
                </w:p>
              </w:tc>
              <w:tc>
                <w:tcPr>
                  <w:tcW w:w="427" w:type="dxa"/>
                  <w:tcBorders>
                    <w:tl2br w:val="nil"/>
                    <w:tr2bl w:val="nil"/>
                  </w:tcBorders>
                  <w:shd w:val="clear" w:color="auto" w:fill="auto"/>
                  <w:noWrap w:val="0"/>
                  <w:vAlign w:val="center"/>
                </w:tcPr>
                <w:p w14:paraId="3FDB72D0">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80</w:t>
                  </w:r>
                </w:p>
              </w:tc>
              <w:tc>
                <w:tcPr>
                  <w:tcW w:w="429" w:type="dxa"/>
                  <w:tcBorders>
                    <w:tl2br w:val="nil"/>
                    <w:tr2bl w:val="nil"/>
                  </w:tcBorders>
                  <w:noWrap w:val="0"/>
                  <w:vAlign w:val="center"/>
                </w:tcPr>
                <w:p w14:paraId="16B030F2">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08DCFE40">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60</w:t>
                  </w:r>
                </w:p>
              </w:tc>
              <w:tc>
                <w:tcPr>
                  <w:tcW w:w="427" w:type="dxa"/>
                  <w:tcBorders>
                    <w:tl2br w:val="nil"/>
                    <w:tr2bl w:val="nil"/>
                  </w:tcBorders>
                  <w:noWrap w:val="0"/>
                  <w:vAlign w:val="center"/>
                </w:tcPr>
                <w:p w14:paraId="33D29D41">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67</w:t>
                  </w:r>
                </w:p>
              </w:tc>
              <w:tc>
                <w:tcPr>
                  <w:tcW w:w="432" w:type="dxa"/>
                  <w:tcBorders>
                    <w:tl2br w:val="nil"/>
                    <w:tr2bl w:val="nil"/>
                  </w:tcBorders>
                  <w:noWrap w:val="0"/>
                  <w:vAlign w:val="center"/>
                </w:tcPr>
                <w:p w14:paraId="2A47AA3C">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43</w:t>
                  </w:r>
                </w:p>
              </w:tc>
              <w:tc>
                <w:tcPr>
                  <w:tcW w:w="427" w:type="dxa"/>
                  <w:tcBorders>
                    <w:tl2br w:val="nil"/>
                    <w:tr2bl w:val="nil"/>
                  </w:tcBorders>
                  <w:noWrap w:val="0"/>
                  <w:vAlign w:val="center"/>
                </w:tcPr>
                <w:p w14:paraId="04ED4A41">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67</w:t>
                  </w:r>
                </w:p>
              </w:tc>
              <w:tc>
                <w:tcPr>
                  <w:tcW w:w="708" w:type="dxa"/>
                  <w:tcBorders>
                    <w:tl2br w:val="nil"/>
                    <w:tr2bl w:val="nil"/>
                  </w:tcBorders>
                  <w:noWrap w:val="0"/>
                  <w:vAlign w:val="center"/>
                </w:tcPr>
                <w:p w14:paraId="1584E488">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3AE06755">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112DA5FE">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1A8575B6">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92605CD">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7DA4CF55">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27" w:type="dxa"/>
                  <w:tcBorders>
                    <w:tl2br w:val="nil"/>
                    <w:tr2bl w:val="nil"/>
                  </w:tcBorders>
                  <w:noWrap w:val="0"/>
                  <w:vAlign w:val="center"/>
                </w:tcPr>
                <w:p w14:paraId="3AB5A700">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42</w:t>
                  </w:r>
                </w:p>
              </w:tc>
              <w:tc>
                <w:tcPr>
                  <w:tcW w:w="427" w:type="dxa"/>
                  <w:tcBorders>
                    <w:tl2br w:val="nil"/>
                    <w:tr2bl w:val="nil"/>
                  </w:tcBorders>
                  <w:noWrap w:val="0"/>
                  <w:vAlign w:val="center"/>
                </w:tcPr>
                <w:p w14:paraId="3D980C85">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18</w:t>
                  </w:r>
                </w:p>
              </w:tc>
              <w:tc>
                <w:tcPr>
                  <w:tcW w:w="427" w:type="dxa"/>
                  <w:tcBorders>
                    <w:tl2br w:val="nil"/>
                    <w:tr2bl w:val="nil"/>
                  </w:tcBorders>
                  <w:noWrap w:val="0"/>
                  <w:vAlign w:val="center"/>
                </w:tcPr>
                <w:p w14:paraId="0F7EAFA3">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42</w:t>
                  </w:r>
                </w:p>
              </w:tc>
              <w:tc>
                <w:tcPr>
                  <w:tcW w:w="427" w:type="dxa"/>
                  <w:tcBorders>
                    <w:tl2br w:val="nil"/>
                    <w:tr2bl w:val="nil"/>
                  </w:tcBorders>
                  <w:noWrap w:val="0"/>
                  <w:vAlign w:val="center"/>
                </w:tcPr>
                <w:p w14:paraId="1DDC670E">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7980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418FE88E">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11</w:t>
                  </w:r>
                </w:p>
              </w:tc>
              <w:tc>
                <w:tcPr>
                  <w:tcW w:w="438" w:type="dxa"/>
                  <w:vMerge w:val="continue"/>
                  <w:tcBorders>
                    <w:tl2br w:val="nil"/>
                    <w:tr2bl w:val="nil"/>
                  </w:tcBorders>
                  <w:noWrap w:val="0"/>
                  <w:vAlign w:val="center"/>
                </w:tcPr>
                <w:p w14:paraId="229190B1">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5AFE0B6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刻字测压机</w:t>
                  </w:r>
                </w:p>
              </w:tc>
              <w:tc>
                <w:tcPr>
                  <w:tcW w:w="774" w:type="dxa"/>
                  <w:tcBorders>
                    <w:tl2br w:val="nil"/>
                    <w:tr2bl w:val="nil"/>
                  </w:tcBorders>
                  <w:noWrap w:val="0"/>
                  <w:vAlign w:val="center"/>
                </w:tcPr>
                <w:p w14:paraId="02D6C7E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44ADB533">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82.02</w:t>
                  </w:r>
                </w:p>
              </w:tc>
              <w:tc>
                <w:tcPr>
                  <w:tcW w:w="636" w:type="dxa"/>
                  <w:vMerge w:val="continue"/>
                  <w:tcBorders>
                    <w:tl2br w:val="nil"/>
                    <w:tr2bl w:val="nil"/>
                  </w:tcBorders>
                  <w:noWrap w:val="0"/>
                  <w:vAlign w:val="center"/>
                </w:tcPr>
                <w:p w14:paraId="1F5A2418">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1FB280B1">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55</w:t>
                  </w:r>
                </w:p>
              </w:tc>
              <w:tc>
                <w:tcPr>
                  <w:tcW w:w="531" w:type="dxa"/>
                  <w:tcBorders>
                    <w:tl2br w:val="nil"/>
                    <w:tr2bl w:val="nil"/>
                  </w:tcBorders>
                  <w:noWrap w:val="0"/>
                  <w:vAlign w:val="center"/>
                </w:tcPr>
                <w:p w14:paraId="4723815C">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190</w:t>
                  </w:r>
                </w:p>
              </w:tc>
              <w:tc>
                <w:tcPr>
                  <w:tcW w:w="479" w:type="dxa"/>
                  <w:tcBorders>
                    <w:tl2br w:val="nil"/>
                    <w:tr2bl w:val="nil"/>
                  </w:tcBorders>
                  <w:noWrap w:val="0"/>
                  <w:vAlign w:val="center"/>
                </w:tcPr>
                <w:p w14:paraId="1F3F8508">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427" w:type="dxa"/>
                  <w:tcBorders>
                    <w:tl2br w:val="nil"/>
                    <w:tr2bl w:val="nil"/>
                  </w:tcBorders>
                  <w:noWrap w:val="0"/>
                  <w:vAlign w:val="center"/>
                </w:tcPr>
                <w:p w14:paraId="540CE061">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31</w:t>
                  </w:r>
                </w:p>
              </w:tc>
              <w:tc>
                <w:tcPr>
                  <w:tcW w:w="505" w:type="dxa"/>
                  <w:tcBorders>
                    <w:tl2br w:val="nil"/>
                    <w:tr2bl w:val="nil"/>
                  </w:tcBorders>
                  <w:shd w:val="clear" w:color="auto" w:fill="auto"/>
                  <w:noWrap w:val="0"/>
                  <w:vAlign w:val="center"/>
                </w:tcPr>
                <w:p w14:paraId="3B2876B1">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w:t>
                  </w:r>
                </w:p>
              </w:tc>
              <w:tc>
                <w:tcPr>
                  <w:tcW w:w="427" w:type="dxa"/>
                  <w:tcBorders>
                    <w:tl2br w:val="nil"/>
                    <w:tr2bl w:val="nil"/>
                  </w:tcBorders>
                  <w:shd w:val="clear" w:color="auto" w:fill="auto"/>
                  <w:noWrap w:val="0"/>
                  <w:vAlign w:val="center"/>
                </w:tcPr>
                <w:p w14:paraId="352C0D0B">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55</w:t>
                  </w:r>
                </w:p>
              </w:tc>
              <w:tc>
                <w:tcPr>
                  <w:tcW w:w="429" w:type="dxa"/>
                  <w:tcBorders>
                    <w:tl2br w:val="nil"/>
                    <w:tr2bl w:val="nil"/>
                  </w:tcBorders>
                  <w:noWrap w:val="0"/>
                  <w:vAlign w:val="center"/>
                </w:tcPr>
                <w:p w14:paraId="66536B29">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20</w:t>
                  </w:r>
                </w:p>
              </w:tc>
              <w:tc>
                <w:tcPr>
                  <w:tcW w:w="428" w:type="dxa"/>
                  <w:tcBorders>
                    <w:tl2br w:val="nil"/>
                    <w:tr2bl w:val="nil"/>
                  </w:tcBorders>
                  <w:noWrap w:val="0"/>
                  <w:vAlign w:val="center"/>
                </w:tcPr>
                <w:p w14:paraId="52B6637B">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52</w:t>
                  </w:r>
                </w:p>
              </w:tc>
              <w:tc>
                <w:tcPr>
                  <w:tcW w:w="427" w:type="dxa"/>
                  <w:tcBorders>
                    <w:tl2br w:val="nil"/>
                    <w:tr2bl w:val="nil"/>
                  </w:tcBorders>
                  <w:noWrap w:val="0"/>
                  <w:vAlign w:val="center"/>
                </w:tcPr>
                <w:p w14:paraId="78D5AFCC">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66</w:t>
                  </w:r>
                </w:p>
              </w:tc>
              <w:tc>
                <w:tcPr>
                  <w:tcW w:w="432" w:type="dxa"/>
                  <w:tcBorders>
                    <w:tl2br w:val="nil"/>
                    <w:tr2bl w:val="nil"/>
                  </w:tcBorders>
                  <w:noWrap w:val="0"/>
                  <w:vAlign w:val="center"/>
                </w:tcPr>
                <w:p w14:paraId="1A5143BC">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47</w:t>
                  </w:r>
                </w:p>
              </w:tc>
              <w:tc>
                <w:tcPr>
                  <w:tcW w:w="427" w:type="dxa"/>
                  <w:tcBorders>
                    <w:tl2br w:val="nil"/>
                    <w:tr2bl w:val="nil"/>
                  </w:tcBorders>
                  <w:noWrap w:val="0"/>
                  <w:vAlign w:val="center"/>
                </w:tcPr>
                <w:p w14:paraId="12528DC0">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56</w:t>
                  </w:r>
                </w:p>
              </w:tc>
              <w:tc>
                <w:tcPr>
                  <w:tcW w:w="708" w:type="dxa"/>
                  <w:tcBorders>
                    <w:tl2br w:val="nil"/>
                    <w:tr2bl w:val="nil"/>
                  </w:tcBorders>
                  <w:noWrap w:val="0"/>
                  <w:vAlign w:val="center"/>
                </w:tcPr>
                <w:p w14:paraId="620BDF53">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1B8CE058">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0932FB69">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71EE24FA">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2BCB125">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36EC8FDA">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tcBorders>
                    <w:tl2br w:val="nil"/>
                    <w:tr2bl w:val="nil"/>
                  </w:tcBorders>
                  <w:noWrap w:val="0"/>
                  <w:vAlign w:val="center"/>
                </w:tcPr>
                <w:p w14:paraId="4554A38F">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41</w:t>
                  </w:r>
                </w:p>
              </w:tc>
              <w:tc>
                <w:tcPr>
                  <w:tcW w:w="427" w:type="dxa"/>
                  <w:tcBorders>
                    <w:tl2br w:val="nil"/>
                    <w:tr2bl w:val="nil"/>
                  </w:tcBorders>
                  <w:noWrap w:val="0"/>
                  <w:vAlign w:val="center"/>
                </w:tcPr>
                <w:p w14:paraId="06B4D60D">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22</w:t>
                  </w:r>
                </w:p>
              </w:tc>
              <w:tc>
                <w:tcPr>
                  <w:tcW w:w="427" w:type="dxa"/>
                  <w:tcBorders>
                    <w:tl2br w:val="nil"/>
                    <w:tr2bl w:val="nil"/>
                  </w:tcBorders>
                  <w:noWrap w:val="0"/>
                  <w:vAlign w:val="center"/>
                </w:tcPr>
                <w:p w14:paraId="011267CB">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31</w:t>
                  </w:r>
                </w:p>
              </w:tc>
              <w:tc>
                <w:tcPr>
                  <w:tcW w:w="427" w:type="dxa"/>
                  <w:tcBorders>
                    <w:tl2br w:val="nil"/>
                    <w:tr2bl w:val="nil"/>
                  </w:tcBorders>
                  <w:noWrap w:val="0"/>
                  <w:vAlign w:val="center"/>
                </w:tcPr>
                <w:p w14:paraId="3EB1FA33">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71B1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3F66D249">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12</w:t>
                  </w:r>
                </w:p>
              </w:tc>
              <w:tc>
                <w:tcPr>
                  <w:tcW w:w="438" w:type="dxa"/>
                  <w:vMerge w:val="continue"/>
                  <w:tcBorders>
                    <w:tl2br w:val="nil"/>
                    <w:tr2bl w:val="nil"/>
                  </w:tcBorders>
                  <w:noWrap w:val="0"/>
                  <w:vAlign w:val="center"/>
                </w:tcPr>
                <w:p w14:paraId="41655C01">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64B20E2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压套机</w:t>
                  </w:r>
                </w:p>
              </w:tc>
              <w:tc>
                <w:tcPr>
                  <w:tcW w:w="774" w:type="dxa"/>
                  <w:tcBorders>
                    <w:tl2br w:val="nil"/>
                    <w:tr2bl w:val="nil"/>
                  </w:tcBorders>
                  <w:noWrap w:val="0"/>
                  <w:vAlign w:val="center"/>
                </w:tcPr>
                <w:p w14:paraId="5B4CCEA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6EA2240D">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636" w:type="dxa"/>
                  <w:vMerge w:val="continue"/>
                  <w:tcBorders>
                    <w:tl2br w:val="nil"/>
                    <w:tr2bl w:val="nil"/>
                  </w:tcBorders>
                  <w:noWrap w:val="0"/>
                  <w:vAlign w:val="center"/>
                </w:tcPr>
                <w:p w14:paraId="53F307B5">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55A79430">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531" w:type="dxa"/>
                  <w:tcBorders>
                    <w:tl2br w:val="nil"/>
                    <w:tr2bl w:val="nil"/>
                  </w:tcBorders>
                  <w:noWrap w:val="0"/>
                  <w:vAlign w:val="center"/>
                </w:tcPr>
                <w:p w14:paraId="6679FA65">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190</w:t>
                  </w:r>
                </w:p>
              </w:tc>
              <w:tc>
                <w:tcPr>
                  <w:tcW w:w="479" w:type="dxa"/>
                  <w:tcBorders>
                    <w:tl2br w:val="nil"/>
                    <w:tr2bl w:val="nil"/>
                  </w:tcBorders>
                  <w:noWrap w:val="0"/>
                  <w:vAlign w:val="center"/>
                </w:tcPr>
                <w:p w14:paraId="0BFDE8C1">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noWrap w:val="0"/>
                  <w:vAlign w:val="center"/>
                </w:tcPr>
                <w:p w14:paraId="3D8C1CD5">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29</w:t>
                  </w:r>
                </w:p>
              </w:tc>
              <w:tc>
                <w:tcPr>
                  <w:tcW w:w="505" w:type="dxa"/>
                  <w:tcBorders>
                    <w:tl2br w:val="nil"/>
                    <w:tr2bl w:val="nil"/>
                  </w:tcBorders>
                  <w:shd w:val="clear" w:color="auto" w:fill="auto"/>
                  <w:noWrap w:val="0"/>
                  <w:vAlign w:val="center"/>
                </w:tcPr>
                <w:p w14:paraId="37FDA7F7">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w:t>
                  </w:r>
                </w:p>
              </w:tc>
              <w:tc>
                <w:tcPr>
                  <w:tcW w:w="427" w:type="dxa"/>
                  <w:tcBorders>
                    <w:tl2br w:val="nil"/>
                    <w:tr2bl w:val="nil"/>
                  </w:tcBorders>
                  <w:shd w:val="clear" w:color="auto" w:fill="auto"/>
                  <w:noWrap w:val="0"/>
                  <w:vAlign w:val="center"/>
                </w:tcPr>
                <w:p w14:paraId="09F1B499">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60</w:t>
                  </w:r>
                </w:p>
              </w:tc>
              <w:tc>
                <w:tcPr>
                  <w:tcW w:w="429" w:type="dxa"/>
                  <w:tcBorders>
                    <w:tl2br w:val="nil"/>
                    <w:tr2bl w:val="nil"/>
                  </w:tcBorders>
                  <w:noWrap w:val="0"/>
                  <w:vAlign w:val="center"/>
                </w:tcPr>
                <w:p w14:paraId="17C1C6B0">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1CFC5D59">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56</w:t>
                  </w:r>
                </w:p>
              </w:tc>
              <w:tc>
                <w:tcPr>
                  <w:tcW w:w="427" w:type="dxa"/>
                  <w:tcBorders>
                    <w:tl2br w:val="nil"/>
                    <w:tr2bl w:val="nil"/>
                  </w:tcBorders>
                  <w:noWrap w:val="0"/>
                  <w:vAlign w:val="center"/>
                </w:tcPr>
                <w:p w14:paraId="34AA4877">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69</w:t>
                  </w:r>
                </w:p>
              </w:tc>
              <w:tc>
                <w:tcPr>
                  <w:tcW w:w="432" w:type="dxa"/>
                  <w:tcBorders>
                    <w:tl2br w:val="nil"/>
                    <w:tr2bl w:val="nil"/>
                  </w:tcBorders>
                  <w:noWrap w:val="0"/>
                  <w:vAlign w:val="center"/>
                </w:tcPr>
                <w:p w14:paraId="2F81B617">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49</w:t>
                  </w:r>
                </w:p>
              </w:tc>
              <w:tc>
                <w:tcPr>
                  <w:tcW w:w="427" w:type="dxa"/>
                  <w:tcBorders>
                    <w:tl2br w:val="nil"/>
                    <w:tr2bl w:val="nil"/>
                  </w:tcBorders>
                  <w:noWrap w:val="0"/>
                  <w:vAlign w:val="center"/>
                </w:tcPr>
                <w:p w14:paraId="3F750D58">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71</w:t>
                  </w:r>
                </w:p>
              </w:tc>
              <w:tc>
                <w:tcPr>
                  <w:tcW w:w="708" w:type="dxa"/>
                  <w:tcBorders>
                    <w:tl2br w:val="nil"/>
                    <w:tr2bl w:val="nil"/>
                  </w:tcBorders>
                  <w:noWrap w:val="0"/>
                  <w:vAlign w:val="center"/>
                </w:tcPr>
                <w:p w14:paraId="5B5D548D">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68630A2F">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7057C328">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171CA38D">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700A225">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7A46FAE1">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tcBorders>
                    <w:tl2br w:val="nil"/>
                    <w:tr2bl w:val="nil"/>
                  </w:tcBorders>
                  <w:noWrap w:val="0"/>
                  <w:vAlign w:val="center"/>
                </w:tcPr>
                <w:p w14:paraId="2EB54A86">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44</w:t>
                  </w:r>
                </w:p>
              </w:tc>
              <w:tc>
                <w:tcPr>
                  <w:tcW w:w="427" w:type="dxa"/>
                  <w:tcBorders>
                    <w:tl2br w:val="nil"/>
                    <w:tr2bl w:val="nil"/>
                  </w:tcBorders>
                  <w:noWrap w:val="0"/>
                  <w:vAlign w:val="center"/>
                </w:tcPr>
                <w:p w14:paraId="5A0526F9">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24</w:t>
                  </w:r>
                </w:p>
              </w:tc>
              <w:tc>
                <w:tcPr>
                  <w:tcW w:w="427" w:type="dxa"/>
                  <w:tcBorders>
                    <w:tl2br w:val="nil"/>
                    <w:tr2bl w:val="nil"/>
                  </w:tcBorders>
                  <w:noWrap w:val="0"/>
                  <w:vAlign w:val="center"/>
                </w:tcPr>
                <w:p w14:paraId="19A1A2BE">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46</w:t>
                  </w:r>
                </w:p>
              </w:tc>
              <w:tc>
                <w:tcPr>
                  <w:tcW w:w="427" w:type="dxa"/>
                  <w:tcBorders>
                    <w:tl2br w:val="nil"/>
                    <w:tr2bl w:val="nil"/>
                  </w:tcBorders>
                  <w:noWrap w:val="0"/>
                  <w:vAlign w:val="center"/>
                </w:tcPr>
                <w:p w14:paraId="1E07D98D">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337D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27" w:type="dxa"/>
                  <w:tcBorders>
                    <w:tl2br w:val="nil"/>
                    <w:tr2bl w:val="nil"/>
                  </w:tcBorders>
                  <w:noWrap w:val="0"/>
                  <w:vAlign w:val="center"/>
                </w:tcPr>
                <w:p w14:paraId="19E359BD">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13</w:t>
                  </w:r>
                </w:p>
              </w:tc>
              <w:tc>
                <w:tcPr>
                  <w:tcW w:w="438" w:type="dxa"/>
                  <w:vMerge w:val="continue"/>
                  <w:tcBorders>
                    <w:tl2br w:val="nil"/>
                    <w:tr2bl w:val="nil"/>
                  </w:tcBorders>
                  <w:noWrap w:val="0"/>
                  <w:vAlign w:val="center"/>
                </w:tcPr>
                <w:p w14:paraId="19FC520A">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7436194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卧式绞孔机</w:t>
                  </w:r>
                </w:p>
              </w:tc>
              <w:tc>
                <w:tcPr>
                  <w:tcW w:w="774" w:type="dxa"/>
                  <w:tcBorders>
                    <w:tl2br w:val="nil"/>
                    <w:tr2bl w:val="nil"/>
                  </w:tcBorders>
                  <w:noWrap w:val="0"/>
                  <w:vAlign w:val="center"/>
                </w:tcPr>
                <w:p w14:paraId="0B226F4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4FF981BC">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76.02</w:t>
                  </w:r>
                </w:p>
              </w:tc>
              <w:tc>
                <w:tcPr>
                  <w:tcW w:w="636" w:type="dxa"/>
                  <w:vMerge w:val="continue"/>
                  <w:tcBorders>
                    <w:tl2br w:val="nil"/>
                    <w:tr2bl w:val="nil"/>
                  </w:tcBorders>
                  <w:noWrap w:val="0"/>
                  <w:vAlign w:val="center"/>
                </w:tcPr>
                <w:p w14:paraId="5E6679B6">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3033B81B">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65</w:t>
                  </w:r>
                </w:p>
              </w:tc>
              <w:tc>
                <w:tcPr>
                  <w:tcW w:w="531" w:type="dxa"/>
                  <w:tcBorders>
                    <w:tl2br w:val="nil"/>
                    <w:tr2bl w:val="nil"/>
                  </w:tcBorders>
                  <w:noWrap w:val="0"/>
                  <w:vAlign w:val="center"/>
                </w:tcPr>
                <w:p w14:paraId="28BB5A48">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190</w:t>
                  </w:r>
                </w:p>
              </w:tc>
              <w:tc>
                <w:tcPr>
                  <w:tcW w:w="479" w:type="dxa"/>
                  <w:tcBorders>
                    <w:tl2br w:val="nil"/>
                    <w:tr2bl w:val="nil"/>
                  </w:tcBorders>
                  <w:noWrap w:val="0"/>
                  <w:vAlign w:val="center"/>
                </w:tcPr>
                <w:p w14:paraId="763CB0D7">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427" w:type="dxa"/>
                  <w:tcBorders>
                    <w:tl2br w:val="nil"/>
                    <w:tr2bl w:val="nil"/>
                  </w:tcBorders>
                  <w:noWrap w:val="0"/>
                  <w:vAlign w:val="center"/>
                </w:tcPr>
                <w:p w14:paraId="63BEFC1B">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29</w:t>
                  </w:r>
                </w:p>
              </w:tc>
              <w:tc>
                <w:tcPr>
                  <w:tcW w:w="505" w:type="dxa"/>
                  <w:tcBorders>
                    <w:tl2br w:val="nil"/>
                    <w:tr2bl w:val="nil"/>
                  </w:tcBorders>
                  <w:shd w:val="clear" w:color="auto" w:fill="auto"/>
                  <w:noWrap w:val="0"/>
                  <w:vAlign w:val="center"/>
                </w:tcPr>
                <w:p w14:paraId="4C458666">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w:t>
                  </w:r>
                </w:p>
              </w:tc>
              <w:tc>
                <w:tcPr>
                  <w:tcW w:w="427" w:type="dxa"/>
                  <w:tcBorders>
                    <w:tl2br w:val="nil"/>
                    <w:tr2bl w:val="nil"/>
                  </w:tcBorders>
                  <w:shd w:val="clear" w:color="auto" w:fill="auto"/>
                  <w:noWrap w:val="0"/>
                  <w:vAlign w:val="center"/>
                </w:tcPr>
                <w:p w14:paraId="6EC5316C">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65</w:t>
                  </w:r>
                </w:p>
              </w:tc>
              <w:tc>
                <w:tcPr>
                  <w:tcW w:w="429" w:type="dxa"/>
                  <w:tcBorders>
                    <w:tl2br w:val="nil"/>
                    <w:tr2bl w:val="nil"/>
                  </w:tcBorders>
                  <w:noWrap w:val="0"/>
                  <w:vAlign w:val="center"/>
                </w:tcPr>
                <w:p w14:paraId="6A1FBCD4">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4831292B">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47</w:t>
                  </w:r>
                </w:p>
              </w:tc>
              <w:tc>
                <w:tcPr>
                  <w:tcW w:w="427" w:type="dxa"/>
                  <w:tcBorders>
                    <w:tl2br w:val="nil"/>
                    <w:tr2bl w:val="nil"/>
                  </w:tcBorders>
                  <w:noWrap w:val="0"/>
                  <w:vAlign w:val="center"/>
                </w:tcPr>
                <w:p w14:paraId="38347990">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50</w:t>
                  </w:r>
                </w:p>
              </w:tc>
              <w:tc>
                <w:tcPr>
                  <w:tcW w:w="432" w:type="dxa"/>
                  <w:tcBorders>
                    <w:tl2br w:val="nil"/>
                    <w:tr2bl w:val="nil"/>
                  </w:tcBorders>
                  <w:noWrap w:val="0"/>
                  <w:vAlign w:val="center"/>
                </w:tcPr>
                <w:p w14:paraId="1E1286FE">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40</w:t>
                  </w:r>
                </w:p>
              </w:tc>
              <w:tc>
                <w:tcPr>
                  <w:tcW w:w="427" w:type="dxa"/>
                  <w:tcBorders>
                    <w:tl2br w:val="nil"/>
                    <w:tr2bl w:val="nil"/>
                  </w:tcBorders>
                  <w:noWrap w:val="0"/>
                  <w:vAlign w:val="center"/>
                </w:tcPr>
                <w:p w14:paraId="2EA30186">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40</w:t>
                  </w:r>
                </w:p>
              </w:tc>
              <w:tc>
                <w:tcPr>
                  <w:tcW w:w="708" w:type="dxa"/>
                  <w:tcBorders>
                    <w:tl2br w:val="nil"/>
                    <w:tr2bl w:val="nil"/>
                  </w:tcBorders>
                  <w:noWrap w:val="0"/>
                  <w:vAlign w:val="center"/>
                </w:tcPr>
                <w:p w14:paraId="7CF0ACF1">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35CEFAA9">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3FAE0A2C">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4BCBE179">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C602293">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060F57D8">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27" w:type="dxa"/>
                  <w:tcBorders>
                    <w:tl2br w:val="nil"/>
                    <w:tr2bl w:val="nil"/>
                  </w:tcBorders>
                  <w:noWrap w:val="0"/>
                  <w:vAlign w:val="center"/>
                </w:tcPr>
                <w:p w14:paraId="0D99DECD">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25</w:t>
                  </w:r>
                </w:p>
              </w:tc>
              <w:tc>
                <w:tcPr>
                  <w:tcW w:w="427" w:type="dxa"/>
                  <w:tcBorders>
                    <w:tl2br w:val="nil"/>
                    <w:tr2bl w:val="nil"/>
                  </w:tcBorders>
                  <w:noWrap w:val="0"/>
                  <w:vAlign w:val="center"/>
                </w:tcPr>
                <w:p w14:paraId="40B06E67">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15</w:t>
                  </w:r>
                </w:p>
              </w:tc>
              <w:tc>
                <w:tcPr>
                  <w:tcW w:w="427" w:type="dxa"/>
                  <w:tcBorders>
                    <w:tl2br w:val="nil"/>
                    <w:tr2bl w:val="nil"/>
                  </w:tcBorders>
                  <w:noWrap w:val="0"/>
                  <w:vAlign w:val="center"/>
                </w:tcPr>
                <w:p w14:paraId="773CA2D3">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15</w:t>
                  </w:r>
                </w:p>
              </w:tc>
              <w:tc>
                <w:tcPr>
                  <w:tcW w:w="427" w:type="dxa"/>
                  <w:tcBorders>
                    <w:tl2br w:val="nil"/>
                    <w:tr2bl w:val="nil"/>
                  </w:tcBorders>
                  <w:noWrap w:val="0"/>
                  <w:vAlign w:val="center"/>
                </w:tcPr>
                <w:p w14:paraId="66C2EA39">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6F6A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792FDDD5">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14</w:t>
                  </w:r>
                </w:p>
              </w:tc>
              <w:tc>
                <w:tcPr>
                  <w:tcW w:w="438" w:type="dxa"/>
                  <w:vMerge w:val="continue"/>
                  <w:tcBorders>
                    <w:tl2br w:val="nil"/>
                    <w:tr2bl w:val="nil"/>
                  </w:tcBorders>
                  <w:noWrap w:val="0"/>
                  <w:vAlign w:val="center"/>
                </w:tcPr>
                <w:p w14:paraId="76F3F299">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14F1A8D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立式绞孔机</w:t>
                  </w:r>
                </w:p>
              </w:tc>
              <w:tc>
                <w:tcPr>
                  <w:tcW w:w="774" w:type="dxa"/>
                  <w:tcBorders>
                    <w:tl2br w:val="nil"/>
                    <w:tr2bl w:val="nil"/>
                  </w:tcBorders>
                  <w:noWrap w:val="0"/>
                  <w:vAlign w:val="center"/>
                </w:tcPr>
                <w:p w14:paraId="16BA16B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r>
                    <w:rPr>
                      <w:rFonts w:hint="eastAsia" w:ascii="宋体" w:hAnsi="宋体" w:eastAsia="宋体" w:cs="宋体"/>
                      <w:i w:val="0"/>
                      <w:iCs w:val="0"/>
                      <w:color w:val="auto"/>
                      <w:kern w:val="0"/>
                      <w:sz w:val="21"/>
                      <w:szCs w:val="21"/>
                      <w:u w:val="none"/>
                      <w:lang w:val="en-US" w:eastAsia="zh-CN" w:bidi="ar"/>
                    </w:rPr>
                    <w:t>台</w:t>
                  </w:r>
                </w:p>
              </w:tc>
              <w:tc>
                <w:tcPr>
                  <w:tcW w:w="823" w:type="dxa"/>
                  <w:tcBorders>
                    <w:tl2br w:val="nil"/>
                    <w:tr2bl w:val="nil"/>
                  </w:tcBorders>
                  <w:noWrap w:val="0"/>
                  <w:vAlign w:val="center"/>
                </w:tcPr>
                <w:p w14:paraId="581B0FA3">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p>
              </w:tc>
              <w:tc>
                <w:tcPr>
                  <w:tcW w:w="636" w:type="dxa"/>
                  <w:vMerge w:val="continue"/>
                  <w:tcBorders>
                    <w:tl2br w:val="nil"/>
                    <w:tr2bl w:val="nil"/>
                  </w:tcBorders>
                  <w:noWrap w:val="0"/>
                  <w:vAlign w:val="center"/>
                </w:tcPr>
                <w:p w14:paraId="0654FF64">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0FD10A20">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70</w:t>
                  </w:r>
                </w:p>
              </w:tc>
              <w:tc>
                <w:tcPr>
                  <w:tcW w:w="531" w:type="dxa"/>
                  <w:tcBorders>
                    <w:tl2br w:val="nil"/>
                    <w:tr2bl w:val="nil"/>
                  </w:tcBorders>
                  <w:noWrap w:val="0"/>
                  <w:vAlign w:val="center"/>
                </w:tcPr>
                <w:p w14:paraId="790C6BFF">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190</w:t>
                  </w:r>
                </w:p>
              </w:tc>
              <w:tc>
                <w:tcPr>
                  <w:tcW w:w="479" w:type="dxa"/>
                  <w:tcBorders>
                    <w:tl2br w:val="nil"/>
                    <w:tr2bl w:val="nil"/>
                  </w:tcBorders>
                  <w:noWrap w:val="0"/>
                  <w:vAlign w:val="center"/>
                </w:tcPr>
                <w:p w14:paraId="14A42204">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427" w:type="dxa"/>
                  <w:tcBorders>
                    <w:tl2br w:val="nil"/>
                    <w:tr2bl w:val="nil"/>
                  </w:tcBorders>
                  <w:noWrap w:val="0"/>
                  <w:vAlign w:val="center"/>
                </w:tcPr>
                <w:p w14:paraId="26DC5E46">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24</w:t>
                  </w:r>
                </w:p>
              </w:tc>
              <w:tc>
                <w:tcPr>
                  <w:tcW w:w="505" w:type="dxa"/>
                  <w:tcBorders>
                    <w:tl2br w:val="nil"/>
                    <w:tr2bl w:val="nil"/>
                  </w:tcBorders>
                  <w:shd w:val="clear" w:color="auto" w:fill="auto"/>
                  <w:noWrap w:val="0"/>
                  <w:vAlign w:val="center"/>
                </w:tcPr>
                <w:p w14:paraId="2BAEF2EE">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w:t>
                  </w:r>
                </w:p>
              </w:tc>
              <w:tc>
                <w:tcPr>
                  <w:tcW w:w="427" w:type="dxa"/>
                  <w:tcBorders>
                    <w:tl2br w:val="nil"/>
                    <w:tr2bl w:val="nil"/>
                  </w:tcBorders>
                  <w:shd w:val="clear" w:color="auto" w:fill="auto"/>
                  <w:noWrap w:val="0"/>
                  <w:vAlign w:val="center"/>
                </w:tcPr>
                <w:p w14:paraId="6FFCC41E">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70</w:t>
                  </w:r>
                </w:p>
              </w:tc>
              <w:tc>
                <w:tcPr>
                  <w:tcW w:w="429" w:type="dxa"/>
                  <w:tcBorders>
                    <w:tl2br w:val="nil"/>
                    <w:tr2bl w:val="nil"/>
                  </w:tcBorders>
                  <w:noWrap w:val="0"/>
                  <w:vAlign w:val="center"/>
                </w:tcPr>
                <w:p w14:paraId="00E6BC16">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w:t>
                  </w:r>
                </w:p>
              </w:tc>
              <w:tc>
                <w:tcPr>
                  <w:tcW w:w="428" w:type="dxa"/>
                  <w:tcBorders>
                    <w:tl2br w:val="nil"/>
                    <w:tr2bl w:val="nil"/>
                  </w:tcBorders>
                  <w:noWrap w:val="0"/>
                  <w:vAlign w:val="center"/>
                </w:tcPr>
                <w:p w14:paraId="7613BF0E">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52</w:t>
                  </w:r>
                </w:p>
              </w:tc>
              <w:tc>
                <w:tcPr>
                  <w:tcW w:w="427" w:type="dxa"/>
                  <w:tcBorders>
                    <w:tl2br w:val="nil"/>
                    <w:tr2bl w:val="nil"/>
                  </w:tcBorders>
                  <w:noWrap w:val="0"/>
                  <w:vAlign w:val="center"/>
                </w:tcPr>
                <w:p w14:paraId="2E519748">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54</w:t>
                  </w:r>
                </w:p>
              </w:tc>
              <w:tc>
                <w:tcPr>
                  <w:tcW w:w="432" w:type="dxa"/>
                  <w:tcBorders>
                    <w:tl2br w:val="nil"/>
                    <w:tr2bl w:val="nil"/>
                  </w:tcBorders>
                  <w:noWrap w:val="0"/>
                  <w:vAlign w:val="center"/>
                </w:tcPr>
                <w:p w14:paraId="04760220">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43</w:t>
                  </w:r>
                </w:p>
              </w:tc>
              <w:tc>
                <w:tcPr>
                  <w:tcW w:w="427" w:type="dxa"/>
                  <w:tcBorders>
                    <w:tl2br w:val="nil"/>
                    <w:tr2bl w:val="nil"/>
                  </w:tcBorders>
                  <w:noWrap w:val="0"/>
                  <w:vAlign w:val="center"/>
                </w:tcPr>
                <w:p w14:paraId="6B87DBD6">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66</w:t>
                  </w:r>
                </w:p>
              </w:tc>
              <w:tc>
                <w:tcPr>
                  <w:tcW w:w="708" w:type="dxa"/>
                  <w:tcBorders>
                    <w:tl2br w:val="nil"/>
                    <w:tr2bl w:val="nil"/>
                  </w:tcBorders>
                  <w:noWrap w:val="0"/>
                  <w:vAlign w:val="center"/>
                </w:tcPr>
                <w:p w14:paraId="4C4563DC">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7A6E076E">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58ADF45C">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3AEE3865">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22ABAAA3">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0747CBF9">
                  <w:pPr>
                    <w:keepNext w:val="0"/>
                    <w:keepLines w:val="0"/>
                    <w:widowControl/>
                    <w:suppressLineNumbers w:val="0"/>
                    <w:jc w:val="center"/>
                    <w:textAlignment w:val="center"/>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tcBorders>
                    <w:tl2br w:val="nil"/>
                    <w:tr2bl w:val="nil"/>
                  </w:tcBorders>
                  <w:noWrap w:val="0"/>
                  <w:vAlign w:val="center"/>
                </w:tcPr>
                <w:p w14:paraId="04E6B9A4">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29</w:t>
                  </w:r>
                </w:p>
              </w:tc>
              <w:tc>
                <w:tcPr>
                  <w:tcW w:w="427" w:type="dxa"/>
                  <w:tcBorders>
                    <w:tl2br w:val="nil"/>
                    <w:tr2bl w:val="nil"/>
                  </w:tcBorders>
                  <w:noWrap w:val="0"/>
                  <w:vAlign w:val="center"/>
                </w:tcPr>
                <w:p w14:paraId="47F95007">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18</w:t>
                  </w:r>
                </w:p>
              </w:tc>
              <w:tc>
                <w:tcPr>
                  <w:tcW w:w="427" w:type="dxa"/>
                  <w:tcBorders>
                    <w:tl2br w:val="nil"/>
                    <w:tr2bl w:val="nil"/>
                  </w:tcBorders>
                  <w:noWrap w:val="0"/>
                  <w:vAlign w:val="center"/>
                </w:tcPr>
                <w:p w14:paraId="26444337">
                  <w:pPr>
                    <w:spacing w:line="0" w:lineRule="atLeast"/>
                    <w:jc w:val="center"/>
                    <w:rPr>
                      <w:rFonts w:hint="eastAsia" w:cs="Times New Roman"/>
                      <w:bCs/>
                      <w:color w:val="auto"/>
                      <w:kern w:val="0"/>
                      <w:sz w:val="21"/>
                      <w:szCs w:val="21"/>
                      <w:lang w:val="en-US" w:eastAsia="zh-CN"/>
                    </w:rPr>
                  </w:pPr>
                  <w:r>
                    <w:rPr>
                      <w:rFonts w:hint="eastAsia" w:cs="Times New Roman"/>
                      <w:bCs/>
                      <w:color w:val="auto"/>
                      <w:kern w:val="0"/>
                      <w:sz w:val="21"/>
                      <w:szCs w:val="21"/>
                      <w:lang w:val="en-US" w:eastAsia="zh-CN"/>
                    </w:rPr>
                    <w:t>41</w:t>
                  </w:r>
                </w:p>
              </w:tc>
              <w:tc>
                <w:tcPr>
                  <w:tcW w:w="427" w:type="dxa"/>
                  <w:tcBorders>
                    <w:tl2br w:val="nil"/>
                    <w:tr2bl w:val="nil"/>
                  </w:tcBorders>
                  <w:noWrap w:val="0"/>
                  <w:vAlign w:val="center"/>
                </w:tcPr>
                <w:p w14:paraId="46500C18">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r w14:paraId="7550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noWrap w:val="0"/>
                  <w:vAlign w:val="center"/>
                </w:tcPr>
                <w:p w14:paraId="723C0B99">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15</w:t>
                  </w:r>
                </w:p>
              </w:tc>
              <w:tc>
                <w:tcPr>
                  <w:tcW w:w="438" w:type="dxa"/>
                  <w:vMerge w:val="continue"/>
                  <w:tcBorders>
                    <w:tl2br w:val="nil"/>
                    <w:tr2bl w:val="nil"/>
                  </w:tcBorders>
                  <w:noWrap w:val="0"/>
                  <w:vAlign w:val="center"/>
                </w:tcPr>
                <w:p w14:paraId="0940174F">
                  <w:pPr>
                    <w:spacing w:line="0" w:lineRule="atLeast"/>
                    <w:jc w:val="center"/>
                    <w:rPr>
                      <w:rFonts w:hint="default" w:ascii="Times New Roman" w:hAnsi="Times New Roman" w:eastAsia="宋体" w:cs="Times New Roman"/>
                      <w:color w:val="auto"/>
                      <w:sz w:val="21"/>
                      <w:szCs w:val="21"/>
                    </w:rPr>
                  </w:pPr>
                </w:p>
              </w:tc>
              <w:tc>
                <w:tcPr>
                  <w:tcW w:w="789" w:type="dxa"/>
                  <w:gridSpan w:val="2"/>
                  <w:tcBorders>
                    <w:tl2br w:val="nil"/>
                    <w:tr2bl w:val="nil"/>
                  </w:tcBorders>
                  <w:noWrap w:val="0"/>
                  <w:vAlign w:val="center"/>
                </w:tcPr>
                <w:p w14:paraId="52257231">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空压机</w:t>
                  </w:r>
                </w:p>
              </w:tc>
              <w:tc>
                <w:tcPr>
                  <w:tcW w:w="774" w:type="dxa"/>
                  <w:tcBorders>
                    <w:tl2br w:val="nil"/>
                    <w:tr2bl w:val="nil"/>
                  </w:tcBorders>
                  <w:noWrap w:val="0"/>
                  <w:vAlign w:val="center"/>
                </w:tcPr>
                <w:p w14:paraId="5AAF319C">
                  <w:pPr>
                    <w:keepNext w:val="0"/>
                    <w:keepLines w:val="0"/>
                    <w:widowControl/>
                    <w:suppressLineNumbers w:val="0"/>
                    <w:jc w:val="center"/>
                    <w:textAlignment w:val="center"/>
                    <w:rPr>
                      <w:rFonts w:hint="default" w:ascii="宋体" w:hAnsi="宋体" w:cs="宋体"/>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8台</w:t>
                  </w:r>
                </w:p>
              </w:tc>
              <w:tc>
                <w:tcPr>
                  <w:tcW w:w="823" w:type="dxa"/>
                  <w:tcBorders>
                    <w:tl2br w:val="nil"/>
                    <w:tr2bl w:val="nil"/>
                  </w:tcBorders>
                  <w:noWrap w:val="0"/>
                  <w:vAlign w:val="center"/>
                </w:tcPr>
                <w:p w14:paraId="67A3B57A">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84.03</w:t>
                  </w:r>
                </w:p>
              </w:tc>
              <w:tc>
                <w:tcPr>
                  <w:tcW w:w="636" w:type="dxa"/>
                  <w:vMerge w:val="continue"/>
                  <w:tcBorders>
                    <w:tl2br w:val="nil"/>
                    <w:tr2bl w:val="nil"/>
                  </w:tcBorders>
                  <w:noWrap w:val="0"/>
                  <w:vAlign w:val="center"/>
                </w:tcPr>
                <w:p w14:paraId="036C9038">
                  <w:pPr>
                    <w:spacing w:line="0" w:lineRule="atLeast"/>
                    <w:jc w:val="center"/>
                    <w:rPr>
                      <w:rFonts w:hint="default" w:ascii="Times New Roman" w:hAnsi="Times New Roman" w:eastAsia="宋体" w:cs="Times New Roman"/>
                      <w:color w:val="auto"/>
                      <w:sz w:val="21"/>
                      <w:szCs w:val="21"/>
                    </w:rPr>
                  </w:pPr>
                </w:p>
              </w:tc>
              <w:tc>
                <w:tcPr>
                  <w:tcW w:w="426" w:type="dxa"/>
                  <w:tcBorders>
                    <w:tl2br w:val="nil"/>
                    <w:tr2bl w:val="nil"/>
                  </w:tcBorders>
                  <w:noWrap w:val="0"/>
                  <w:vAlign w:val="center"/>
                </w:tcPr>
                <w:p w14:paraId="10C03616">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531" w:type="dxa"/>
                  <w:tcBorders>
                    <w:tl2br w:val="nil"/>
                    <w:tr2bl w:val="nil"/>
                  </w:tcBorders>
                  <w:noWrap w:val="0"/>
                  <w:vAlign w:val="center"/>
                </w:tcPr>
                <w:p w14:paraId="6E0784A4">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479" w:type="dxa"/>
                  <w:tcBorders>
                    <w:tl2br w:val="nil"/>
                    <w:tr2bl w:val="nil"/>
                  </w:tcBorders>
                  <w:noWrap w:val="0"/>
                  <w:vAlign w:val="center"/>
                </w:tcPr>
                <w:p w14:paraId="2A867824">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27" w:type="dxa"/>
                  <w:tcBorders>
                    <w:tl2br w:val="nil"/>
                    <w:tr2bl w:val="nil"/>
                  </w:tcBorders>
                  <w:noWrap w:val="0"/>
                  <w:vAlign w:val="center"/>
                </w:tcPr>
                <w:p w14:paraId="6E0DA7E7">
                  <w:pPr>
                    <w:widowControl/>
                    <w:spacing w:line="0" w:lineRule="atLeast"/>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54</w:t>
                  </w:r>
                </w:p>
              </w:tc>
              <w:tc>
                <w:tcPr>
                  <w:tcW w:w="505" w:type="dxa"/>
                  <w:tcBorders>
                    <w:tl2br w:val="nil"/>
                    <w:tr2bl w:val="nil"/>
                  </w:tcBorders>
                  <w:shd w:val="clear" w:color="auto" w:fill="auto"/>
                  <w:noWrap w:val="0"/>
                  <w:vAlign w:val="center"/>
                </w:tcPr>
                <w:p w14:paraId="3E719FAD">
                  <w:pPr>
                    <w:widowControl/>
                    <w:spacing w:line="0" w:lineRule="atLeast"/>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12</w:t>
                  </w:r>
                </w:p>
              </w:tc>
              <w:tc>
                <w:tcPr>
                  <w:tcW w:w="427" w:type="dxa"/>
                  <w:tcBorders>
                    <w:tl2br w:val="nil"/>
                    <w:tr2bl w:val="nil"/>
                  </w:tcBorders>
                  <w:shd w:val="clear" w:color="auto" w:fill="auto"/>
                  <w:noWrap w:val="0"/>
                  <w:vAlign w:val="center"/>
                </w:tcPr>
                <w:p w14:paraId="50F35115">
                  <w:pPr>
                    <w:widowControl/>
                    <w:spacing w:line="0" w:lineRule="atLeast"/>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30</w:t>
                  </w:r>
                </w:p>
              </w:tc>
              <w:tc>
                <w:tcPr>
                  <w:tcW w:w="429" w:type="dxa"/>
                  <w:tcBorders>
                    <w:tl2br w:val="nil"/>
                    <w:tr2bl w:val="nil"/>
                  </w:tcBorders>
                  <w:noWrap w:val="0"/>
                  <w:vAlign w:val="center"/>
                </w:tcPr>
                <w:p w14:paraId="0F56B31F">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28</w:t>
                  </w:r>
                </w:p>
              </w:tc>
              <w:tc>
                <w:tcPr>
                  <w:tcW w:w="428" w:type="dxa"/>
                  <w:tcBorders>
                    <w:tl2br w:val="nil"/>
                    <w:tr2bl w:val="nil"/>
                  </w:tcBorders>
                  <w:noWrap w:val="0"/>
                  <w:vAlign w:val="center"/>
                </w:tcPr>
                <w:p w14:paraId="796F0A9D">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49</w:t>
                  </w:r>
                </w:p>
              </w:tc>
              <w:tc>
                <w:tcPr>
                  <w:tcW w:w="427" w:type="dxa"/>
                  <w:tcBorders>
                    <w:tl2br w:val="nil"/>
                    <w:tr2bl w:val="nil"/>
                  </w:tcBorders>
                  <w:noWrap w:val="0"/>
                  <w:vAlign w:val="center"/>
                </w:tcPr>
                <w:p w14:paraId="77E4A046">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74</w:t>
                  </w:r>
                </w:p>
              </w:tc>
              <w:tc>
                <w:tcPr>
                  <w:tcW w:w="432" w:type="dxa"/>
                  <w:tcBorders>
                    <w:tl2br w:val="nil"/>
                    <w:tr2bl w:val="nil"/>
                  </w:tcBorders>
                  <w:noWrap w:val="0"/>
                  <w:vAlign w:val="center"/>
                </w:tcPr>
                <w:p w14:paraId="47EE23AB">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54</w:t>
                  </w:r>
                </w:p>
              </w:tc>
              <w:tc>
                <w:tcPr>
                  <w:tcW w:w="427" w:type="dxa"/>
                  <w:tcBorders>
                    <w:tl2br w:val="nil"/>
                    <w:tr2bl w:val="nil"/>
                  </w:tcBorders>
                  <w:noWrap w:val="0"/>
                  <w:vAlign w:val="center"/>
                </w:tcPr>
                <w:p w14:paraId="6E8E2ADA">
                  <w:pPr>
                    <w:spacing w:line="0" w:lineRule="atLeast"/>
                    <w:jc w:val="center"/>
                    <w:rPr>
                      <w:rFonts w:hint="default" w:cs="Times New Roman"/>
                      <w:bCs/>
                      <w:color w:val="auto"/>
                      <w:kern w:val="0"/>
                      <w:sz w:val="21"/>
                      <w:szCs w:val="21"/>
                      <w:lang w:val="en-US" w:eastAsia="zh-CN"/>
                    </w:rPr>
                  </w:pPr>
                  <w:r>
                    <w:rPr>
                      <w:rFonts w:hint="eastAsia" w:cs="Times New Roman"/>
                      <w:bCs/>
                      <w:color w:val="auto"/>
                      <w:kern w:val="0"/>
                      <w:sz w:val="21"/>
                      <w:szCs w:val="21"/>
                      <w:lang w:val="en-US" w:eastAsia="zh-CN"/>
                    </w:rPr>
                    <w:t>55</w:t>
                  </w:r>
                </w:p>
              </w:tc>
              <w:tc>
                <w:tcPr>
                  <w:tcW w:w="708" w:type="dxa"/>
                  <w:tcBorders>
                    <w:tl2br w:val="nil"/>
                    <w:tr2bl w:val="nil"/>
                  </w:tcBorders>
                  <w:noWrap w:val="0"/>
                  <w:vAlign w:val="center"/>
                </w:tcPr>
                <w:p w14:paraId="3CB99023">
                  <w:pPr>
                    <w:spacing w:line="0" w:lineRule="atLeast"/>
                    <w:jc w:val="center"/>
                    <w:rPr>
                      <w:rFonts w:hint="eastAsia" w:cs="Times New Roman"/>
                      <w:b w:val="0"/>
                      <w:bCs/>
                      <w:color w:val="auto"/>
                      <w:kern w:val="0"/>
                      <w:sz w:val="21"/>
                      <w:szCs w:val="21"/>
                      <w:lang w:val="en-US" w:eastAsia="zh-CN"/>
                    </w:rPr>
                  </w:pPr>
                  <w:r>
                    <w:rPr>
                      <w:rFonts w:hint="eastAsia" w:cs="Times New Roman"/>
                      <w:b w:val="0"/>
                      <w:bCs/>
                      <w:color w:val="auto"/>
                      <w:kern w:val="0"/>
                      <w:sz w:val="21"/>
                      <w:szCs w:val="21"/>
                      <w:lang w:val="en-US" w:eastAsia="zh-CN"/>
                    </w:rPr>
                    <w:t>8h</w:t>
                  </w:r>
                </w:p>
              </w:tc>
              <w:tc>
                <w:tcPr>
                  <w:tcW w:w="427" w:type="dxa"/>
                  <w:tcBorders>
                    <w:tl2br w:val="nil"/>
                    <w:tr2bl w:val="nil"/>
                  </w:tcBorders>
                  <w:noWrap w:val="0"/>
                  <w:vAlign w:val="center"/>
                </w:tcPr>
                <w:p w14:paraId="40C7E4B1">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09C8E593">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7FC56799">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DB02DF2">
                  <w:pPr>
                    <w:spacing w:line="0" w:lineRule="atLeast"/>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2</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6A9F4611">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24</w:t>
                  </w:r>
                </w:p>
              </w:tc>
              <w:tc>
                <w:tcPr>
                  <w:tcW w:w="427" w:type="dxa"/>
                  <w:tcBorders>
                    <w:tl2br w:val="nil"/>
                    <w:tr2bl w:val="nil"/>
                  </w:tcBorders>
                  <w:noWrap w:val="0"/>
                  <w:vAlign w:val="center"/>
                </w:tcPr>
                <w:p w14:paraId="7CF0E32B">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63</w:t>
                  </w:r>
                </w:p>
              </w:tc>
              <w:tc>
                <w:tcPr>
                  <w:tcW w:w="427" w:type="dxa"/>
                  <w:tcBorders>
                    <w:tl2br w:val="nil"/>
                    <w:tr2bl w:val="nil"/>
                  </w:tcBorders>
                  <w:noWrap w:val="0"/>
                  <w:vAlign w:val="center"/>
                </w:tcPr>
                <w:p w14:paraId="2B81A250">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5</w:t>
                  </w:r>
                  <w:r>
                    <w:rPr>
                      <w:rFonts w:hint="eastAsia" w:cs="Times New Roman"/>
                      <w:bCs/>
                      <w:color w:val="auto"/>
                      <w:kern w:val="0"/>
                      <w:sz w:val="21"/>
                      <w:szCs w:val="21"/>
                      <w:lang w:val="en-US" w:eastAsia="zh-CN"/>
                    </w:rPr>
                    <w:t>5</w:t>
                  </w:r>
                </w:p>
              </w:tc>
              <w:tc>
                <w:tcPr>
                  <w:tcW w:w="427" w:type="dxa"/>
                  <w:tcBorders>
                    <w:tl2br w:val="nil"/>
                    <w:tr2bl w:val="nil"/>
                  </w:tcBorders>
                  <w:noWrap w:val="0"/>
                  <w:vAlign w:val="center"/>
                </w:tcPr>
                <w:p w14:paraId="3A8832ED">
                  <w:pPr>
                    <w:spacing w:line="0" w:lineRule="atLeast"/>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30</w:t>
                  </w:r>
                </w:p>
              </w:tc>
              <w:tc>
                <w:tcPr>
                  <w:tcW w:w="427" w:type="dxa"/>
                  <w:tcBorders>
                    <w:tl2br w:val="nil"/>
                    <w:tr2bl w:val="nil"/>
                  </w:tcBorders>
                  <w:noWrap w:val="0"/>
                  <w:vAlign w:val="center"/>
                </w:tcPr>
                <w:p w14:paraId="26DD4CFC">
                  <w:pPr>
                    <w:spacing w:line="0" w:lineRule="atLeast"/>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1</w:t>
                  </w:r>
                </w:p>
              </w:tc>
            </w:tr>
          </w:tbl>
          <w:p w14:paraId="12BA361E">
            <w:pPr>
              <w:pStyle w:val="11"/>
              <w:numPr>
                <w:ilvl w:val="0"/>
                <w:numId w:val="0"/>
              </w:numPr>
              <w:spacing w:line="360" w:lineRule="auto"/>
              <w:ind w:firstLine="360" w:firstLineChars="200"/>
              <w:rPr>
                <w:b/>
                <w:bCs/>
                <w:color w:val="auto"/>
                <w:sz w:val="18"/>
                <w:szCs w:val="18"/>
              </w:rPr>
            </w:pPr>
            <w:r>
              <w:rPr>
                <w:rFonts w:eastAsia="Times New Roman"/>
                <w:b/>
                <w:bCs/>
                <w:color w:val="auto"/>
                <w:sz w:val="18"/>
                <w:szCs w:val="18"/>
                <w:lang w:val="zh-CN"/>
              </w:rPr>
              <w:t>注：坐标系建立以厂区西南角为坐标原点（x=0.00；y=0.00），x轴正向</w:t>
            </w:r>
            <w:r>
              <w:rPr>
                <w:rFonts w:hint="eastAsia" w:eastAsia="Times New Roman"/>
                <w:b/>
                <w:bCs/>
                <w:color w:val="auto"/>
                <w:sz w:val="18"/>
                <w:szCs w:val="18"/>
                <w:lang w:val="zh-CN"/>
              </w:rPr>
              <w:t>与厂房平行</w:t>
            </w:r>
            <w:r>
              <w:rPr>
                <w:rFonts w:eastAsia="Times New Roman"/>
                <w:b/>
                <w:bCs/>
                <w:color w:val="auto"/>
                <w:sz w:val="18"/>
                <w:szCs w:val="18"/>
                <w:lang w:val="zh-CN"/>
              </w:rPr>
              <w:t>，y轴正向与厂房平行。</w:t>
            </w:r>
          </w:p>
          <w:p w14:paraId="680C7B18">
            <w:pPr>
              <w:jc w:val="center"/>
              <w:rPr>
                <w:b/>
                <w:color w:val="auto"/>
                <w:kern w:val="0"/>
                <w:sz w:val="24"/>
              </w:rPr>
            </w:pPr>
            <w:r>
              <w:rPr>
                <w:b/>
                <w:color w:val="auto"/>
                <w:sz w:val="24"/>
                <w:szCs w:val="24"/>
              </w:rPr>
              <w:t>表</w:t>
            </w:r>
            <w:r>
              <w:rPr>
                <w:rFonts w:hint="eastAsia"/>
                <w:b/>
                <w:color w:val="auto"/>
                <w:sz w:val="24"/>
                <w:szCs w:val="24"/>
              </w:rPr>
              <w:t>4-20  工业企业噪声源强调查清单（室外噪声）</w:t>
            </w:r>
            <w:r>
              <w:rPr>
                <w:b/>
                <w:color w:val="auto"/>
                <w:sz w:val="24"/>
                <w:szCs w:val="24"/>
              </w:rPr>
              <w:t>单位：</w:t>
            </w:r>
            <w:r>
              <w:rPr>
                <w:b/>
                <w:color w:val="auto"/>
                <w:kern w:val="0"/>
                <w:sz w:val="24"/>
                <w:szCs w:val="24"/>
              </w:rPr>
              <w:t>dB（A）</w:t>
            </w:r>
          </w:p>
          <w:tbl>
            <w:tblPr>
              <w:tblStyle w:val="23"/>
              <w:tblW w:w="13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862"/>
              <w:gridCol w:w="1103"/>
              <w:gridCol w:w="825"/>
              <w:gridCol w:w="903"/>
              <w:gridCol w:w="841"/>
              <w:gridCol w:w="3103"/>
              <w:gridCol w:w="1665"/>
              <w:gridCol w:w="1725"/>
            </w:tblGrid>
            <w:tr w14:paraId="4CA9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Merge w:val="restart"/>
                  <w:vAlign w:val="center"/>
                </w:tcPr>
                <w:p w14:paraId="5A551B28">
                  <w:pPr>
                    <w:jc w:val="center"/>
                    <w:rPr>
                      <w:b/>
                      <w:bCs/>
                      <w:color w:val="auto"/>
                    </w:rPr>
                  </w:pPr>
                  <w:r>
                    <w:rPr>
                      <w:rFonts w:hint="eastAsia"/>
                      <w:b/>
                      <w:bCs/>
                      <w:color w:val="auto"/>
                    </w:rPr>
                    <w:t>序号</w:t>
                  </w:r>
                </w:p>
              </w:tc>
              <w:tc>
                <w:tcPr>
                  <w:tcW w:w="1862" w:type="dxa"/>
                  <w:vMerge w:val="restart"/>
                  <w:vAlign w:val="center"/>
                </w:tcPr>
                <w:p w14:paraId="23800B45">
                  <w:pPr>
                    <w:jc w:val="center"/>
                    <w:rPr>
                      <w:b/>
                      <w:bCs/>
                      <w:color w:val="auto"/>
                    </w:rPr>
                  </w:pPr>
                  <w:r>
                    <w:rPr>
                      <w:rFonts w:hint="eastAsia"/>
                      <w:b/>
                      <w:bCs/>
                      <w:color w:val="auto"/>
                    </w:rPr>
                    <w:t>声源名称</w:t>
                  </w:r>
                </w:p>
              </w:tc>
              <w:tc>
                <w:tcPr>
                  <w:tcW w:w="1103" w:type="dxa"/>
                  <w:vMerge w:val="restart"/>
                  <w:vAlign w:val="center"/>
                </w:tcPr>
                <w:p w14:paraId="6F638810">
                  <w:pPr>
                    <w:jc w:val="center"/>
                    <w:rPr>
                      <w:b/>
                      <w:bCs/>
                      <w:color w:val="auto"/>
                    </w:rPr>
                  </w:pPr>
                  <w:r>
                    <w:rPr>
                      <w:rFonts w:hint="eastAsia"/>
                      <w:b/>
                      <w:bCs/>
                      <w:color w:val="auto"/>
                    </w:rPr>
                    <w:t>型号</w:t>
                  </w:r>
                </w:p>
              </w:tc>
              <w:tc>
                <w:tcPr>
                  <w:tcW w:w="2569" w:type="dxa"/>
                  <w:gridSpan w:val="3"/>
                  <w:vAlign w:val="center"/>
                </w:tcPr>
                <w:p w14:paraId="547664C6">
                  <w:pPr>
                    <w:jc w:val="center"/>
                    <w:rPr>
                      <w:b/>
                      <w:bCs/>
                      <w:color w:val="auto"/>
                    </w:rPr>
                  </w:pPr>
                  <w:r>
                    <w:rPr>
                      <w:rFonts w:hint="eastAsia"/>
                      <w:b/>
                      <w:bCs/>
                      <w:color w:val="auto"/>
                    </w:rPr>
                    <w:t>空间相对位置/m</w:t>
                  </w:r>
                </w:p>
              </w:tc>
              <w:tc>
                <w:tcPr>
                  <w:tcW w:w="3103" w:type="dxa"/>
                  <w:vAlign w:val="center"/>
                </w:tcPr>
                <w:p w14:paraId="22EEC9D1">
                  <w:pPr>
                    <w:jc w:val="center"/>
                    <w:rPr>
                      <w:b/>
                      <w:bCs/>
                      <w:color w:val="auto"/>
                    </w:rPr>
                  </w:pPr>
                  <w:r>
                    <w:rPr>
                      <w:rFonts w:hint="eastAsia"/>
                      <w:b/>
                      <w:bCs/>
                      <w:color w:val="auto"/>
                    </w:rPr>
                    <w:t>声源源强</w:t>
                  </w:r>
                </w:p>
              </w:tc>
              <w:tc>
                <w:tcPr>
                  <w:tcW w:w="1665" w:type="dxa"/>
                  <w:vMerge w:val="restart"/>
                  <w:vAlign w:val="center"/>
                </w:tcPr>
                <w:p w14:paraId="589CBF71">
                  <w:pPr>
                    <w:jc w:val="center"/>
                    <w:rPr>
                      <w:b/>
                      <w:bCs/>
                      <w:color w:val="auto"/>
                    </w:rPr>
                  </w:pPr>
                  <w:r>
                    <w:rPr>
                      <w:rFonts w:hint="eastAsia"/>
                      <w:b/>
                      <w:bCs/>
                      <w:color w:val="auto"/>
                    </w:rPr>
                    <w:t>声源控制措施</w:t>
                  </w:r>
                </w:p>
              </w:tc>
              <w:tc>
                <w:tcPr>
                  <w:tcW w:w="1725" w:type="dxa"/>
                  <w:vMerge w:val="restart"/>
                  <w:vAlign w:val="center"/>
                </w:tcPr>
                <w:p w14:paraId="07A2BC78">
                  <w:pPr>
                    <w:jc w:val="center"/>
                    <w:rPr>
                      <w:b/>
                      <w:bCs/>
                      <w:color w:val="auto"/>
                    </w:rPr>
                  </w:pPr>
                  <w:r>
                    <w:rPr>
                      <w:rFonts w:hint="eastAsia"/>
                      <w:b/>
                      <w:bCs/>
                      <w:color w:val="auto"/>
                    </w:rPr>
                    <w:t>运行</w:t>
                  </w:r>
                </w:p>
                <w:p w14:paraId="58460614">
                  <w:pPr>
                    <w:jc w:val="center"/>
                    <w:rPr>
                      <w:b/>
                      <w:bCs/>
                      <w:color w:val="auto"/>
                    </w:rPr>
                  </w:pPr>
                  <w:r>
                    <w:rPr>
                      <w:rFonts w:hint="eastAsia"/>
                      <w:b/>
                      <w:bCs/>
                      <w:color w:val="auto"/>
                    </w:rPr>
                    <w:t>时段</w:t>
                  </w:r>
                </w:p>
              </w:tc>
            </w:tr>
            <w:tr w14:paraId="34AC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Merge w:val="continue"/>
                  <w:vAlign w:val="center"/>
                </w:tcPr>
                <w:p w14:paraId="0BDC0DBC">
                  <w:pPr>
                    <w:jc w:val="center"/>
                    <w:rPr>
                      <w:b/>
                      <w:bCs/>
                      <w:color w:val="auto"/>
                    </w:rPr>
                  </w:pPr>
                </w:p>
              </w:tc>
              <w:tc>
                <w:tcPr>
                  <w:tcW w:w="1862" w:type="dxa"/>
                  <w:vMerge w:val="continue"/>
                  <w:vAlign w:val="center"/>
                </w:tcPr>
                <w:p w14:paraId="401DD1F1">
                  <w:pPr>
                    <w:jc w:val="center"/>
                    <w:rPr>
                      <w:b/>
                      <w:bCs/>
                      <w:color w:val="auto"/>
                    </w:rPr>
                  </w:pPr>
                </w:p>
              </w:tc>
              <w:tc>
                <w:tcPr>
                  <w:tcW w:w="1103" w:type="dxa"/>
                  <w:vMerge w:val="continue"/>
                  <w:vAlign w:val="center"/>
                </w:tcPr>
                <w:p w14:paraId="78EF4BE5">
                  <w:pPr>
                    <w:jc w:val="center"/>
                    <w:rPr>
                      <w:b/>
                      <w:bCs/>
                      <w:color w:val="auto"/>
                    </w:rPr>
                  </w:pPr>
                </w:p>
              </w:tc>
              <w:tc>
                <w:tcPr>
                  <w:tcW w:w="825" w:type="dxa"/>
                  <w:vAlign w:val="center"/>
                </w:tcPr>
                <w:p w14:paraId="7B1EB1FD">
                  <w:pPr>
                    <w:jc w:val="center"/>
                    <w:rPr>
                      <w:b/>
                      <w:bCs/>
                      <w:color w:val="auto"/>
                    </w:rPr>
                  </w:pPr>
                  <w:r>
                    <w:rPr>
                      <w:rFonts w:hint="eastAsia"/>
                      <w:b/>
                      <w:bCs/>
                      <w:color w:val="auto"/>
                    </w:rPr>
                    <w:t>X</w:t>
                  </w:r>
                </w:p>
              </w:tc>
              <w:tc>
                <w:tcPr>
                  <w:tcW w:w="903" w:type="dxa"/>
                  <w:vAlign w:val="center"/>
                </w:tcPr>
                <w:p w14:paraId="4EBC239B">
                  <w:pPr>
                    <w:jc w:val="center"/>
                    <w:rPr>
                      <w:b/>
                      <w:bCs/>
                      <w:color w:val="auto"/>
                    </w:rPr>
                  </w:pPr>
                  <w:r>
                    <w:rPr>
                      <w:rFonts w:hint="eastAsia"/>
                      <w:b/>
                      <w:bCs/>
                      <w:color w:val="auto"/>
                    </w:rPr>
                    <w:t>Y</w:t>
                  </w:r>
                </w:p>
              </w:tc>
              <w:tc>
                <w:tcPr>
                  <w:tcW w:w="841" w:type="dxa"/>
                  <w:vAlign w:val="center"/>
                </w:tcPr>
                <w:p w14:paraId="79E8E79B">
                  <w:pPr>
                    <w:jc w:val="center"/>
                    <w:rPr>
                      <w:b/>
                      <w:bCs/>
                      <w:color w:val="auto"/>
                    </w:rPr>
                  </w:pPr>
                  <w:r>
                    <w:rPr>
                      <w:rFonts w:hint="eastAsia"/>
                      <w:b/>
                      <w:bCs/>
                      <w:color w:val="auto"/>
                    </w:rPr>
                    <w:t>Z</w:t>
                  </w:r>
                </w:p>
              </w:tc>
              <w:tc>
                <w:tcPr>
                  <w:tcW w:w="3103" w:type="dxa"/>
                  <w:vAlign w:val="center"/>
                </w:tcPr>
                <w:p w14:paraId="7E2FBF64">
                  <w:pPr>
                    <w:jc w:val="center"/>
                    <w:rPr>
                      <w:b/>
                      <w:bCs/>
                      <w:color w:val="auto"/>
                    </w:rPr>
                  </w:pPr>
                  <w:r>
                    <w:rPr>
                      <w:rFonts w:hint="eastAsia"/>
                      <w:b/>
                      <w:bCs/>
                      <w:color w:val="auto"/>
                    </w:rPr>
                    <w:t>（声压级/距声源距离）/（dB(A)/m）</w:t>
                  </w:r>
                </w:p>
              </w:tc>
              <w:tc>
                <w:tcPr>
                  <w:tcW w:w="1665" w:type="dxa"/>
                  <w:vMerge w:val="continue"/>
                  <w:vAlign w:val="center"/>
                </w:tcPr>
                <w:p w14:paraId="6FEB7B33">
                  <w:pPr>
                    <w:jc w:val="center"/>
                    <w:rPr>
                      <w:b/>
                      <w:bCs/>
                      <w:color w:val="auto"/>
                    </w:rPr>
                  </w:pPr>
                </w:p>
              </w:tc>
              <w:tc>
                <w:tcPr>
                  <w:tcW w:w="1725" w:type="dxa"/>
                  <w:vMerge w:val="continue"/>
                  <w:vAlign w:val="center"/>
                </w:tcPr>
                <w:p w14:paraId="2423CAF2">
                  <w:pPr>
                    <w:jc w:val="center"/>
                    <w:rPr>
                      <w:b/>
                      <w:bCs/>
                      <w:color w:val="auto"/>
                    </w:rPr>
                  </w:pPr>
                </w:p>
              </w:tc>
            </w:tr>
            <w:tr w14:paraId="55E2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14:paraId="4291BA1C">
                  <w:pPr>
                    <w:jc w:val="center"/>
                    <w:rPr>
                      <w:color w:val="auto"/>
                    </w:rPr>
                  </w:pPr>
                  <w:r>
                    <w:rPr>
                      <w:rFonts w:hint="eastAsia"/>
                      <w:color w:val="auto"/>
                    </w:rPr>
                    <w:t>1</w:t>
                  </w:r>
                </w:p>
              </w:tc>
              <w:tc>
                <w:tcPr>
                  <w:tcW w:w="1862" w:type="dxa"/>
                  <w:vAlign w:val="center"/>
                </w:tcPr>
                <w:p w14:paraId="2A543733">
                  <w:pPr>
                    <w:jc w:val="center"/>
                    <w:rPr>
                      <w:color w:val="auto"/>
                    </w:rPr>
                  </w:pPr>
                  <w:r>
                    <w:rPr>
                      <w:rFonts w:hint="eastAsia"/>
                      <w:color w:val="auto"/>
                    </w:rPr>
                    <w:t>1#风机</w:t>
                  </w:r>
                </w:p>
              </w:tc>
              <w:tc>
                <w:tcPr>
                  <w:tcW w:w="1103" w:type="dxa"/>
                  <w:vAlign w:val="center"/>
                </w:tcPr>
                <w:p w14:paraId="1FB32FDD">
                  <w:pPr>
                    <w:jc w:val="center"/>
                    <w:rPr>
                      <w:color w:val="auto"/>
                    </w:rPr>
                  </w:pPr>
                  <w:r>
                    <w:rPr>
                      <w:rFonts w:hint="eastAsia"/>
                      <w:bCs/>
                      <w:color w:val="auto"/>
                      <w:kern w:val="0"/>
                    </w:rPr>
                    <w:t>/</w:t>
                  </w:r>
                </w:p>
              </w:tc>
              <w:tc>
                <w:tcPr>
                  <w:tcW w:w="825" w:type="dxa"/>
                  <w:vAlign w:val="center"/>
                </w:tcPr>
                <w:p w14:paraId="65CDD6F3">
                  <w:pPr>
                    <w:jc w:val="center"/>
                    <w:rPr>
                      <w:color w:val="auto"/>
                    </w:rPr>
                  </w:pPr>
                  <w:r>
                    <w:rPr>
                      <w:rFonts w:hint="eastAsia"/>
                      <w:color w:val="auto"/>
                    </w:rPr>
                    <w:t>25</w:t>
                  </w:r>
                </w:p>
              </w:tc>
              <w:tc>
                <w:tcPr>
                  <w:tcW w:w="903" w:type="dxa"/>
                  <w:vAlign w:val="center"/>
                </w:tcPr>
                <w:p w14:paraId="15195035">
                  <w:pPr>
                    <w:jc w:val="center"/>
                    <w:rPr>
                      <w:color w:val="auto"/>
                    </w:rPr>
                  </w:pPr>
                  <w:r>
                    <w:rPr>
                      <w:rFonts w:hint="eastAsia"/>
                      <w:color w:val="auto"/>
                    </w:rPr>
                    <w:t>102</w:t>
                  </w:r>
                </w:p>
              </w:tc>
              <w:tc>
                <w:tcPr>
                  <w:tcW w:w="841" w:type="dxa"/>
                  <w:vAlign w:val="center"/>
                </w:tcPr>
                <w:p w14:paraId="2D5D154B">
                  <w:pPr>
                    <w:jc w:val="center"/>
                    <w:rPr>
                      <w:color w:val="auto"/>
                    </w:rPr>
                  </w:pPr>
                  <w:r>
                    <w:rPr>
                      <w:rFonts w:hint="eastAsia"/>
                      <w:color w:val="auto"/>
                    </w:rPr>
                    <w:t>1.2</w:t>
                  </w:r>
                </w:p>
              </w:tc>
              <w:tc>
                <w:tcPr>
                  <w:tcW w:w="3103" w:type="dxa"/>
                  <w:vAlign w:val="center"/>
                </w:tcPr>
                <w:p w14:paraId="3726AC87">
                  <w:pPr>
                    <w:jc w:val="center"/>
                    <w:rPr>
                      <w:color w:val="auto"/>
                    </w:rPr>
                  </w:pPr>
                  <w:r>
                    <w:rPr>
                      <w:rFonts w:hint="eastAsia"/>
                      <w:color w:val="auto"/>
                    </w:rPr>
                    <w:t>80/1</w:t>
                  </w:r>
                </w:p>
              </w:tc>
              <w:tc>
                <w:tcPr>
                  <w:tcW w:w="1665" w:type="dxa"/>
                  <w:vAlign w:val="center"/>
                </w:tcPr>
                <w:p w14:paraId="5A48F45A">
                  <w:pPr>
                    <w:jc w:val="center"/>
                    <w:rPr>
                      <w:color w:val="auto"/>
                    </w:rPr>
                  </w:pPr>
                  <w:r>
                    <w:rPr>
                      <w:rFonts w:hint="eastAsia"/>
                      <w:color w:val="auto"/>
                    </w:rPr>
                    <w:t>距离衰减</w:t>
                  </w:r>
                </w:p>
              </w:tc>
              <w:tc>
                <w:tcPr>
                  <w:tcW w:w="1725" w:type="dxa"/>
                  <w:vAlign w:val="center"/>
                </w:tcPr>
                <w:p w14:paraId="2FA18174">
                  <w:pPr>
                    <w:jc w:val="center"/>
                    <w:rPr>
                      <w:color w:val="auto"/>
                    </w:rPr>
                  </w:pPr>
                  <w:r>
                    <w:rPr>
                      <w:rFonts w:hint="eastAsia"/>
                      <w:color w:val="auto"/>
                    </w:rPr>
                    <w:t>8h</w:t>
                  </w:r>
                </w:p>
              </w:tc>
            </w:tr>
            <w:tr w14:paraId="5122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14:paraId="46F88642">
                  <w:pPr>
                    <w:jc w:val="center"/>
                    <w:rPr>
                      <w:color w:val="auto"/>
                    </w:rPr>
                  </w:pPr>
                  <w:r>
                    <w:rPr>
                      <w:rFonts w:hint="eastAsia"/>
                      <w:color w:val="auto"/>
                    </w:rPr>
                    <w:t>2</w:t>
                  </w:r>
                </w:p>
              </w:tc>
              <w:tc>
                <w:tcPr>
                  <w:tcW w:w="1862" w:type="dxa"/>
                  <w:vAlign w:val="center"/>
                </w:tcPr>
                <w:p w14:paraId="67CFAB54">
                  <w:pPr>
                    <w:jc w:val="center"/>
                    <w:rPr>
                      <w:color w:val="auto"/>
                    </w:rPr>
                  </w:pPr>
                  <w:r>
                    <w:rPr>
                      <w:rFonts w:hint="eastAsia"/>
                      <w:color w:val="auto"/>
                    </w:rPr>
                    <w:t>2#风机</w:t>
                  </w:r>
                </w:p>
              </w:tc>
              <w:tc>
                <w:tcPr>
                  <w:tcW w:w="1103" w:type="dxa"/>
                  <w:vAlign w:val="center"/>
                </w:tcPr>
                <w:p w14:paraId="403554A5">
                  <w:pPr>
                    <w:jc w:val="center"/>
                    <w:rPr>
                      <w:bCs/>
                      <w:color w:val="auto"/>
                      <w:kern w:val="0"/>
                    </w:rPr>
                  </w:pPr>
                  <w:r>
                    <w:rPr>
                      <w:rFonts w:hint="eastAsia"/>
                      <w:bCs/>
                      <w:color w:val="auto"/>
                      <w:kern w:val="0"/>
                    </w:rPr>
                    <w:t>/</w:t>
                  </w:r>
                </w:p>
              </w:tc>
              <w:tc>
                <w:tcPr>
                  <w:tcW w:w="825" w:type="dxa"/>
                  <w:vAlign w:val="center"/>
                </w:tcPr>
                <w:p w14:paraId="2561070C">
                  <w:pPr>
                    <w:jc w:val="center"/>
                    <w:rPr>
                      <w:color w:val="auto"/>
                    </w:rPr>
                  </w:pPr>
                  <w:r>
                    <w:rPr>
                      <w:rFonts w:hint="eastAsia"/>
                      <w:color w:val="auto"/>
                    </w:rPr>
                    <w:t>74</w:t>
                  </w:r>
                </w:p>
              </w:tc>
              <w:tc>
                <w:tcPr>
                  <w:tcW w:w="903" w:type="dxa"/>
                  <w:vAlign w:val="center"/>
                </w:tcPr>
                <w:p w14:paraId="12437539">
                  <w:pPr>
                    <w:jc w:val="center"/>
                    <w:rPr>
                      <w:color w:val="auto"/>
                    </w:rPr>
                  </w:pPr>
                  <w:r>
                    <w:rPr>
                      <w:rFonts w:hint="eastAsia"/>
                      <w:color w:val="auto"/>
                    </w:rPr>
                    <w:t>102</w:t>
                  </w:r>
                </w:p>
              </w:tc>
              <w:tc>
                <w:tcPr>
                  <w:tcW w:w="841" w:type="dxa"/>
                  <w:vAlign w:val="center"/>
                </w:tcPr>
                <w:p w14:paraId="711A8627">
                  <w:pPr>
                    <w:jc w:val="center"/>
                    <w:rPr>
                      <w:color w:val="auto"/>
                    </w:rPr>
                  </w:pPr>
                  <w:r>
                    <w:rPr>
                      <w:rFonts w:hint="eastAsia"/>
                      <w:color w:val="auto"/>
                    </w:rPr>
                    <w:t>1.2</w:t>
                  </w:r>
                </w:p>
              </w:tc>
              <w:tc>
                <w:tcPr>
                  <w:tcW w:w="3103" w:type="dxa"/>
                  <w:vAlign w:val="center"/>
                </w:tcPr>
                <w:p w14:paraId="2CE1921D">
                  <w:pPr>
                    <w:jc w:val="center"/>
                    <w:rPr>
                      <w:color w:val="auto"/>
                    </w:rPr>
                  </w:pPr>
                  <w:r>
                    <w:rPr>
                      <w:rFonts w:hint="eastAsia"/>
                      <w:color w:val="auto"/>
                    </w:rPr>
                    <w:t>80/1</w:t>
                  </w:r>
                </w:p>
              </w:tc>
              <w:tc>
                <w:tcPr>
                  <w:tcW w:w="1665" w:type="dxa"/>
                  <w:vAlign w:val="center"/>
                </w:tcPr>
                <w:p w14:paraId="5863119D">
                  <w:pPr>
                    <w:jc w:val="center"/>
                    <w:rPr>
                      <w:color w:val="auto"/>
                    </w:rPr>
                  </w:pPr>
                  <w:r>
                    <w:rPr>
                      <w:rFonts w:hint="eastAsia"/>
                      <w:color w:val="auto"/>
                    </w:rPr>
                    <w:t>距离衰减</w:t>
                  </w:r>
                </w:p>
              </w:tc>
              <w:tc>
                <w:tcPr>
                  <w:tcW w:w="1725" w:type="dxa"/>
                  <w:vAlign w:val="center"/>
                </w:tcPr>
                <w:p w14:paraId="0CB64362">
                  <w:pPr>
                    <w:jc w:val="center"/>
                    <w:rPr>
                      <w:color w:val="auto"/>
                    </w:rPr>
                  </w:pPr>
                  <w:r>
                    <w:rPr>
                      <w:rFonts w:hint="eastAsia"/>
                      <w:color w:val="auto"/>
                    </w:rPr>
                    <w:t>8h</w:t>
                  </w:r>
                </w:p>
              </w:tc>
            </w:tr>
            <w:tr w14:paraId="0941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14:paraId="4F72CCEB">
                  <w:pPr>
                    <w:jc w:val="center"/>
                    <w:rPr>
                      <w:color w:val="auto"/>
                    </w:rPr>
                  </w:pPr>
                  <w:r>
                    <w:rPr>
                      <w:rFonts w:hint="eastAsia"/>
                      <w:color w:val="auto"/>
                    </w:rPr>
                    <w:t>3</w:t>
                  </w:r>
                </w:p>
              </w:tc>
              <w:tc>
                <w:tcPr>
                  <w:tcW w:w="1862" w:type="dxa"/>
                  <w:vAlign w:val="center"/>
                </w:tcPr>
                <w:p w14:paraId="07C1A393">
                  <w:pPr>
                    <w:jc w:val="center"/>
                    <w:rPr>
                      <w:color w:val="auto"/>
                    </w:rPr>
                  </w:pPr>
                  <w:r>
                    <w:rPr>
                      <w:rFonts w:hint="eastAsia"/>
                      <w:color w:val="auto"/>
                    </w:rPr>
                    <w:t>3#风机</w:t>
                  </w:r>
                </w:p>
              </w:tc>
              <w:tc>
                <w:tcPr>
                  <w:tcW w:w="1103" w:type="dxa"/>
                  <w:vAlign w:val="center"/>
                </w:tcPr>
                <w:p w14:paraId="13405CD5">
                  <w:pPr>
                    <w:jc w:val="center"/>
                    <w:rPr>
                      <w:bCs/>
                      <w:color w:val="auto"/>
                      <w:kern w:val="0"/>
                    </w:rPr>
                  </w:pPr>
                  <w:r>
                    <w:rPr>
                      <w:rFonts w:hint="eastAsia"/>
                      <w:bCs/>
                      <w:color w:val="auto"/>
                      <w:kern w:val="0"/>
                    </w:rPr>
                    <w:t>/</w:t>
                  </w:r>
                </w:p>
              </w:tc>
              <w:tc>
                <w:tcPr>
                  <w:tcW w:w="825" w:type="dxa"/>
                  <w:vAlign w:val="center"/>
                </w:tcPr>
                <w:p w14:paraId="0E967DA5">
                  <w:pPr>
                    <w:jc w:val="center"/>
                    <w:rPr>
                      <w:color w:val="auto"/>
                    </w:rPr>
                  </w:pPr>
                  <w:r>
                    <w:rPr>
                      <w:rFonts w:hint="eastAsia"/>
                      <w:color w:val="auto"/>
                    </w:rPr>
                    <w:t>123</w:t>
                  </w:r>
                </w:p>
              </w:tc>
              <w:tc>
                <w:tcPr>
                  <w:tcW w:w="903" w:type="dxa"/>
                  <w:vAlign w:val="center"/>
                </w:tcPr>
                <w:p w14:paraId="703FBA2F">
                  <w:pPr>
                    <w:jc w:val="center"/>
                    <w:rPr>
                      <w:color w:val="auto"/>
                    </w:rPr>
                  </w:pPr>
                  <w:r>
                    <w:rPr>
                      <w:rFonts w:hint="eastAsia"/>
                      <w:color w:val="auto"/>
                    </w:rPr>
                    <w:t>140</w:t>
                  </w:r>
                </w:p>
              </w:tc>
              <w:tc>
                <w:tcPr>
                  <w:tcW w:w="841" w:type="dxa"/>
                  <w:vAlign w:val="center"/>
                </w:tcPr>
                <w:p w14:paraId="35C7D96C">
                  <w:pPr>
                    <w:jc w:val="center"/>
                    <w:rPr>
                      <w:color w:val="auto"/>
                    </w:rPr>
                  </w:pPr>
                  <w:r>
                    <w:rPr>
                      <w:rFonts w:hint="eastAsia"/>
                      <w:color w:val="auto"/>
                    </w:rPr>
                    <w:t>1.2</w:t>
                  </w:r>
                </w:p>
              </w:tc>
              <w:tc>
                <w:tcPr>
                  <w:tcW w:w="3103" w:type="dxa"/>
                  <w:vAlign w:val="center"/>
                </w:tcPr>
                <w:p w14:paraId="6F4C25D5">
                  <w:pPr>
                    <w:jc w:val="center"/>
                    <w:rPr>
                      <w:color w:val="auto"/>
                    </w:rPr>
                  </w:pPr>
                  <w:r>
                    <w:rPr>
                      <w:rFonts w:hint="eastAsia"/>
                      <w:color w:val="auto"/>
                    </w:rPr>
                    <w:t>80/1</w:t>
                  </w:r>
                </w:p>
              </w:tc>
              <w:tc>
                <w:tcPr>
                  <w:tcW w:w="1665" w:type="dxa"/>
                  <w:vAlign w:val="center"/>
                </w:tcPr>
                <w:p w14:paraId="581D0F0D">
                  <w:pPr>
                    <w:jc w:val="center"/>
                    <w:rPr>
                      <w:color w:val="auto"/>
                    </w:rPr>
                  </w:pPr>
                  <w:r>
                    <w:rPr>
                      <w:rFonts w:hint="eastAsia"/>
                      <w:color w:val="auto"/>
                    </w:rPr>
                    <w:t>距离衰减</w:t>
                  </w:r>
                </w:p>
              </w:tc>
              <w:tc>
                <w:tcPr>
                  <w:tcW w:w="1725" w:type="dxa"/>
                  <w:vAlign w:val="center"/>
                </w:tcPr>
                <w:p w14:paraId="2C1A690A">
                  <w:pPr>
                    <w:jc w:val="center"/>
                    <w:rPr>
                      <w:color w:val="auto"/>
                    </w:rPr>
                  </w:pPr>
                  <w:r>
                    <w:rPr>
                      <w:rFonts w:hint="eastAsia"/>
                      <w:color w:val="auto"/>
                    </w:rPr>
                    <w:t>8h</w:t>
                  </w:r>
                </w:p>
              </w:tc>
            </w:tr>
          </w:tbl>
          <w:p w14:paraId="2B8168AF">
            <w:pPr>
              <w:pStyle w:val="8"/>
              <w:rPr>
                <w:rFonts w:eastAsia="Times New Roman"/>
                <w:b/>
                <w:bCs/>
                <w:color w:val="auto"/>
                <w:szCs w:val="18"/>
                <w:lang w:val="zh-CN"/>
              </w:rPr>
            </w:pPr>
            <w:r>
              <w:rPr>
                <w:rFonts w:eastAsia="Times New Roman"/>
                <w:b/>
                <w:bCs/>
                <w:color w:val="auto"/>
                <w:szCs w:val="18"/>
                <w:lang w:val="zh-CN"/>
              </w:rPr>
              <w:t>注：坐标系建立以厂区西南角为坐标原点（x=0.00；y=0.00），x轴正向</w:t>
            </w:r>
            <w:r>
              <w:rPr>
                <w:rFonts w:hint="eastAsia" w:eastAsia="Times New Roman"/>
                <w:b/>
                <w:bCs/>
                <w:color w:val="auto"/>
                <w:szCs w:val="18"/>
                <w:lang w:val="zh-CN"/>
              </w:rPr>
              <w:t>与厂房平行</w:t>
            </w:r>
            <w:r>
              <w:rPr>
                <w:rFonts w:eastAsia="Times New Roman"/>
                <w:b/>
                <w:bCs/>
                <w:color w:val="auto"/>
                <w:szCs w:val="18"/>
                <w:lang w:val="zh-CN"/>
              </w:rPr>
              <w:t>，y轴正向与厂房平行。</w:t>
            </w:r>
          </w:p>
          <w:p w14:paraId="13B841F4">
            <w:pPr>
              <w:pStyle w:val="8"/>
              <w:rPr>
                <w:rFonts w:eastAsia="Times New Roman"/>
                <w:b/>
                <w:bCs/>
                <w:color w:val="auto"/>
                <w:szCs w:val="18"/>
                <w:lang w:val="zh-CN"/>
              </w:rPr>
            </w:pPr>
          </w:p>
          <w:p w14:paraId="09953DDD">
            <w:pPr>
              <w:pStyle w:val="8"/>
              <w:rPr>
                <w:rFonts w:eastAsia="Times New Roman"/>
                <w:b/>
                <w:bCs/>
                <w:color w:val="auto"/>
                <w:szCs w:val="18"/>
                <w:lang w:val="zh-CN"/>
              </w:rPr>
            </w:pPr>
          </w:p>
          <w:p w14:paraId="627D26EE">
            <w:pPr>
              <w:pStyle w:val="8"/>
              <w:rPr>
                <w:rFonts w:eastAsia="Times New Roman"/>
                <w:b/>
                <w:bCs/>
                <w:color w:val="auto"/>
                <w:szCs w:val="18"/>
                <w:lang w:val="zh-CN"/>
              </w:rPr>
            </w:pPr>
          </w:p>
        </w:tc>
      </w:tr>
    </w:tbl>
    <w:p w14:paraId="0E8818C1">
      <w:pPr>
        <w:pStyle w:val="8"/>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9343"/>
      </w:tblGrid>
      <w:tr w14:paraId="71A4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02" w:hRule="atLeast"/>
          <w:jc w:val="center"/>
        </w:trPr>
        <w:tc>
          <w:tcPr>
            <w:tcW w:w="578" w:type="dxa"/>
          </w:tcPr>
          <w:p w14:paraId="2C431F01">
            <w:pPr>
              <w:pStyle w:val="3"/>
              <w:outlineLvl w:val="2"/>
              <w:rPr>
                <w:color w:val="auto"/>
              </w:rPr>
            </w:pPr>
          </w:p>
        </w:tc>
        <w:tc>
          <w:tcPr>
            <w:tcW w:w="9343" w:type="dxa"/>
          </w:tcPr>
          <w:p w14:paraId="5103A89A">
            <w:pPr>
              <w:spacing w:line="360" w:lineRule="auto"/>
              <w:ind w:firstLine="480" w:firstLineChars="200"/>
              <w:rPr>
                <w:color w:val="auto"/>
                <w:sz w:val="24"/>
                <w:szCs w:val="24"/>
              </w:rPr>
            </w:pPr>
            <w:r>
              <w:rPr>
                <w:color w:val="auto"/>
                <w:sz w:val="24"/>
                <w:szCs w:val="24"/>
              </w:rPr>
              <w:t>3.2噪声污染防治措施可行性分析</w:t>
            </w:r>
          </w:p>
          <w:p w14:paraId="3B6D499D">
            <w:pPr>
              <w:spacing w:line="360" w:lineRule="auto"/>
              <w:ind w:firstLine="480" w:firstLineChars="200"/>
              <w:rPr>
                <w:color w:val="auto"/>
                <w:sz w:val="24"/>
                <w:szCs w:val="24"/>
              </w:rPr>
            </w:pPr>
            <w:r>
              <w:rPr>
                <w:color w:val="auto"/>
                <w:sz w:val="24"/>
                <w:szCs w:val="24"/>
              </w:rPr>
              <w:t>应按照《工业企业噪声控制设计规范》对厂内主要噪声源合理布局：</w:t>
            </w:r>
          </w:p>
          <w:p w14:paraId="38421C09">
            <w:pPr>
              <w:spacing w:line="360" w:lineRule="auto"/>
              <w:ind w:firstLine="480" w:firstLineChars="200"/>
              <w:rPr>
                <w:color w:val="auto"/>
                <w:sz w:val="24"/>
                <w:szCs w:val="24"/>
              </w:rPr>
            </w:pPr>
            <w:r>
              <w:rPr>
                <w:color w:val="auto"/>
                <w:sz w:val="24"/>
                <w:szCs w:val="24"/>
              </w:rPr>
              <w:t>①在满足工艺流程要求的前提下，高噪声设备相对集中，并尽量布置在厂房的一隅，车间隔声能力应按2</w:t>
            </w:r>
            <w:r>
              <w:rPr>
                <w:rFonts w:hint="eastAsia"/>
                <w:color w:val="auto"/>
                <w:sz w:val="24"/>
                <w:szCs w:val="24"/>
              </w:rPr>
              <w:t>0</w:t>
            </w:r>
            <w:r>
              <w:rPr>
                <w:color w:val="auto"/>
                <w:sz w:val="24"/>
                <w:szCs w:val="24"/>
              </w:rPr>
              <w:t>dB（A）设计，并能充分利用建筑物的隔声及距离的衰减。</w:t>
            </w:r>
          </w:p>
          <w:p w14:paraId="2300BE29">
            <w:pPr>
              <w:spacing w:line="360" w:lineRule="auto"/>
              <w:ind w:firstLine="480" w:firstLineChars="200"/>
              <w:rPr>
                <w:color w:val="auto"/>
                <w:sz w:val="24"/>
                <w:szCs w:val="24"/>
              </w:rPr>
            </w:pPr>
            <w:r>
              <w:rPr>
                <w:color w:val="auto"/>
                <w:sz w:val="24"/>
                <w:szCs w:val="24"/>
              </w:rPr>
              <w:t>②有强烈振动的设备，不布置在楼板或平台上。</w:t>
            </w:r>
          </w:p>
          <w:p w14:paraId="07BD015D">
            <w:pPr>
              <w:spacing w:line="360" w:lineRule="auto"/>
              <w:ind w:firstLine="480" w:firstLineChars="200"/>
              <w:rPr>
                <w:color w:val="auto"/>
                <w:sz w:val="24"/>
                <w:szCs w:val="24"/>
              </w:rPr>
            </w:pPr>
            <w:r>
              <w:rPr>
                <w:color w:val="auto"/>
                <w:sz w:val="24"/>
                <w:szCs w:val="24"/>
              </w:rPr>
              <w:t>③设备布置时，考虑与其配用的噪声控制专用设备的安装和维修所需的空间。</w:t>
            </w:r>
          </w:p>
          <w:p w14:paraId="0ED9525A">
            <w:pPr>
              <w:spacing w:line="360" w:lineRule="auto"/>
              <w:ind w:firstLine="480" w:firstLineChars="200"/>
              <w:rPr>
                <w:color w:val="auto"/>
                <w:sz w:val="24"/>
                <w:szCs w:val="24"/>
              </w:rPr>
            </w:pPr>
            <w:r>
              <w:rPr>
                <w:color w:val="auto"/>
                <w:sz w:val="24"/>
                <w:szCs w:val="24"/>
              </w:rPr>
              <w:t>④选用噪声较低、振动较小的设备；在对主要噪声源设备选择时，应收集和比较同类型设备的噪声指标；对于噪声较大的设备，应从设备选型开始要求供货商提供符合要求的低噪声设备。</w:t>
            </w:r>
          </w:p>
          <w:p w14:paraId="2ED56D89">
            <w:pPr>
              <w:spacing w:line="360" w:lineRule="auto"/>
              <w:ind w:firstLine="480" w:firstLineChars="200"/>
              <w:rPr>
                <w:color w:val="auto"/>
                <w:sz w:val="24"/>
                <w:szCs w:val="24"/>
              </w:rPr>
            </w:pPr>
            <w:r>
              <w:rPr>
                <w:color w:val="auto"/>
                <w:sz w:val="24"/>
                <w:szCs w:val="24"/>
              </w:rPr>
              <w:t>3.3噪声环境影响分析</w:t>
            </w:r>
          </w:p>
          <w:p w14:paraId="2385A63E">
            <w:pPr>
              <w:spacing w:line="360" w:lineRule="auto"/>
              <w:ind w:firstLine="480" w:firstLineChars="200"/>
              <w:rPr>
                <w:color w:val="auto"/>
                <w:sz w:val="24"/>
                <w:szCs w:val="24"/>
                <w:lang w:val="zh-CN"/>
              </w:rPr>
            </w:pPr>
            <w:r>
              <w:rPr>
                <w:color w:val="auto"/>
                <w:sz w:val="24"/>
                <w:szCs w:val="24"/>
                <w:lang w:val="zh-CN"/>
              </w:rPr>
              <w:t>（1）预测内容</w:t>
            </w:r>
          </w:p>
          <w:p w14:paraId="0F897162">
            <w:pPr>
              <w:spacing w:line="360" w:lineRule="auto"/>
              <w:ind w:firstLine="480" w:firstLineChars="200"/>
              <w:rPr>
                <w:color w:val="auto"/>
                <w:sz w:val="24"/>
                <w:szCs w:val="24"/>
                <w:lang w:val="zh-CN"/>
              </w:rPr>
            </w:pPr>
            <w:r>
              <w:rPr>
                <w:color w:val="auto"/>
                <w:sz w:val="24"/>
                <w:szCs w:val="24"/>
                <w:lang w:val="zh-CN"/>
              </w:rPr>
              <w:t>项目噪声源昼间运行，项目地周围50m范围内无声环境敏感保护目标。因此，本次评价预测内容是噪声源强对东、南、西、北厂界昼间噪声的贡献值，确定厂界是否能达标排放。</w:t>
            </w:r>
          </w:p>
          <w:p w14:paraId="33F9B05E">
            <w:pPr>
              <w:spacing w:line="360" w:lineRule="auto"/>
              <w:ind w:firstLine="480" w:firstLineChars="200"/>
              <w:rPr>
                <w:color w:val="auto"/>
                <w:sz w:val="24"/>
                <w:szCs w:val="24"/>
                <w:lang w:val="zh-CN"/>
              </w:rPr>
            </w:pPr>
            <w:r>
              <w:rPr>
                <w:color w:val="auto"/>
                <w:sz w:val="24"/>
                <w:szCs w:val="24"/>
                <w:lang w:val="zh-CN"/>
              </w:rPr>
              <w:t>（2）噪声预测模式</w:t>
            </w:r>
          </w:p>
          <w:p w14:paraId="4AD5356D">
            <w:pPr>
              <w:spacing w:line="360" w:lineRule="auto"/>
              <w:ind w:firstLine="480" w:firstLineChars="200"/>
              <w:rPr>
                <w:color w:val="auto"/>
                <w:sz w:val="24"/>
                <w:szCs w:val="24"/>
                <w:lang w:val="zh-CN"/>
              </w:rPr>
            </w:pPr>
            <w:r>
              <w:rPr>
                <w:color w:val="auto"/>
                <w:sz w:val="24"/>
                <w:szCs w:val="24"/>
                <w:lang w:val="zh-CN"/>
              </w:rPr>
              <w:t>预测模式采用《环境影响评价技术导则声环境》（HJ2.4-2021）中附录A.2、附录B.1.3工业噪声预测模式，本次预测将室内声源等效成室外声源，然后按室外声源方法计算预测点处的A声级，应用过程中将根据具体情况做必要简化。</w:t>
            </w:r>
          </w:p>
          <w:p w14:paraId="5C9281D8">
            <w:pPr>
              <w:spacing w:line="360" w:lineRule="auto"/>
              <w:ind w:firstLine="480" w:firstLineChars="200"/>
              <w:rPr>
                <w:color w:val="auto"/>
                <w:sz w:val="24"/>
                <w:szCs w:val="24"/>
                <w:lang w:val="zh-CN"/>
              </w:rPr>
            </w:pPr>
            <w:r>
              <w:rPr>
                <w:color w:val="auto"/>
                <w:sz w:val="24"/>
                <w:szCs w:val="24"/>
                <w:lang w:val="zh-CN"/>
              </w:rPr>
              <w:t>①室外声源</w:t>
            </w:r>
          </w:p>
          <w:p w14:paraId="0BF7541E">
            <w:pPr>
              <w:spacing w:line="360" w:lineRule="auto"/>
              <w:ind w:firstLine="480" w:firstLineChars="200"/>
              <w:rPr>
                <w:color w:val="auto"/>
                <w:sz w:val="24"/>
                <w:szCs w:val="24"/>
                <w:lang w:val="zh-CN"/>
              </w:rPr>
            </w:pPr>
            <w:r>
              <w:rPr>
                <w:color w:val="auto"/>
                <w:sz w:val="24"/>
                <w:szCs w:val="24"/>
                <w:lang w:val="zh-CN"/>
              </w:rPr>
              <w:t>在不能取得声源倍频带声功率级或倍频带声压级，只能获得A声功率级或某点的A声级时，可按下式作近似计算：</w:t>
            </w:r>
          </w:p>
          <w:p w14:paraId="3FD2331E">
            <w:pPr>
              <w:spacing w:before="111" w:line="639" w:lineRule="exact"/>
              <w:ind w:left="3141"/>
              <w:rPr>
                <w:rFonts w:eastAsia="Times New Roman"/>
                <w:color w:val="auto"/>
                <w:sz w:val="24"/>
                <w:szCs w:val="24"/>
              </w:rPr>
            </w:pPr>
            <w:r>
              <w:rPr>
                <w:rFonts w:eastAsia="Times New Roman"/>
                <w:i/>
                <w:iCs/>
                <w:color w:val="auto"/>
                <w:position w:val="30"/>
                <w:sz w:val="24"/>
                <w:szCs w:val="24"/>
              </w:rPr>
              <w:t>L</w:t>
            </w:r>
            <w:r>
              <w:rPr>
                <w:rFonts w:eastAsia="Times New Roman"/>
                <w:i/>
                <w:iCs/>
                <w:color w:val="auto"/>
                <w:position w:val="25"/>
                <w:sz w:val="24"/>
                <w:szCs w:val="24"/>
              </w:rPr>
              <w:t>A</w:t>
            </w:r>
            <w:r>
              <w:rPr>
                <w:rFonts w:eastAsia="Times New Roman"/>
                <w:color w:val="auto"/>
                <w:spacing w:val="3"/>
                <w:position w:val="30"/>
                <w:sz w:val="24"/>
                <w:szCs w:val="24"/>
              </w:rPr>
              <w:t>(</w:t>
            </w:r>
            <w:r>
              <w:rPr>
                <w:rFonts w:eastAsia="Times New Roman"/>
                <w:i/>
                <w:iCs/>
                <w:color w:val="auto"/>
                <w:position w:val="30"/>
                <w:sz w:val="24"/>
                <w:szCs w:val="24"/>
              </w:rPr>
              <w:t>r</w:t>
            </w:r>
            <w:r>
              <w:rPr>
                <w:rFonts w:eastAsia="Times New Roman"/>
                <w:color w:val="auto"/>
                <w:spacing w:val="3"/>
                <w:position w:val="30"/>
                <w:sz w:val="24"/>
                <w:szCs w:val="24"/>
              </w:rPr>
              <w:t>)</w:t>
            </w:r>
            <w:r>
              <w:rPr>
                <w:rFonts w:eastAsia="微软雅黑"/>
                <w:color w:val="auto"/>
                <w:spacing w:val="3"/>
                <w:position w:val="30"/>
                <w:sz w:val="24"/>
                <w:szCs w:val="24"/>
              </w:rPr>
              <w:t>=</w:t>
            </w:r>
            <w:r>
              <w:rPr>
                <w:rFonts w:eastAsia="Times New Roman"/>
                <w:i/>
                <w:iCs/>
                <w:color w:val="auto"/>
                <w:position w:val="30"/>
                <w:sz w:val="24"/>
                <w:szCs w:val="24"/>
              </w:rPr>
              <w:t>L</w:t>
            </w:r>
            <w:r>
              <w:rPr>
                <w:rFonts w:eastAsia="Times New Roman"/>
                <w:i/>
                <w:iCs/>
                <w:color w:val="auto"/>
                <w:position w:val="25"/>
                <w:sz w:val="24"/>
                <w:szCs w:val="24"/>
              </w:rPr>
              <w:t>Aw</w:t>
            </w:r>
            <w:r>
              <w:rPr>
                <w:rFonts w:eastAsia="微软雅黑"/>
                <w:color w:val="auto"/>
                <w:spacing w:val="3"/>
                <w:position w:val="30"/>
                <w:sz w:val="24"/>
                <w:szCs w:val="24"/>
              </w:rPr>
              <w:t>-</w:t>
            </w:r>
            <w:r>
              <w:rPr>
                <w:rFonts w:eastAsia="Times New Roman"/>
                <w:i/>
                <w:iCs/>
                <w:color w:val="auto"/>
                <w:position w:val="30"/>
                <w:sz w:val="24"/>
                <w:szCs w:val="24"/>
              </w:rPr>
              <w:t>D</w:t>
            </w:r>
            <w:r>
              <w:rPr>
                <w:rFonts w:eastAsia="Times New Roman"/>
                <w:i/>
                <w:iCs/>
                <w:color w:val="auto"/>
                <w:position w:val="25"/>
                <w:sz w:val="24"/>
                <w:szCs w:val="24"/>
              </w:rPr>
              <w:t>c</w:t>
            </w:r>
            <w:r>
              <w:rPr>
                <w:rFonts w:eastAsia="微软雅黑"/>
                <w:color w:val="auto"/>
                <w:spacing w:val="3"/>
                <w:position w:val="30"/>
                <w:sz w:val="24"/>
                <w:szCs w:val="24"/>
              </w:rPr>
              <w:t>-</w:t>
            </w:r>
            <w:r>
              <w:rPr>
                <w:rFonts w:eastAsia="Times New Roman"/>
                <w:i/>
                <w:iCs/>
                <w:color w:val="auto"/>
                <w:position w:val="30"/>
                <w:sz w:val="24"/>
                <w:szCs w:val="24"/>
              </w:rPr>
              <w:t>A</w:t>
            </w:r>
          </w:p>
          <w:p w14:paraId="2476C65B">
            <w:pPr>
              <w:spacing w:line="225" w:lineRule="auto"/>
              <w:ind w:left="2497"/>
              <w:rPr>
                <w:rFonts w:eastAsia="Times New Roman"/>
                <w:color w:val="auto"/>
                <w:sz w:val="24"/>
                <w:szCs w:val="24"/>
              </w:rPr>
            </w:pPr>
            <w:r>
              <w:rPr>
                <w:rFonts w:eastAsia="Times New Roman"/>
                <w:i/>
                <w:iCs/>
                <w:color w:val="auto"/>
                <w:spacing w:val="-5"/>
                <w:position w:val="2"/>
                <w:sz w:val="24"/>
                <w:szCs w:val="24"/>
              </w:rPr>
              <w:t>A</w:t>
            </w:r>
            <w:r>
              <w:rPr>
                <w:rFonts w:eastAsia="微软雅黑"/>
                <w:color w:val="auto"/>
                <w:spacing w:val="-5"/>
                <w:position w:val="2"/>
                <w:sz w:val="24"/>
                <w:szCs w:val="24"/>
              </w:rPr>
              <w:t>=</w:t>
            </w:r>
            <w:r>
              <w:rPr>
                <w:rFonts w:eastAsia="Times New Roman"/>
                <w:i/>
                <w:iCs/>
                <w:color w:val="auto"/>
                <w:spacing w:val="-5"/>
                <w:position w:val="2"/>
                <w:sz w:val="24"/>
                <w:szCs w:val="24"/>
              </w:rPr>
              <w:t>A</w:t>
            </w:r>
            <w:r>
              <w:rPr>
                <w:rFonts w:eastAsia="Times New Roman"/>
                <w:i/>
                <w:iCs/>
                <w:color w:val="auto"/>
                <w:spacing w:val="-5"/>
                <w:position w:val="-3"/>
                <w:sz w:val="24"/>
                <w:szCs w:val="24"/>
              </w:rPr>
              <w:t>div</w:t>
            </w:r>
            <w:r>
              <w:rPr>
                <w:rFonts w:eastAsia="微软雅黑"/>
                <w:color w:val="auto"/>
                <w:spacing w:val="-5"/>
                <w:position w:val="2"/>
                <w:sz w:val="24"/>
                <w:szCs w:val="24"/>
              </w:rPr>
              <w:t>+</w:t>
            </w:r>
            <w:r>
              <w:rPr>
                <w:rFonts w:eastAsia="Times New Roman"/>
                <w:i/>
                <w:iCs/>
                <w:color w:val="auto"/>
                <w:spacing w:val="-5"/>
                <w:position w:val="2"/>
                <w:sz w:val="24"/>
                <w:szCs w:val="24"/>
              </w:rPr>
              <w:t>A</w:t>
            </w:r>
            <w:r>
              <w:rPr>
                <w:rFonts w:eastAsia="Times New Roman"/>
                <w:i/>
                <w:iCs/>
                <w:color w:val="auto"/>
                <w:spacing w:val="-5"/>
                <w:position w:val="-3"/>
                <w:sz w:val="24"/>
                <w:szCs w:val="24"/>
              </w:rPr>
              <w:t>atm</w:t>
            </w:r>
            <w:r>
              <w:rPr>
                <w:rFonts w:eastAsia="微软雅黑"/>
                <w:color w:val="auto"/>
                <w:spacing w:val="-5"/>
                <w:position w:val="2"/>
                <w:sz w:val="24"/>
                <w:szCs w:val="24"/>
              </w:rPr>
              <w:t>+</w:t>
            </w:r>
            <w:r>
              <w:rPr>
                <w:rFonts w:eastAsia="Times New Roman"/>
                <w:i/>
                <w:iCs/>
                <w:color w:val="auto"/>
                <w:spacing w:val="-5"/>
                <w:position w:val="2"/>
                <w:sz w:val="24"/>
                <w:szCs w:val="24"/>
              </w:rPr>
              <w:t>A</w:t>
            </w:r>
            <w:r>
              <w:rPr>
                <w:rFonts w:eastAsia="Times New Roman"/>
                <w:i/>
                <w:iCs/>
                <w:color w:val="auto"/>
                <w:spacing w:val="-5"/>
                <w:position w:val="-3"/>
                <w:sz w:val="24"/>
                <w:szCs w:val="24"/>
              </w:rPr>
              <w:t>gr</w:t>
            </w:r>
            <w:r>
              <w:rPr>
                <w:rFonts w:eastAsia="微软雅黑"/>
                <w:color w:val="auto"/>
                <w:spacing w:val="-5"/>
                <w:position w:val="2"/>
                <w:sz w:val="24"/>
                <w:szCs w:val="24"/>
              </w:rPr>
              <w:t>+</w:t>
            </w:r>
            <w:r>
              <w:rPr>
                <w:rFonts w:eastAsia="Times New Roman"/>
                <w:i/>
                <w:iCs/>
                <w:color w:val="auto"/>
                <w:spacing w:val="-5"/>
                <w:position w:val="2"/>
                <w:sz w:val="24"/>
                <w:szCs w:val="24"/>
              </w:rPr>
              <w:t>A</w:t>
            </w:r>
            <w:r>
              <w:rPr>
                <w:rFonts w:eastAsia="Times New Roman"/>
                <w:i/>
                <w:iCs/>
                <w:color w:val="auto"/>
                <w:spacing w:val="-5"/>
                <w:position w:val="-3"/>
                <w:sz w:val="24"/>
                <w:szCs w:val="24"/>
              </w:rPr>
              <w:t>bar</w:t>
            </w:r>
            <w:r>
              <w:rPr>
                <w:rFonts w:eastAsia="微软雅黑"/>
                <w:color w:val="auto"/>
                <w:spacing w:val="-5"/>
                <w:position w:val="2"/>
                <w:sz w:val="24"/>
                <w:szCs w:val="24"/>
              </w:rPr>
              <w:t>+</w:t>
            </w:r>
            <w:r>
              <w:rPr>
                <w:rFonts w:eastAsia="Times New Roman"/>
                <w:i/>
                <w:iCs/>
                <w:color w:val="auto"/>
                <w:spacing w:val="-5"/>
                <w:position w:val="2"/>
                <w:sz w:val="24"/>
                <w:szCs w:val="24"/>
              </w:rPr>
              <w:t>A</w:t>
            </w:r>
            <w:r>
              <w:rPr>
                <w:rFonts w:eastAsia="Times New Roman"/>
                <w:i/>
                <w:iCs/>
                <w:color w:val="auto"/>
                <w:spacing w:val="-5"/>
                <w:position w:val="-3"/>
                <w:sz w:val="24"/>
                <w:szCs w:val="24"/>
              </w:rPr>
              <w:t>misc</w:t>
            </w:r>
          </w:p>
          <w:p w14:paraId="59EF6F8A">
            <w:pPr>
              <w:spacing w:line="360" w:lineRule="auto"/>
              <w:ind w:firstLine="480" w:firstLineChars="200"/>
              <w:rPr>
                <w:color w:val="auto"/>
                <w:sz w:val="24"/>
                <w:szCs w:val="24"/>
                <w:lang w:val="zh-CN"/>
              </w:rPr>
            </w:pPr>
            <w:r>
              <w:rPr>
                <w:color w:val="auto"/>
                <w:sz w:val="24"/>
                <w:szCs w:val="24"/>
                <w:lang w:val="zh-CN"/>
              </w:rPr>
              <w:t>室外线源可分为若干线的分区，而每个线的分区可用处于中心位置的点声源表示。</w:t>
            </w:r>
          </w:p>
          <w:p w14:paraId="6A4E3BA9">
            <w:pPr>
              <w:spacing w:line="360" w:lineRule="auto"/>
              <w:ind w:firstLine="480" w:firstLineChars="200"/>
              <w:rPr>
                <w:color w:val="auto"/>
                <w:sz w:val="24"/>
                <w:szCs w:val="24"/>
                <w:lang w:val="zh-CN"/>
              </w:rPr>
            </w:pPr>
            <w:r>
              <w:rPr>
                <w:color w:val="auto"/>
                <w:sz w:val="24"/>
                <w:szCs w:val="24"/>
                <w:lang w:val="zh-CN"/>
              </w:rPr>
              <w:t>②室内点声源</w:t>
            </w:r>
          </w:p>
          <w:p w14:paraId="235DEF80">
            <w:pPr>
              <w:spacing w:line="360" w:lineRule="auto"/>
              <w:ind w:firstLine="480" w:firstLineChars="200"/>
              <w:rPr>
                <w:color w:val="auto"/>
                <w:sz w:val="24"/>
                <w:szCs w:val="24"/>
                <w:lang w:val="zh-CN"/>
              </w:rPr>
            </w:pPr>
            <w:r>
              <w:rPr>
                <w:color w:val="auto"/>
                <w:sz w:val="24"/>
                <w:szCs w:val="24"/>
                <w:lang w:val="zh-CN"/>
              </w:rPr>
              <w:t>室内声源采用等效室外声源声功率级法进行计算。先计算出某个室内靠近围护结构处产生的倍频带声压级：</w:t>
            </w:r>
          </w:p>
          <w:p w14:paraId="4D2E08CF">
            <w:pPr>
              <w:spacing w:line="360" w:lineRule="auto"/>
              <w:ind w:firstLine="360" w:firstLineChars="150"/>
              <w:jc w:val="center"/>
              <w:rPr>
                <w:color w:val="auto"/>
                <w:sz w:val="24"/>
                <w:szCs w:val="24"/>
                <w:lang w:val="zh-CN"/>
              </w:rPr>
            </w:pPr>
            <w:r>
              <w:rPr>
                <w:color w:val="auto"/>
                <w:sz w:val="24"/>
                <w:szCs w:val="24"/>
              </w:rPr>
              <w:drawing>
                <wp:inline distT="0" distB="0" distL="114300" distR="114300">
                  <wp:extent cx="1876425" cy="465455"/>
                  <wp:effectExtent l="0" t="0" r="3175"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1876425" cy="465455"/>
                          </a:xfrm>
                          <a:prstGeom prst="rect">
                            <a:avLst/>
                          </a:prstGeom>
                          <a:noFill/>
                          <a:ln>
                            <a:noFill/>
                          </a:ln>
                        </pic:spPr>
                      </pic:pic>
                    </a:graphicData>
                  </a:graphic>
                </wp:inline>
              </w:drawing>
            </w:r>
          </w:p>
          <w:p w14:paraId="4FE24D29">
            <w:pPr>
              <w:ind w:firstLine="480" w:firstLineChars="200"/>
              <w:rPr>
                <w:color w:val="auto"/>
                <w:sz w:val="24"/>
                <w:szCs w:val="24"/>
                <w:lang w:val="zh-CN"/>
              </w:rPr>
            </w:pPr>
            <w:r>
              <w:rPr>
                <w:color w:val="auto"/>
                <w:sz w:val="24"/>
                <w:szCs w:val="24"/>
                <w:lang w:val="zh-CN"/>
              </w:rPr>
              <w:t>然后计算出所有室内声源在围护结构处产生的i倍频带叠加声压级：</w:t>
            </w:r>
          </w:p>
          <w:p w14:paraId="497ECB91">
            <w:pPr>
              <w:spacing w:line="360" w:lineRule="auto"/>
              <w:ind w:firstLine="360" w:firstLineChars="150"/>
              <w:jc w:val="center"/>
              <w:rPr>
                <w:color w:val="auto"/>
                <w:sz w:val="24"/>
                <w:szCs w:val="24"/>
              </w:rPr>
            </w:pPr>
            <w:r>
              <w:rPr>
                <w:color w:val="auto"/>
                <w:sz w:val="24"/>
                <w:szCs w:val="24"/>
              </w:rPr>
              <w:drawing>
                <wp:inline distT="0" distB="0" distL="114300" distR="114300">
                  <wp:extent cx="1581785" cy="462280"/>
                  <wp:effectExtent l="0" t="0" r="5715"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1581785" cy="462280"/>
                          </a:xfrm>
                          <a:prstGeom prst="rect">
                            <a:avLst/>
                          </a:prstGeom>
                          <a:noFill/>
                          <a:ln>
                            <a:noFill/>
                          </a:ln>
                        </pic:spPr>
                      </pic:pic>
                    </a:graphicData>
                  </a:graphic>
                </wp:inline>
              </w:drawing>
            </w:r>
          </w:p>
          <w:p w14:paraId="25352F7E">
            <w:pPr>
              <w:ind w:firstLine="480" w:firstLineChars="200"/>
              <w:rPr>
                <w:color w:val="auto"/>
                <w:sz w:val="24"/>
                <w:szCs w:val="24"/>
                <w:lang w:val="zh-CN"/>
              </w:rPr>
            </w:pPr>
            <w:r>
              <w:rPr>
                <w:color w:val="auto"/>
                <w:sz w:val="24"/>
                <w:szCs w:val="24"/>
                <w:lang w:val="zh-CN"/>
              </w:rPr>
              <w:t>在室内近似为扩散声场时，按下式计算出靠近室外围护结构处的声压级：</w:t>
            </w:r>
          </w:p>
          <w:p w14:paraId="7AE7C1D4">
            <w:pPr>
              <w:spacing w:before="279" w:line="221" w:lineRule="auto"/>
              <w:ind w:left="2908"/>
              <w:rPr>
                <w:rFonts w:eastAsia="微软雅黑"/>
                <w:color w:val="auto"/>
                <w:sz w:val="24"/>
                <w:szCs w:val="24"/>
              </w:rPr>
            </w:pPr>
            <w:r>
              <w:rPr>
                <w:rFonts w:eastAsia="Times New Roman"/>
                <w:i/>
                <w:iCs/>
                <w:color w:val="auto"/>
                <w:spacing w:val="-7"/>
                <w:position w:val="1"/>
                <w:sz w:val="24"/>
                <w:szCs w:val="24"/>
              </w:rPr>
              <w:t>L</w:t>
            </w:r>
            <w:r>
              <w:rPr>
                <w:rFonts w:eastAsia="Times New Roman"/>
                <w:i/>
                <w:iCs/>
                <w:color w:val="auto"/>
                <w:spacing w:val="-7"/>
                <w:position w:val="-4"/>
                <w:sz w:val="24"/>
                <w:szCs w:val="24"/>
              </w:rPr>
              <w:t>P</w:t>
            </w:r>
            <w:r>
              <w:rPr>
                <w:rFonts w:eastAsia="Times New Roman"/>
                <w:color w:val="auto"/>
                <w:spacing w:val="-14"/>
                <w:position w:val="-4"/>
                <w:sz w:val="24"/>
                <w:szCs w:val="24"/>
              </w:rPr>
              <w:t>2</w:t>
            </w:r>
            <w:r>
              <w:rPr>
                <w:rFonts w:eastAsia="Times New Roman"/>
                <w:i/>
                <w:iCs/>
                <w:color w:val="auto"/>
                <w:spacing w:val="-7"/>
                <w:position w:val="-4"/>
                <w:sz w:val="24"/>
                <w:szCs w:val="24"/>
              </w:rPr>
              <w:t>i</w:t>
            </w:r>
            <w:r>
              <w:rPr>
                <w:rFonts w:eastAsia="微软雅黑"/>
                <w:color w:val="auto"/>
                <w:spacing w:val="-14"/>
                <w:sz w:val="24"/>
                <w:szCs w:val="24"/>
              </w:rPr>
              <w:t>(</w:t>
            </w:r>
            <w:r>
              <w:rPr>
                <w:rFonts w:eastAsia="Times New Roman"/>
                <w:i/>
                <w:iCs/>
                <w:color w:val="auto"/>
                <w:spacing w:val="-7"/>
                <w:position w:val="1"/>
                <w:sz w:val="24"/>
                <w:szCs w:val="24"/>
              </w:rPr>
              <w:t>T</w:t>
            </w:r>
            <w:r>
              <w:rPr>
                <w:rFonts w:eastAsia="微软雅黑"/>
                <w:color w:val="auto"/>
                <w:spacing w:val="-7"/>
                <w:sz w:val="24"/>
                <w:szCs w:val="24"/>
              </w:rPr>
              <w:t>)</w:t>
            </w:r>
            <w:r>
              <w:rPr>
                <w:rFonts w:eastAsia="微软雅黑"/>
                <w:color w:val="auto"/>
                <w:spacing w:val="-7"/>
                <w:position w:val="1"/>
                <w:sz w:val="24"/>
                <w:szCs w:val="24"/>
              </w:rPr>
              <w:t>=</w:t>
            </w:r>
            <w:r>
              <w:rPr>
                <w:rFonts w:eastAsia="Times New Roman"/>
                <w:i/>
                <w:iCs/>
                <w:color w:val="auto"/>
                <w:spacing w:val="-7"/>
                <w:position w:val="1"/>
                <w:sz w:val="24"/>
                <w:szCs w:val="24"/>
              </w:rPr>
              <w:t>L</w:t>
            </w:r>
            <w:r>
              <w:rPr>
                <w:rFonts w:eastAsia="Times New Roman"/>
                <w:i/>
                <w:iCs/>
                <w:color w:val="auto"/>
                <w:spacing w:val="-7"/>
                <w:position w:val="-4"/>
                <w:sz w:val="24"/>
                <w:szCs w:val="24"/>
              </w:rPr>
              <w:t>P</w:t>
            </w:r>
            <w:r>
              <w:rPr>
                <w:rFonts w:eastAsia="Times New Roman"/>
                <w:color w:val="auto"/>
                <w:spacing w:val="-7"/>
                <w:position w:val="-4"/>
                <w:sz w:val="24"/>
                <w:szCs w:val="24"/>
              </w:rPr>
              <w:t>1</w:t>
            </w:r>
            <w:r>
              <w:rPr>
                <w:rFonts w:eastAsia="Times New Roman"/>
                <w:i/>
                <w:iCs/>
                <w:color w:val="auto"/>
                <w:spacing w:val="-7"/>
                <w:position w:val="-4"/>
                <w:sz w:val="24"/>
                <w:szCs w:val="24"/>
              </w:rPr>
              <w:t>i</w:t>
            </w:r>
            <w:r>
              <w:rPr>
                <w:rFonts w:eastAsia="微软雅黑"/>
                <w:color w:val="auto"/>
                <w:spacing w:val="-7"/>
                <w:sz w:val="24"/>
                <w:szCs w:val="24"/>
              </w:rPr>
              <w:t>(</w:t>
            </w:r>
            <w:r>
              <w:rPr>
                <w:rFonts w:eastAsia="Times New Roman"/>
                <w:i/>
                <w:iCs/>
                <w:color w:val="auto"/>
                <w:spacing w:val="-7"/>
                <w:position w:val="1"/>
                <w:sz w:val="24"/>
                <w:szCs w:val="24"/>
              </w:rPr>
              <w:t>T</w:t>
            </w:r>
            <w:r>
              <w:rPr>
                <w:rFonts w:eastAsia="微软雅黑"/>
                <w:color w:val="auto"/>
                <w:spacing w:val="-7"/>
                <w:sz w:val="24"/>
                <w:szCs w:val="24"/>
              </w:rPr>
              <w:t>)</w:t>
            </w:r>
            <w:r>
              <w:rPr>
                <w:rFonts w:eastAsia="微软雅黑"/>
                <w:color w:val="auto"/>
                <w:spacing w:val="-7"/>
                <w:position w:val="1"/>
                <w:sz w:val="24"/>
                <w:szCs w:val="24"/>
              </w:rPr>
              <w:t>-</w:t>
            </w:r>
            <w:r>
              <w:rPr>
                <w:rFonts w:eastAsia="微软雅黑"/>
                <w:color w:val="auto"/>
                <w:spacing w:val="-7"/>
                <w:sz w:val="24"/>
                <w:szCs w:val="24"/>
              </w:rPr>
              <w:t>(</w:t>
            </w:r>
            <w:r>
              <w:rPr>
                <w:rFonts w:eastAsia="Times New Roman"/>
                <w:i/>
                <w:iCs/>
                <w:color w:val="auto"/>
                <w:spacing w:val="-7"/>
                <w:position w:val="1"/>
                <w:sz w:val="24"/>
                <w:szCs w:val="24"/>
              </w:rPr>
              <w:t>TL</w:t>
            </w:r>
            <w:r>
              <w:rPr>
                <w:rFonts w:eastAsia="Times New Roman"/>
                <w:i/>
                <w:iCs/>
                <w:color w:val="auto"/>
                <w:spacing w:val="-7"/>
                <w:position w:val="-4"/>
                <w:sz w:val="24"/>
                <w:szCs w:val="24"/>
              </w:rPr>
              <w:t>i</w:t>
            </w:r>
            <w:r>
              <w:rPr>
                <w:rFonts w:eastAsia="微软雅黑"/>
                <w:color w:val="auto"/>
                <w:spacing w:val="-7"/>
                <w:position w:val="1"/>
                <w:sz w:val="24"/>
                <w:szCs w:val="24"/>
              </w:rPr>
              <w:t>+</w:t>
            </w:r>
            <w:r>
              <w:rPr>
                <w:rFonts w:eastAsia="Times New Roman"/>
                <w:color w:val="auto"/>
                <w:spacing w:val="-7"/>
                <w:position w:val="1"/>
                <w:sz w:val="24"/>
                <w:szCs w:val="24"/>
              </w:rPr>
              <w:t>6</w:t>
            </w:r>
            <w:r>
              <w:rPr>
                <w:rFonts w:eastAsia="微软雅黑"/>
                <w:color w:val="auto"/>
                <w:spacing w:val="-7"/>
                <w:sz w:val="24"/>
                <w:szCs w:val="24"/>
              </w:rPr>
              <w:t>)</w:t>
            </w:r>
          </w:p>
          <w:p w14:paraId="76778266">
            <w:pPr>
              <w:spacing w:line="252" w:lineRule="auto"/>
              <w:rPr>
                <w:color w:val="auto"/>
                <w:sz w:val="24"/>
                <w:szCs w:val="24"/>
              </w:rPr>
            </w:pPr>
          </w:p>
          <w:p w14:paraId="0A8DA757">
            <w:pPr>
              <w:spacing w:line="360" w:lineRule="auto"/>
              <w:ind w:firstLine="480" w:firstLineChars="200"/>
              <w:rPr>
                <w:color w:val="auto"/>
                <w:sz w:val="24"/>
                <w:szCs w:val="24"/>
              </w:rPr>
            </w:pPr>
            <w:r>
              <w:rPr>
                <w:color w:val="auto"/>
                <w:sz w:val="24"/>
                <w:szCs w:val="24"/>
              </w:rPr>
              <w:t>将室外声源的声压级和透过面积换算成等效的室外声源，计算出中心位置位于透声面积处的等效声源的倍频带声功率级：</w:t>
            </w:r>
          </w:p>
          <w:p w14:paraId="776030A1">
            <w:pPr>
              <w:spacing w:before="1" w:line="212" w:lineRule="auto"/>
              <w:ind w:left="3016"/>
              <w:rPr>
                <w:rFonts w:eastAsia="Times New Roman"/>
                <w:color w:val="auto"/>
                <w:sz w:val="24"/>
                <w:szCs w:val="24"/>
              </w:rPr>
            </w:pPr>
            <w:r>
              <w:rPr>
                <w:rFonts w:eastAsia="Times New Roman"/>
                <w:i/>
                <w:iCs/>
                <w:color w:val="auto"/>
                <w:spacing w:val="-4"/>
                <w:sz w:val="24"/>
                <w:szCs w:val="24"/>
              </w:rPr>
              <w:t>L</w:t>
            </w:r>
            <w:r>
              <w:rPr>
                <w:rFonts w:eastAsia="Times New Roman"/>
                <w:i/>
                <w:iCs/>
                <w:color w:val="auto"/>
                <w:spacing w:val="-4"/>
                <w:position w:val="-5"/>
                <w:sz w:val="24"/>
                <w:szCs w:val="24"/>
              </w:rPr>
              <w:t>W</w:t>
            </w:r>
            <w:r>
              <w:rPr>
                <w:rFonts w:eastAsia="微软雅黑"/>
                <w:color w:val="auto"/>
                <w:spacing w:val="-4"/>
                <w:sz w:val="24"/>
                <w:szCs w:val="24"/>
              </w:rPr>
              <w:t>=</w:t>
            </w:r>
            <w:r>
              <w:rPr>
                <w:rFonts w:eastAsia="Times New Roman"/>
                <w:i/>
                <w:iCs/>
                <w:color w:val="auto"/>
                <w:spacing w:val="-4"/>
                <w:sz w:val="24"/>
                <w:szCs w:val="24"/>
              </w:rPr>
              <w:t>L</w:t>
            </w:r>
            <w:r>
              <w:rPr>
                <w:rFonts w:eastAsia="Times New Roman"/>
                <w:i/>
                <w:iCs/>
                <w:color w:val="auto"/>
                <w:spacing w:val="-4"/>
                <w:position w:val="-5"/>
                <w:sz w:val="24"/>
                <w:szCs w:val="24"/>
              </w:rPr>
              <w:t>P</w:t>
            </w:r>
            <w:r>
              <w:rPr>
                <w:rFonts w:eastAsia="Times New Roman"/>
                <w:color w:val="auto"/>
                <w:spacing w:val="-4"/>
                <w:position w:val="-5"/>
                <w:sz w:val="24"/>
                <w:szCs w:val="24"/>
              </w:rPr>
              <w:t>2</w:t>
            </w:r>
            <w:r>
              <w:rPr>
                <w:rFonts w:eastAsia="微软雅黑"/>
                <w:color w:val="auto"/>
                <w:spacing w:val="-4"/>
                <w:sz w:val="24"/>
                <w:szCs w:val="24"/>
              </w:rPr>
              <w:t>(</w:t>
            </w:r>
            <w:r>
              <w:rPr>
                <w:rFonts w:eastAsia="Times New Roman"/>
                <w:i/>
                <w:iCs/>
                <w:color w:val="auto"/>
                <w:spacing w:val="-4"/>
                <w:sz w:val="24"/>
                <w:szCs w:val="24"/>
              </w:rPr>
              <w:t>T</w:t>
            </w:r>
            <w:r>
              <w:rPr>
                <w:rFonts w:eastAsia="微软雅黑"/>
                <w:color w:val="auto"/>
                <w:spacing w:val="-4"/>
                <w:sz w:val="24"/>
                <w:szCs w:val="24"/>
              </w:rPr>
              <w:t>)+</w:t>
            </w:r>
            <w:r>
              <w:rPr>
                <w:rFonts w:eastAsia="Times New Roman"/>
                <w:color w:val="auto"/>
                <w:spacing w:val="-4"/>
                <w:sz w:val="24"/>
                <w:szCs w:val="24"/>
              </w:rPr>
              <w:t>10lg</w:t>
            </w:r>
            <w:r>
              <w:rPr>
                <w:rFonts w:eastAsia="Times New Roman"/>
                <w:i/>
                <w:iCs/>
                <w:color w:val="auto"/>
                <w:spacing w:val="-4"/>
                <w:sz w:val="24"/>
                <w:szCs w:val="24"/>
              </w:rPr>
              <w:t>s</w:t>
            </w:r>
          </w:p>
          <w:p w14:paraId="7DA3160E">
            <w:pPr>
              <w:spacing w:line="360" w:lineRule="auto"/>
              <w:ind w:firstLine="480" w:firstLineChars="200"/>
              <w:rPr>
                <w:color w:val="auto"/>
                <w:sz w:val="24"/>
                <w:szCs w:val="24"/>
              </w:rPr>
            </w:pPr>
            <w:r>
              <w:rPr>
                <w:color w:val="auto"/>
                <w:sz w:val="24"/>
                <w:szCs w:val="24"/>
              </w:rPr>
              <w:t>然后按室外声源预测方法计算预测点处的A声级。</w:t>
            </w:r>
          </w:p>
          <w:p w14:paraId="4BB1633F">
            <w:pPr>
              <w:spacing w:line="360" w:lineRule="auto"/>
              <w:ind w:firstLine="480" w:firstLineChars="200"/>
              <w:rPr>
                <w:color w:val="auto"/>
                <w:sz w:val="24"/>
                <w:szCs w:val="24"/>
              </w:rPr>
            </w:pPr>
            <w:r>
              <w:rPr>
                <w:color w:val="auto"/>
                <w:sz w:val="24"/>
                <w:szCs w:val="24"/>
              </w:rPr>
              <w:t>③噪声贡献值计算</w:t>
            </w:r>
          </w:p>
          <w:p w14:paraId="30E5A1EB">
            <w:pPr>
              <w:spacing w:line="360" w:lineRule="auto"/>
              <w:ind w:firstLine="480" w:firstLineChars="200"/>
              <w:rPr>
                <w:color w:val="auto"/>
                <w:sz w:val="24"/>
                <w:szCs w:val="24"/>
              </w:rPr>
            </w:pPr>
            <w:r>
              <w:rPr>
                <w:color w:val="auto"/>
                <w:sz w:val="24"/>
                <w:szCs w:val="24"/>
              </w:rPr>
              <w:t>设第i个室外声源在预测点产生的A声级为LAi，在T时间内该声源工作时间为ti；第j个等效室外声源在预测点产生的A声级为LAj，在T时间内该声源工作时间为tj，则拟建工程声源对预测点产生的贡献值为：</w:t>
            </w:r>
          </w:p>
          <w:p w14:paraId="0E3D5BB5">
            <w:pPr>
              <w:spacing w:before="214"/>
              <w:ind w:left="2761"/>
              <w:rPr>
                <w:color w:val="auto"/>
                <w:sz w:val="24"/>
                <w:szCs w:val="24"/>
              </w:rPr>
            </w:pPr>
            <w:r>
              <w:rPr>
                <w:rFonts w:eastAsia="Times New Roman"/>
                <w:i/>
                <w:iCs/>
                <w:color w:val="auto"/>
                <w:spacing w:val="-3"/>
                <w:position w:val="4"/>
                <w:sz w:val="24"/>
                <w:szCs w:val="24"/>
              </w:rPr>
              <w:t>L</w:t>
            </w:r>
            <w:r>
              <w:rPr>
                <w:rFonts w:eastAsia="Times New Roman"/>
                <w:i/>
                <w:iCs/>
                <w:color w:val="auto"/>
                <w:spacing w:val="-3"/>
                <w:position w:val="-1"/>
                <w:sz w:val="24"/>
                <w:szCs w:val="24"/>
              </w:rPr>
              <w:t>eqg</w:t>
            </w:r>
            <w:r>
              <w:rPr>
                <w:rFonts w:eastAsia="微软雅黑"/>
                <w:color w:val="auto"/>
                <w:spacing w:val="-4"/>
                <w:position w:val="4"/>
                <w:sz w:val="24"/>
                <w:szCs w:val="24"/>
              </w:rPr>
              <w:t>=</w:t>
            </w:r>
            <w:r>
              <w:rPr>
                <w:rFonts w:eastAsia="Times New Roman"/>
                <w:color w:val="auto"/>
                <w:spacing w:val="-3"/>
                <w:position w:val="4"/>
                <w:sz w:val="24"/>
                <w:szCs w:val="24"/>
              </w:rPr>
              <w:t>10lg</w:t>
            </w:r>
            <w:r>
              <w:rPr>
                <w:color w:val="auto"/>
                <w:position w:val="-28"/>
                <w:sz w:val="24"/>
                <w:szCs w:val="24"/>
              </w:rPr>
              <w:drawing>
                <wp:inline distT="0" distB="0" distL="114300" distR="114300">
                  <wp:extent cx="60325" cy="481965"/>
                  <wp:effectExtent l="0" t="0" r="3175" b="635"/>
                  <wp:docPr id="11" name="图片 5"/>
                  <wp:cNvGraphicFramePr/>
                  <a:graphic xmlns:a="http://schemas.openxmlformats.org/drawingml/2006/main">
                    <a:graphicData uri="http://schemas.openxmlformats.org/drawingml/2006/picture">
                      <pic:pic xmlns:pic="http://schemas.openxmlformats.org/drawingml/2006/picture">
                        <pic:nvPicPr>
                          <pic:cNvPr id="11" name="图片 5"/>
                          <pic:cNvPicPr/>
                        </pic:nvPicPr>
                        <pic:blipFill>
                          <a:blip r:embed="rId23"/>
                          <a:stretch>
                            <a:fillRect/>
                          </a:stretch>
                        </pic:blipFill>
                        <pic:spPr>
                          <a:xfrm>
                            <a:off x="0" y="0"/>
                            <a:ext cx="60325" cy="481965"/>
                          </a:xfrm>
                          <a:prstGeom prst="rect">
                            <a:avLst/>
                          </a:prstGeom>
                          <a:noFill/>
                          <a:ln>
                            <a:noFill/>
                          </a:ln>
                        </pic:spPr>
                      </pic:pic>
                    </a:graphicData>
                  </a:graphic>
                </wp:inline>
              </w:drawing>
            </w:r>
            <w:r>
              <w:rPr>
                <w:color w:val="auto"/>
                <w:position w:val="-14"/>
                <w:sz w:val="24"/>
                <w:szCs w:val="24"/>
              </w:rPr>
              <w:drawing>
                <wp:inline distT="0" distB="0" distL="114300" distR="114300">
                  <wp:extent cx="122555" cy="317500"/>
                  <wp:effectExtent l="0" t="0" r="4445" b="0"/>
                  <wp:docPr id="12" name="图片 6"/>
                  <wp:cNvGraphicFramePr/>
                  <a:graphic xmlns:a="http://schemas.openxmlformats.org/drawingml/2006/main">
                    <a:graphicData uri="http://schemas.openxmlformats.org/drawingml/2006/picture">
                      <pic:pic xmlns:pic="http://schemas.openxmlformats.org/drawingml/2006/picture">
                        <pic:nvPicPr>
                          <pic:cNvPr id="12" name="图片 6"/>
                          <pic:cNvPicPr/>
                        </pic:nvPicPr>
                        <pic:blipFill>
                          <a:blip r:embed="rId24"/>
                          <a:stretch>
                            <a:fillRect/>
                          </a:stretch>
                        </pic:blipFill>
                        <pic:spPr>
                          <a:xfrm>
                            <a:off x="0" y="0"/>
                            <a:ext cx="122555" cy="317500"/>
                          </a:xfrm>
                          <a:prstGeom prst="rect">
                            <a:avLst/>
                          </a:prstGeom>
                          <a:noFill/>
                          <a:ln>
                            <a:noFill/>
                          </a:ln>
                        </pic:spPr>
                      </pic:pic>
                    </a:graphicData>
                  </a:graphic>
                </wp:inline>
              </w:drawing>
            </w:r>
            <w:r>
              <w:rPr>
                <w:color w:val="auto"/>
                <w:position w:val="-26"/>
                <w:sz w:val="24"/>
                <w:szCs w:val="24"/>
              </w:rPr>
              <w:drawing>
                <wp:inline distT="0" distB="0" distL="114300" distR="114300">
                  <wp:extent cx="62865" cy="458470"/>
                  <wp:effectExtent l="0" t="0" r="635" b="11430"/>
                  <wp:docPr id="13" name="图片 7"/>
                  <wp:cNvGraphicFramePr/>
                  <a:graphic xmlns:a="http://schemas.openxmlformats.org/drawingml/2006/main">
                    <a:graphicData uri="http://schemas.openxmlformats.org/drawingml/2006/picture">
                      <pic:pic xmlns:pic="http://schemas.openxmlformats.org/drawingml/2006/picture">
                        <pic:nvPicPr>
                          <pic:cNvPr id="13" name="图片 7"/>
                          <pic:cNvPicPr/>
                        </pic:nvPicPr>
                        <pic:blipFill>
                          <a:blip r:embed="rId25"/>
                          <a:stretch>
                            <a:fillRect/>
                          </a:stretch>
                        </pic:blipFill>
                        <pic:spPr>
                          <a:xfrm>
                            <a:off x="0" y="0"/>
                            <a:ext cx="62865" cy="458470"/>
                          </a:xfrm>
                          <a:prstGeom prst="rect">
                            <a:avLst/>
                          </a:prstGeom>
                          <a:noFill/>
                          <a:ln>
                            <a:noFill/>
                          </a:ln>
                        </pic:spPr>
                      </pic:pic>
                    </a:graphicData>
                  </a:graphic>
                </wp:inline>
              </w:drawing>
            </w:r>
            <w:r>
              <w:rPr>
                <w:color w:val="auto"/>
                <w:position w:val="-22"/>
                <w:sz w:val="24"/>
                <w:szCs w:val="24"/>
              </w:rPr>
              <w:drawing>
                <wp:inline distT="0" distB="0" distL="114300" distR="114300">
                  <wp:extent cx="164465" cy="383540"/>
                  <wp:effectExtent l="0" t="0" r="635" b="10160"/>
                  <wp:docPr id="14" name="图片 8"/>
                  <wp:cNvGraphicFramePr/>
                  <a:graphic xmlns:a="http://schemas.openxmlformats.org/drawingml/2006/main">
                    <a:graphicData uri="http://schemas.openxmlformats.org/drawingml/2006/picture">
                      <pic:pic xmlns:pic="http://schemas.openxmlformats.org/drawingml/2006/picture">
                        <pic:nvPicPr>
                          <pic:cNvPr id="14" name="图片 8"/>
                          <pic:cNvPicPr/>
                        </pic:nvPicPr>
                        <pic:blipFill>
                          <a:blip r:embed="rId26"/>
                          <a:stretch>
                            <a:fillRect/>
                          </a:stretch>
                        </pic:blipFill>
                        <pic:spPr>
                          <a:xfrm>
                            <a:off x="0" y="0"/>
                            <a:ext cx="164465" cy="383540"/>
                          </a:xfrm>
                          <a:prstGeom prst="rect">
                            <a:avLst/>
                          </a:prstGeom>
                          <a:noFill/>
                          <a:ln>
                            <a:noFill/>
                          </a:ln>
                        </pic:spPr>
                      </pic:pic>
                    </a:graphicData>
                  </a:graphic>
                </wp:inline>
              </w:drawing>
            </w:r>
            <w:r>
              <w:rPr>
                <w:rFonts w:eastAsia="Times New Roman"/>
                <w:i/>
                <w:iCs/>
                <w:color w:val="auto"/>
                <w:spacing w:val="-3"/>
                <w:position w:val="4"/>
                <w:sz w:val="24"/>
                <w:szCs w:val="24"/>
              </w:rPr>
              <w:t>t</w:t>
            </w:r>
            <w:r>
              <w:rPr>
                <w:rFonts w:eastAsia="Times New Roman"/>
                <w:i/>
                <w:iCs/>
                <w:color w:val="auto"/>
                <w:spacing w:val="-3"/>
                <w:position w:val="-1"/>
                <w:sz w:val="24"/>
                <w:szCs w:val="24"/>
              </w:rPr>
              <w:t>i</w:t>
            </w:r>
            <w:r>
              <w:rPr>
                <w:rFonts w:eastAsia="Times New Roman"/>
                <w:color w:val="auto"/>
                <w:spacing w:val="-3"/>
                <w:position w:val="4"/>
                <w:sz w:val="24"/>
                <w:szCs w:val="24"/>
              </w:rPr>
              <w:t>10</w:t>
            </w:r>
            <w:r>
              <w:rPr>
                <w:rFonts w:eastAsia="Times New Roman"/>
                <w:color w:val="auto"/>
                <w:spacing w:val="-3"/>
                <w:position w:val="15"/>
                <w:sz w:val="24"/>
                <w:szCs w:val="24"/>
              </w:rPr>
              <w:t>0.1</w:t>
            </w:r>
            <w:r>
              <w:rPr>
                <w:rFonts w:eastAsia="Times New Roman"/>
                <w:i/>
                <w:iCs/>
                <w:color w:val="auto"/>
                <w:spacing w:val="-3"/>
                <w:position w:val="15"/>
                <w:sz w:val="24"/>
                <w:szCs w:val="24"/>
              </w:rPr>
              <w:t>L</w:t>
            </w:r>
            <w:r>
              <w:rPr>
                <w:rFonts w:eastAsia="Times New Roman"/>
                <w:i/>
                <w:iCs/>
                <w:color w:val="auto"/>
                <w:spacing w:val="-3"/>
                <w:position w:val="11"/>
                <w:sz w:val="24"/>
                <w:szCs w:val="24"/>
              </w:rPr>
              <w:t>Ai</w:t>
            </w:r>
            <w:r>
              <w:rPr>
                <w:rFonts w:eastAsia="微软雅黑"/>
                <w:color w:val="auto"/>
                <w:spacing w:val="-3"/>
                <w:position w:val="4"/>
                <w:sz w:val="24"/>
                <w:szCs w:val="24"/>
              </w:rPr>
              <w:t>+</w:t>
            </w:r>
            <w:r>
              <w:rPr>
                <w:color w:val="auto"/>
                <w:position w:val="-22"/>
                <w:sz w:val="24"/>
                <w:szCs w:val="24"/>
              </w:rPr>
              <w:drawing>
                <wp:inline distT="0" distB="0" distL="114300" distR="114300">
                  <wp:extent cx="164465" cy="383540"/>
                  <wp:effectExtent l="0" t="0" r="635" b="10160"/>
                  <wp:docPr id="15" name="图片 9"/>
                  <wp:cNvGraphicFramePr/>
                  <a:graphic xmlns:a="http://schemas.openxmlformats.org/drawingml/2006/main">
                    <a:graphicData uri="http://schemas.openxmlformats.org/drawingml/2006/picture">
                      <pic:pic xmlns:pic="http://schemas.openxmlformats.org/drawingml/2006/picture">
                        <pic:nvPicPr>
                          <pic:cNvPr id="15" name="图片 9"/>
                          <pic:cNvPicPr/>
                        </pic:nvPicPr>
                        <pic:blipFill>
                          <a:blip r:embed="rId27"/>
                          <a:stretch>
                            <a:fillRect/>
                          </a:stretch>
                        </pic:blipFill>
                        <pic:spPr>
                          <a:xfrm>
                            <a:off x="0" y="0"/>
                            <a:ext cx="164465" cy="383540"/>
                          </a:xfrm>
                          <a:prstGeom prst="rect">
                            <a:avLst/>
                          </a:prstGeom>
                          <a:noFill/>
                          <a:ln>
                            <a:noFill/>
                          </a:ln>
                        </pic:spPr>
                      </pic:pic>
                    </a:graphicData>
                  </a:graphic>
                </wp:inline>
              </w:drawing>
            </w:r>
            <w:r>
              <w:rPr>
                <w:rFonts w:eastAsia="Times New Roman"/>
                <w:i/>
                <w:iCs/>
                <w:color w:val="auto"/>
                <w:spacing w:val="-3"/>
                <w:position w:val="4"/>
                <w:sz w:val="24"/>
                <w:szCs w:val="24"/>
              </w:rPr>
              <w:t>t</w:t>
            </w:r>
            <w:r>
              <w:rPr>
                <w:rFonts w:eastAsia="Times New Roman"/>
                <w:i/>
                <w:iCs/>
                <w:color w:val="auto"/>
                <w:spacing w:val="-3"/>
                <w:position w:val="-1"/>
                <w:sz w:val="24"/>
                <w:szCs w:val="24"/>
              </w:rPr>
              <w:t>j</w:t>
            </w:r>
            <w:r>
              <w:rPr>
                <w:rFonts w:eastAsia="Times New Roman"/>
                <w:color w:val="auto"/>
                <w:spacing w:val="-3"/>
                <w:position w:val="4"/>
                <w:sz w:val="24"/>
                <w:szCs w:val="24"/>
              </w:rPr>
              <w:t>10</w:t>
            </w:r>
            <w:r>
              <w:rPr>
                <w:rFonts w:eastAsia="Times New Roman"/>
                <w:color w:val="auto"/>
                <w:spacing w:val="-3"/>
                <w:position w:val="17"/>
                <w:sz w:val="24"/>
                <w:szCs w:val="24"/>
              </w:rPr>
              <w:t>0.1</w:t>
            </w:r>
            <w:r>
              <w:rPr>
                <w:rFonts w:eastAsia="Times New Roman"/>
                <w:i/>
                <w:iCs/>
                <w:color w:val="auto"/>
                <w:spacing w:val="-3"/>
                <w:position w:val="17"/>
                <w:sz w:val="24"/>
                <w:szCs w:val="24"/>
              </w:rPr>
              <w:t>L</w:t>
            </w:r>
            <w:r>
              <w:rPr>
                <w:rFonts w:eastAsia="Times New Roman"/>
                <w:i/>
                <w:iCs/>
                <w:color w:val="auto"/>
                <w:spacing w:val="-3"/>
                <w:position w:val="13"/>
                <w:sz w:val="24"/>
                <w:szCs w:val="24"/>
              </w:rPr>
              <w:t>Aj</w:t>
            </w:r>
            <w:r>
              <w:rPr>
                <w:rFonts w:eastAsia="微软雅黑"/>
                <w:color w:val="auto"/>
                <w:spacing w:val="-3"/>
                <w:sz w:val="24"/>
                <w:szCs w:val="24"/>
              </w:rPr>
              <w:t>)</w:t>
            </w:r>
            <w:r>
              <w:rPr>
                <w:color w:val="auto"/>
                <w:position w:val="-28"/>
                <w:sz w:val="24"/>
                <w:szCs w:val="24"/>
              </w:rPr>
              <w:drawing>
                <wp:inline distT="0" distB="0" distL="114300" distR="114300">
                  <wp:extent cx="57785" cy="481965"/>
                  <wp:effectExtent l="0" t="0" r="5715" b="635"/>
                  <wp:docPr id="16" name="图片 10"/>
                  <wp:cNvGraphicFramePr/>
                  <a:graphic xmlns:a="http://schemas.openxmlformats.org/drawingml/2006/main">
                    <a:graphicData uri="http://schemas.openxmlformats.org/drawingml/2006/picture">
                      <pic:pic xmlns:pic="http://schemas.openxmlformats.org/drawingml/2006/picture">
                        <pic:nvPicPr>
                          <pic:cNvPr id="16" name="图片 10"/>
                          <pic:cNvPicPr/>
                        </pic:nvPicPr>
                        <pic:blipFill>
                          <a:blip r:embed="rId28"/>
                          <a:stretch>
                            <a:fillRect/>
                          </a:stretch>
                        </pic:blipFill>
                        <pic:spPr>
                          <a:xfrm>
                            <a:off x="0" y="0"/>
                            <a:ext cx="57785" cy="481965"/>
                          </a:xfrm>
                          <a:prstGeom prst="rect">
                            <a:avLst/>
                          </a:prstGeom>
                          <a:noFill/>
                          <a:ln>
                            <a:noFill/>
                          </a:ln>
                        </pic:spPr>
                      </pic:pic>
                    </a:graphicData>
                  </a:graphic>
                </wp:inline>
              </w:drawing>
            </w:r>
          </w:p>
          <w:p w14:paraId="1566CF52">
            <w:pPr>
              <w:spacing w:line="360" w:lineRule="auto"/>
              <w:ind w:firstLine="480" w:firstLineChars="200"/>
              <w:rPr>
                <w:color w:val="auto"/>
                <w:sz w:val="24"/>
                <w:szCs w:val="24"/>
                <w:lang w:val="zh-CN"/>
              </w:rPr>
            </w:pPr>
            <w:r>
              <w:rPr>
                <w:color w:val="auto"/>
                <w:sz w:val="24"/>
                <w:szCs w:val="24"/>
                <w:lang w:val="zh-CN"/>
              </w:rPr>
              <w:t>④预测值计算</w:t>
            </w:r>
          </w:p>
          <w:p w14:paraId="31CBE207">
            <w:pPr>
              <w:spacing w:line="360" w:lineRule="auto"/>
              <w:ind w:firstLine="480" w:firstLineChars="200"/>
              <w:rPr>
                <w:color w:val="auto"/>
                <w:sz w:val="24"/>
                <w:szCs w:val="24"/>
                <w:lang w:val="zh-CN"/>
              </w:rPr>
            </w:pPr>
            <w:r>
              <w:rPr>
                <w:color w:val="auto"/>
                <w:sz w:val="24"/>
                <w:szCs w:val="24"/>
                <w:lang w:val="zh-CN"/>
              </w:rPr>
              <w:t>预测点的预测等效声级为：</w:t>
            </w:r>
          </w:p>
          <w:p w14:paraId="2E30E81A">
            <w:pPr>
              <w:spacing w:before="26" w:line="211" w:lineRule="auto"/>
              <w:ind w:left="3381"/>
              <w:rPr>
                <w:rFonts w:eastAsia="微软雅黑"/>
                <w:color w:val="auto"/>
                <w:sz w:val="24"/>
                <w:szCs w:val="24"/>
              </w:rPr>
            </w:pPr>
            <w:r>
              <w:rPr>
                <w:rFonts w:eastAsia="Times New Roman"/>
                <w:i/>
                <w:iCs/>
                <w:color w:val="auto"/>
                <w:spacing w:val="-4"/>
                <w:sz w:val="24"/>
                <w:szCs w:val="24"/>
              </w:rPr>
              <w:t>L</w:t>
            </w:r>
            <w:r>
              <w:rPr>
                <w:rFonts w:eastAsia="Times New Roman"/>
                <w:i/>
                <w:iCs/>
                <w:color w:val="auto"/>
                <w:spacing w:val="-4"/>
                <w:position w:val="-5"/>
                <w:sz w:val="24"/>
                <w:szCs w:val="24"/>
              </w:rPr>
              <w:t>eq</w:t>
            </w:r>
            <w:r>
              <w:rPr>
                <w:rFonts w:eastAsia="微软雅黑"/>
                <w:color w:val="auto"/>
                <w:spacing w:val="-4"/>
                <w:sz w:val="24"/>
                <w:szCs w:val="24"/>
              </w:rPr>
              <w:t>=</w:t>
            </w:r>
            <w:r>
              <w:rPr>
                <w:rFonts w:eastAsia="Times New Roman"/>
                <w:color w:val="auto"/>
                <w:spacing w:val="-4"/>
                <w:sz w:val="24"/>
                <w:szCs w:val="24"/>
              </w:rPr>
              <w:t>10lg</w:t>
            </w:r>
            <w:r>
              <w:rPr>
                <w:rFonts w:eastAsia="微软雅黑"/>
                <w:color w:val="auto"/>
                <w:spacing w:val="-4"/>
                <w:position w:val="-3"/>
                <w:sz w:val="24"/>
                <w:szCs w:val="24"/>
              </w:rPr>
              <w:t>(</w:t>
            </w:r>
            <w:r>
              <w:rPr>
                <w:rFonts w:eastAsia="Times New Roman"/>
                <w:color w:val="auto"/>
                <w:spacing w:val="-4"/>
                <w:sz w:val="24"/>
                <w:szCs w:val="24"/>
              </w:rPr>
              <w:t>10</w:t>
            </w:r>
            <w:r>
              <w:rPr>
                <w:rFonts w:eastAsia="Times New Roman"/>
                <w:color w:val="auto"/>
                <w:spacing w:val="-4"/>
                <w:position w:val="13"/>
                <w:sz w:val="24"/>
                <w:szCs w:val="24"/>
              </w:rPr>
              <w:t>0.1</w:t>
            </w:r>
            <w:r>
              <w:rPr>
                <w:rFonts w:eastAsia="Times New Roman"/>
                <w:i/>
                <w:iCs/>
                <w:color w:val="auto"/>
                <w:spacing w:val="-4"/>
                <w:position w:val="13"/>
                <w:sz w:val="24"/>
                <w:szCs w:val="24"/>
              </w:rPr>
              <w:t>L</w:t>
            </w:r>
            <w:r>
              <w:rPr>
                <w:rFonts w:eastAsia="Times New Roman"/>
                <w:i/>
                <w:iCs/>
                <w:color w:val="auto"/>
                <w:spacing w:val="-4"/>
                <w:position w:val="10"/>
                <w:sz w:val="24"/>
                <w:szCs w:val="24"/>
              </w:rPr>
              <w:t>eqg</w:t>
            </w:r>
            <w:r>
              <w:rPr>
                <w:rFonts w:eastAsia="微软雅黑"/>
                <w:color w:val="auto"/>
                <w:spacing w:val="-4"/>
                <w:sz w:val="24"/>
                <w:szCs w:val="24"/>
              </w:rPr>
              <w:t>+</w:t>
            </w:r>
            <w:r>
              <w:rPr>
                <w:rFonts w:eastAsia="Times New Roman"/>
                <w:color w:val="auto"/>
                <w:spacing w:val="-4"/>
                <w:sz w:val="24"/>
                <w:szCs w:val="24"/>
              </w:rPr>
              <w:t>10</w:t>
            </w:r>
            <w:r>
              <w:rPr>
                <w:rFonts w:eastAsia="Times New Roman"/>
                <w:color w:val="auto"/>
                <w:spacing w:val="-4"/>
                <w:position w:val="13"/>
                <w:sz w:val="24"/>
                <w:szCs w:val="24"/>
              </w:rPr>
              <w:t>0.1</w:t>
            </w:r>
            <w:r>
              <w:rPr>
                <w:rFonts w:eastAsia="Times New Roman"/>
                <w:i/>
                <w:iCs/>
                <w:color w:val="auto"/>
                <w:spacing w:val="-4"/>
                <w:position w:val="13"/>
                <w:sz w:val="24"/>
                <w:szCs w:val="24"/>
              </w:rPr>
              <w:t>L</w:t>
            </w:r>
            <w:r>
              <w:rPr>
                <w:rFonts w:eastAsia="Times New Roman"/>
                <w:i/>
                <w:iCs/>
                <w:color w:val="auto"/>
                <w:spacing w:val="-4"/>
                <w:position w:val="10"/>
                <w:sz w:val="24"/>
                <w:szCs w:val="24"/>
              </w:rPr>
              <w:t>e</w:t>
            </w:r>
            <w:r>
              <w:rPr>
                <w:rFonts w:eastAsia="Times New Roman"/>
                <w:i/>
                <w:iCs/>
                <w:color w:val="auto"/>
                <w:spacing w:val="-3"/>
                <w:position w:val="10"/>
                <w:sz w:val="24"/>
                <w:szCs w:val="24"/>
              </w:rPr>
              <w:t>q</w:t>
            </w:r>
            <w:r>
              <w:rPr>
                <w:rFonts w:eastAsia="Times New Roman"/>
                <w:i/>
                <w:iCs/>
                <w:color w:val="auto"/>
                <w:position w:val="10"/>
                <w:sz w:val="24"/>
                <w:szCs w:val="24"/>
              </w:rPr>
              <w:t>b</w:t>
            </w:r>
            <w:r>
              <w:rPr>
                <w:rFonts w:eastAsia="微软雅黑"/>
                <w:color w:val="auto"/>
                <w:spacing w:val="-4"/>
                <w:position w:val="-3"/>
                <w:sz w:val="24"/>
                <w:szCs w:val="24"/>
              </w:rPr>
              <w:t>)</w:t>
            </w:r>
          </w:p>
          <w:p w14:paraId="47A465E7">
            <w:pPr>
              <w:spacing w:line="360" w:lineRule="auto"/>
              <w:ind w:firstLine="480" w:firstLineChars="200"/>
              <w:rPr>
                <w:color w:val="auto"/>
                <w:sz w:val="24"/>
                <w:szCs w:val="24"/>
                <w:lang w:val="zh-CN"/>
              </w:rPr>
            </w:pPr>
            <w:r>
              <w:rPr>
                <w:color w:val="auto"/>
                <w:sz w:val="24"/>
                <w:szCs w:val="24"/>
                <w:lang w:val="zh-CN"/>
              </w:rPr>
              <w:t>上式中各符号的意义和单位见HJ2.4-2021。</w:t>
            </w:r>
            <w:r>
              <w:rPr>
                <w:rFonts w:hint="eastAsia"/>
                <w:color w:val="auto"/>
                <w:sz w:val="24"/>
                <w:szCs w:val="24"/>
                <w:lang w:val="zh-CN"/>
              </w:rPr>
              <w:t>；</w:t>
            </w:r>
          </w:p>
          <w:p w14:paraId="09B86791">
            <w:pPr>
              <w:spacing w:line="360" w:lineRule="auto"/>
              <w:ind w:firstLine="480" w:firstLineChars="200"/>
              <w:rPr>
                <w:color w:val="auto"/>
                <w:sz w:val="24"/>
                <w:szCs w:val="24"/>
                <w:lang w:val="zh-CN"/>
              </w:rPr>
            </w:pPr>
            <w:r>
              <w:rPr>
                <w:rFonts w:hint="eastAsia"/>
                <w:color w:val="auto"/>
                <w:sz w:val="24"/>
                <w:szCs w:val="24"/>
              </w:rPr>
              <w:t>（3）</w:t>
            </w:r>
            <w:r>
              <w:rPr>
                <w:color w:val="auto"/>
                <w:sz w:val="24"/>
                <w:szCs w:val="24"/>
                <w:lang w:val="zh-CN"/>
              </w:rPr>
              <w:t>预测结果</w:t>
            </w:r>
          </w:p>
          <w:p w14:paraId="4F2396BC">
            <w:pPr>
              <w:spacing w:line="360" w:lineRule="auto"/>
              <w:ind w:firstLine="480" w:firstLineChars="200"/>
              <w:rPr>
                <w:b/>
                <w:color w:val="auto"/>
              </w:rPr>
            </w:pPr>
            <w:r>
              <w:rPr>
                <w:color w:val="auto"/>
                <w:sz w:val="24"/>
                <w:szCs w:val="24"/>
                <w:lang w:val="zh-CN"/>
              </w:rPr>
              <w:t>经合理布局、减震消音、厂房隔声、距离衰减后，项目各厂界噪声预测情况见下表4-</w:t>
            </w:r>
            <w:r>
              <w:rPr>
                <w:color w:val="auto"/>
                <w:sz w:val="24"/>
                <w:szCs w:val="24"/>
              </w:rPr>
              <w:t>2</w:t>
            </w:r>
            <w:r>
              <w:rPr>
                <w:rFonts w:hint="eastAsia"/>
                <w:color w:val="auto"/>
                <w:sz w:val="24"/>
                <w:szCs w:val="24"/>
              </w:rPr>
              <w:t>1</w:t>
            </w:r>
            <w:r>
              <w:rPr>
                <w:color w:val="auto"/>
                <w:sz w:val="24"/>
                <w:szCs w:val="24"/>
                <w:lang w:val="zh-CN"/>
              </w:rPr>
              <w:t>。</w:t>
            </w:r>
          </w:p>
          <w:p w14:paraId="2F5C2B33">
            <w:pPr>
              <w:jc w:val="center"/>
              <w:rPr>
                <w:b/>
                <w:color w:val="auto"/>
                <w:sz w:val="24"/>
              </w:rPr>
            </w:pPr>
            <w:r>
              <w:rPr>
                <w:b/>
                <w:color w:val="auto"/>
                <w:sz w:val="24"/>
                <w:szCs w:val="24"/>
              </w:rPr>
              <w:t>表4-2</w:t>
            </w:r>
            <w:r>
              <w:rPr>
                <w:rFonts w:hint="eastAsia"/>
                <w:b/>
                <w:color w:val="auto"/>
                <w:sz w:val="24"/>
                <w:szCs w:val="24"/>
              </w:rPr>
              <w:t xml:space="preserve">1  </w:t>
            </w:r>
            <w:r>
              <w:rPr>
                <w:b/>
                <w:color w:val="auto"/>
                <w:sz w:val="24"/>
                <w:szCs w:val="24"/>
              </w:rPr>
              <w:t>噪声预测结果表单位：dB（A）</w:t>
            </w:r>
          </w:p>
          <w:tbl>
            <w:tblPr>
              <w:tblStyle w:val="50"/>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2"/>
              <w:gridCol w:w="829"/>
              <w:gridCol w:w="927"/>
              <w:gridCol w:w="1078"/>
              <w:gridCol w:w="1490"/>
              <w:gridCol w:w="1739"/>
              <w:gridCol w:w="1716"/>
            </w:tblGrid>
            <w:tr w14:paraId="26F41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Merge w:val="restart"/>
                  <w:vAlign w:val="center"/>
                </w:tcPr>
                <w:p w14:paraId="5E25F515">
                  <w:pPr>
                    <w:jc w:val="center"/>
                    <w:rPr>
                      <w:b/>
                      <w:bCs/>
                      <w:color w:val="auto"/>
                    </w:rPr>
                  </w:pPr>
                  <w:r>
                    <w:rPr>
                      <w:b/>
                      <w:bCs/>
                      <w:color w:val="auto"/>
                    </w:rPr>
                    <w:t>预测点</w:t>
                  </w:r>
                </w:p>
              </w:tc>
              <w:tc>
                <w:tcPr>
                  <w:tcW w:w="1562" w:type="pct"/>
                  <w:gridSpan w:val="3"/>
                  <w:vAlign w:val="center"/>
                </w:tcPr>
                <w:p w14:paraId="5B39BBE1">
                  <w:pPr>
                    <w:jc w:val="center"/>
                    <w:rPr>
                      <w:b/>
                      <w:bCs/>
                      <w:color w:val="auto"/>
                    </w:rPr>
                  </w:pPr>
                  <w:r>
                    <w:rPr>
                      <w:rFonts w:hint="eastAsia"/>
                      <w:b/>
                      <w:bCs/>
                      <w:color w:val="auto"/>
                    </w:rPr>
                    <w:t>空间相对位置</w:t>
                  </w:r>
                </w:p>
              </w:tc>
              <w:tc>
                <w:tcPr>
                  <w:tcW w:w="821" w:type="pct"/>
                  <w:vMerge w:val="restart"/>
                  <w:vAlign w:val="center"/>
                </w:tcPr>
                <w:p w14:paraId="0B70E882">
                  <w:pPr>
                    <w:jc w:val="center"/>
                    <w:rPr>
                      <w:rFonts w:hint="default"/>
                      <w:b/>
                      <w:bCs/>
                      <w:color w:val="auto"/>
                      <w:lang w:val="en-US" w:eastAsia="zh-CN"/>
                    </w:rPr>
                  </w:pPr>
                  <w:r>
                    <w:rPr>
                      <w:b/>
                      <w:bCs/>
                      <w:color w:val="auto"/>
                    </w:rPr>
                    <w:t>贡献值</w:t>
                  </w:r>
                </w:p>
              </w:tc>
              <w:tc>
                <w:tcPr>
                  <w:tcW w:w="958" w:type="pct"/>
                  <w:vAlign w:val="center"/>
                </w:tcPr>
                <w:p w14:paraId="75486B39">
                  <w:pPr>
                    <w:jc w:val="center"/>
                    <w:rPr>
                      <w:b/>
                      <w:bCs/>
                      <w:color w:val="auto"/>
                    </w:rPr>
                  </w:pPr>
                  <w:r>
                    <w:rPr>
                      <w:b/>
                      <w:bCs/>
                      <w:color w:val="auto"/>
                    </w:rPr>
                    <w:t>标准</w:t>
                  </w:r>
                </w:p>
              </w:tc>
              <w:tc>
                <w:tcPr>
                  <w:tcW w:w="945" w:type="pct"/>
                  <w:vMerge w:val="restart"/>
                  <w:vAlign w:val="center"/>
                </w:tcPr>
                <w:p w14:paraId="3B5179C4">
                  <w:pPr>
                    <w:jc w:val="center"/>
                    <w:rPr>
                      <w:b/>
                      <w:bCs/>
                      <w:color w:val="auto"/>
                    </w:rPr>
                  </w:pPr>
                  <w:r>
                    <w:rPr>
                      <w:b/>
                      <w:bCs/>
                      <w:color w:val="auto"/>
                    </w:rPr>
                    <w:t>超标情况</w:t>
                  </w:r>
                </w:p>
              </w:tc>
            </w:tr>
            <w:tr w14:paraId="33C60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Merge w:val="continue"/>
                  <w:vAlign w:val="center"/>
                </w:tcPr>
                <w:p w14:paraId="60488B8E">
                  <w:pPr>
                    <w:jc w:val="center"/>
                    <w:rPr>
                      <w:color w:val="auto"/>
                    </w:rPr>
                  </w:pPr>
                </w:p>
              </w:tc>
              <w:tc>
                <w:tcPr>
                  <w:tcW w:w="457" w:type="pct"/>
                  <w:vAlign w:val="center"/>
                </w:tcPr>
                <w:p w14:paraId="5AC55E6A">
                  <w:pPr>
                    <w:jc w:val="center"/>
                    <w:rPr>
                      <w:color w:val="auto"/>
                    </w:rPr>
                  </w:pPr>
                  <w:r>
                    <w:rPr>
                      <w:rFonts w:hint="eastAsia"/>
                      <w:b/>
                      <w:bCs/>
                      <w:color w:val="auto"/>
                    </w:rPr>
                    <w:t>X</w:t>
                  </w:r>
                </w:p>
              </w:tc>
              <w:tc>
                <w:tcPr>
                  <w:tcW w:w="511" w:type="pct"/>
                  <w:vAlign w:val="center"/>
                </w:tcPr>
                <w:p w14:paraId="4A05DCF7">
                  <w:pPr>
                    <w:jc w:val="center"/>
                    <w:rPr>
                      <w:color w:val="auto"/>
                    </w:rPr>
                  </w:pPr>
                  <w:r>
                    <w:rPr>
                      <w:rFonts w:hint="eastAsia"/>
                      <w:b/>
                      <w:bCs/>
                      <w:color w:val="auto"/>
                    </w:rPr>
                    <w:t>Y</w:t>
                  </w:r>
                </w:p>
              </w:tc>
              <w:tc>
                <w:tcPr>
                  <w:tcW w:w="593" w:type="pct"/>
                  <w:vAlign w:val="center"/>
                </w:tcPr>
                <w:p w14:paraId="2455BBAC">
                  <w:pPr>
                    <w:jc w:val="center"/>
                    <w:rPr>
                      <w:color w:val="auto"/>
                    </w:rPr>
                  </w:pPr>
                  <w:r>
                    <w:rPr>
                      <w:rFonts w:hint="eastAsia"/>
                      <w:b/>
                      <w:bCs/>
                      <w:color w:val="auto"/>
                    </w:rPr>
                    <w:t>Z</w:t>
                  </w:r>
                </w:p>
              </w:tc>
              <w:tc>
                <w:tcPr>
                  <w:tcW w:w="821" w:type="pct"/>
                  <w:vMerge w:val="continue"/>
                  <w:vAlign w:val="center"/>
                </w:tcPr>
                <w:p w14:paraId="23E5E00F">
                  <w:pPr>
                    <w:jc w:val="center"/>
                    <w:rPr>
                      <w:color w:val="auto"/>
                    </w:rPr>
                  </w:pPr>
                </w:p>
              </w:tc>
              <w:tc>
                <w:tcPr>
                  <w:tcW w:w="958" w:type="pct"/>
                  <w:vAlign w:val="center"/>
                </w:tcPr>
                <w:p w14:paraId="5E3E0A70">
                  <w:pPr>
                    <w:jc w:val="center"/>
                    <w:rPr>
                      <w:b/>
                      <w:bCs/>
                      <w:color w:val="auto"/>
                    </w:rPr>
                  </w:pPr>
                  <w:r>
                    <w:rPr>
                      <w:b/>
                      <w:bCs/>
                      <w:color w:val="auto"/>
                    </w:rPr>
                    <w:t>昼间</w:t>
                  </w:r>
                </w:p>
              </w:tc>
              <w:tc>
                <w:tcPr>
                  <w:tcW w:w="945" w:type="pct"/>
                  <w:vMerge w:val="continue"/>
                  <w:vAlign w:val="center"/>
                </w:tcPr>
                <w:p w14:paraId="60E49E33">
                  <w:pPr>
                    <w:jc w:val="center"/>
                    <w:rPr>
                      <w:b/>
                      <w:bCs/>
                      <w:color w:val="auto"/>
                    </w:rPr>
                  </w:pPr>
                </w:p>
              </w:tc>
            </w:tr>
            <w:tr w14:paraId="0ADEB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4FEC645E">
                  <w:pPr>
                    <w:jc w:val="center"/>
                    <w:rPr>
                      <w:color w:val="auto"/>
                    </w:rPr>
                  </w:pPr>
                  <w:r>
                    <w:rPr>
                      <w:color w:val="auto"/>
                    </w:rPr>
                    <w:t>东厂界</w:t>
                  </w:r>
                </w:p>
              </w:tc>
              <w:tc>
                <w:tcPr>
                  <w:tcW w:w="457" w:type="pct"/>
                  <w:vAlign w:val="center"/>
                </w:tcPr>
                <w:p w14:paraId="445F57E3">
                  <w:pPr>
                    <w:jc w:val="center"/>
                    <w:rPr>
                      <w:color w:val="auto"/>
                    </w:rPr>
                  </w:pPr>
                  <w:r>
                    <w:rPr>
                      <w:rFonts w:hint="eastAsia"/>
                      <w:color w:val="auto"/>
                    </w:rPr>
                    <w:t>147</w:t>
                  </w:r>
                </w:p>
              </w:tc>
              <w:tc>
                <w:tcPr>
                  <w:tcW w:w="511" w:type="pct"/>
                  <w:vAlign w:val="center"/>
                </w:tcPr>
                <w:p w14:paraId="402CB5C9">
                  <w:pPr>
                    <w:jc w:val="center"/>
                    <w:rPr>
                      <w:color w:val="auto"/>
                    </w:rPr>
                  </w:pPr>
                  <w:r>
                    <w:rPr>
                      <w:rFonts w:hint="eastAsia"/>
                      <w:color w:val="auto"/>
                    </w:rPr>
                    <w:t>105</w:t>
                  </w:r>
                </w:p>
              </w:tc>
              <w:tc>
                <w:tcPr>
                  <w:tcW w:w="593" w:type="pct"/>
                  <w:vAlign w:val="center"/>
                </w:tcPr>
                <w:p w14:paraId="6E44284B">
                  <w:pPr>
                    <w:jc w:val="center"/>
                    <w:rPr>
                      <w:color w:val="auto"/>
                    </w:rPr>
                  </w:pPr>
                  <w:r>
                    <w:rPr>
                      <w:rFonts w:hint="eastAsia"/>
                      <w:color w:val="auto"/>
                    </w:rPr>
                    <w:t>1.2</w:t>
                  </w:r>
                </w:p>
              </w:tc>
              <w:tc>
                <w:tcPr>
                  <w:tcW w:w="821" w:type="pct"/>
                  <w:vAlign w:val="center"/>
                </w:tcPr>
                <w:p w14:paraId="5F2A7017">
                  <w:pPr>
                    <w:spacing w:line="0" w:lineRule="atLeast"/>
                    <w:jc w:val="center"/>
                    <w:rPr>
                      <w:rFonts w:hint="eastAsia"/>
                      <w:color w:val="auto"/>
                    </w:rPr>
                  </w:pPr>
                  <w:r>
                    <w:rPr>
                      <w:rFonts w:hint="eastAsia"/>
                      <w:color w:val="auto"/>
                    </w:rPr>
                    <w:t>47</w:t>
                  </w:r>
                </w:p>
              </w:tc>
              <w:tc>
                <w:tcPr>
                  <w:tcW w:w="958" w:type="pct"/>
                  <w:vAlign w:val="center"/>
                </w:tcPr>
                <w:p w14:paraId="06835544">
                  <w:pPr>
                    <w:spacing w:line="0" w:lineRule="atLeast"/>
                    <w:jc w:val="center"/>
                    <w:rPr>
                      <w:color w:val="auto"/>
                    </w:rPr>
                  </w:pPr>
                  <w:r>
                    <w:rPr>
                      <w:color w:val="auto"/>
                    </w:rPr>
                    <w:t>65</w:t>
                  </w:r>
                </w:p>
              </w:tc>
              <w:tc>
                <w:tcPr>
                  <w:tcW w:w="945" w:type="pct"/>
                  <w:vAlign w:val="center"/>
                </w:tcPr>
                <w:p w14:paraId="0B1DECF3">
                  <w:pPr>
                    <w:spacing w:line="0" w:lineRule="atLeast"/>
                    <w:jc w:val="center"/>
                    <w:rPr>
                      <w:color w:val="auto"/>
                    </w:rPr>
                  </w:pPr>
                  <w:r>
                    <w:rPr>
                      <w:color w:val="auto"/>
                    </w:rPr>
                    <w:t>达标</w:t>
                  </w:r>
                </w:p>
              </w:tc>
            </w:tr>
            <w:tr w14:paraId="3F13D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580D3306">
                  <w:pPr>
                    <w:jc w:val="center"/>
                    <w:rPr>
                      <w:color w:val="auto"/>
                    </w:rPr>
                  </w:pPr>
                  <w:r>
                    <w:rPr>
                      <w:color w:val="auto"/>
                    </w:rPr>
                    <w:t>南厂界</w:t>
                  </w:r>
                </w:p>
              </w:tc>
              <w:tc>
                <w:tcPr>
                  <w:tcW w:w="457" w:type="pct"/>
                  <w:vAlign w:val="center"/>
                </w:tcPr>
                <w:p w14:paraId="0DC8A3FC">
                  <w:pPr>
                    <w:jc w:val="center"/>
                    <w:rPr>
                      <w:color w:val="auto"/>
                    </w:rPr>
                  </w:pPr>
                  <w:r>
                    <w:rPr>
                      <w:rFonts w:hint="eastAsia"/>
                      <w:color w:val="auto"/>
                    </w:rPr>
                    <w:t>73</w:t>
                  </w:r>
                </w:p>
              </w:tc>
              <w:tc>
                <w:tcPr>
                  <w:tcW w:w="511" w:type="pct"/>
                  <w:vAlign w:val="center"/>
                </w:tcPr>
                <w:p w14:paraId="4235B051">
                  <w:pPr>
                    <w:jc w:val="center"/>
                    <w:rPr>
                      <w:color w:val="auto"/>
                    </w:rPr>
                  </w:pPr>
                  <w:r>
                    <w:rPr>
                      <w:rFonts w:hint="eastAsia"/>
                      <w:color w:val="auto"/>
                    </w:rPr>
                    <w:t>-1</w:t>
                  </w:r>
                </w:p>
              </w:tc>
              <w:tc>
                <w:tcPr>
                  <w:tcW w:w="593" w:type="pct"/>
                  <w:vAlign w:val="center"/>
                </w:tcPr>
                <w:p w14:paraId="2F191869">
                  <w:pPr>
                    <w:jc w:val="center"/>
                    <w:rPr>
                      <w:color w:val="auto"/>
                    </w:rPr>
                  </w:pPr>
                  <w:r>
                    <w:rPr>
                      <w:rFonts w:hint="eastAsia"/>
                      <w:color w:val="auto"/>
                    </w:rPr>
                    <w:t>1.2</w:t>
                  </w:r>
                </w:p>
              </w:tc>
              <w:tc>
                <w:tcPr>
                  <w:tcW w:w="821" w:type="pct"/>
                  <w:vAlign w:val="center"/>
                </w:tcPr>
                <w:p w14:paraId="0FB95B06">
                  <w:pPr>
                    <w:spacing w:line="0" w:lineRule="atLeast"/>
                    <w:jc w:val="center"/>
                    <w:rPr>
                      <w:rFonts w:hint="eastAsia"/>
                      <w:color w:val="auto"/>
                    </w:rPr>
                  </w:pPr>
                  <w:r>
                    <w:rPr>
                      <w:rFonts w:hint="eastAsia"/>
                      <w:color w:val="auto"/>
                    </w:rPr>
                    <w:t>63</w:t>
                  </w:r>
                </w:p>
              </w:tc>
              <w:tc>
                <w:tcPr>
                  <w:tcW w:w="958" w:type="pct"/>
                  <w:vAlign w:val="center"/>
                </w:tcPr>
                <w:p w14:paraId="16998CB6">
                  <w:pPr>
                    <w:spacing w:line="0" w:lineRule="atLeast"/>
                    <w:jc w:val="center"/>
                    <w:rPr>
                      <w:color w:val="auto"/>
                    </w:rPr>
                  </w:pPr>
                  <w:r>
                    <w:rPr>
                      <w:color w:val="auto"/>
                    </w:rPr>
                    <w:t>65</w:t>
                  </w:r>
                </w:p>
              </w:tc>
              <w:tc>
                <w:tcPr>
                  <w:tcW w:w="945" w:type="pct"/>
                  <w:vAlign w:val="center"/>
                </w:tcPr>
                <w:p w14:paraId="4A91312F">
                  <w:pPr>
                    <w:spacing w:line="0" w:lineRule="atLeast"/>
                    <w:jc w:val="center"/>
                    <w:rPr>
                      <w:color w:val="auto"/>
                    </w:rPr>
                  </w:pPr>
                  <w:r>
                    <w:rPr>
                      <w:color w:val="auto"/>
                    </w:rPr>
                    <w:t>达标</w:t>
                  </w:r>
                </w:p>
              </w:tc>
            </w:tr>
            <w:tr w14:paraId="08FAB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42546573">
                  <w:pPr>
                    <w:jc w:val="center"/>
                    <w:rPr>
                      <w:color w:val="auto"/>
                    </w:rPr>
                  </w:pPr>
                  <w:r>
                    <w:rPr>
                      <w:color w:val="auto"/>
                    </w:rPr>
                    <w:t>西厂界</w:t>
                  </w:r>
                </w:p>
              </w:tc>
              <w:tc>
                <w:tcPr>
                  <w:tcW w:w="457" w:type="pct"/>
                  <w:vAlign w:val="center"/>
                </w:tcPr>
                <w:p w14:paraId="29DC6929">
                  <w:pPr>
                    <w:jc w:val="center"/>
                    <w:rPr>
                      <w:color w:val="auto"/>
                    </w:rPr>
                  </w:pPr>
                  <w:r>
                    <w:rPr>
                      <w:rFonts w:hint="eastAsia"/>
                      <w:color w:val="auto"/>
                    </w:rPr>
                    <w:t>-1</w:t>
                  </w:r>
                </w:p>
              </w:tc>
              <w:tc>
                <w:tcPr>
                  <w:tcW w:w="511" w:type="pct"/>
                  <w:vAlign w:val="center"/>
                </w:tcPr>
                <w:p w14:paraId="412DC13F">
                  <w:pPr>
                    <w:jc w:val="center"/>
                    <w:rPr>
                      <w:color w:val="auto"/>
                    </w:rPr>
                  </w:pPr>
                  <w:r>
                    <w:rPr>
                      <w:rFonts w:hint="eastAsia"/>
                      <w:color w:val="auto"/>
                    </w:rPr>
                    <w:t>105</w:t>
                  </w:r>
                </w:p>
              </w:tc>
              <w:tc>
                <w:tcPr>
                  <w:tcW w:w="593" w:type="pct"/>
                  <w:vAlign w:val="center"/>
                </w:tcPr>
                <w:p w14:paraId="68A42802">
                  <w:pPr>
                    <w:jc w:val="center"/>
                    <w:rPr>
                      <w:color w:val="auto"/>
                    </w:rPr>
                  </w:pPr>
                  <w:r>
                    <w:rPr>
                      <w:rFonts w:hint="eastAsia"/>
                      <w:color w:val="auto"/>
                    </w:rPr>
                    <w:t>1.2</w:t>
                  </w:r>
                </w:p>
              </w:tc>
              <w:tc>
                <w:tcPr>
                  <w:tcW w:w="821" w:type="pct"/>
                  <w:vAlign w:val="center"/>
                </w:tcPr>
                <w:p w14:paraId="1D54C84A">
                  <w:pPr>
                    <w:spacing w:line="0" w:lineRule="atLeast"/>
                    <w:jc w:val="center"/>
                    <w:rPr>
                      <w:rFonts w:hint="eastAsia"/>
                      <w:color w:val="auto"/>
                    </w:rPr>
                  </w:pPr>
                  <w:r>
                    <w:rPr>
                      <w:rFonts w:hint="eastAsia"/>
                      <w:color w:val="auto"/>
                    </w:rPr>
                    <w:t>58</w:t>
                  </w:r>
                </w:p>
              </w:tc>
              <w:tc>
                <w:tcPr>
                  <w:tcW w:w="958" w:type="pct"/>
                  <w:vAlign w:val="center"/>
                </w:tcPr>
                <w:p w14:paraId="18770A62">
                  <w:pPr>
                    <w:spacing w:line="0" w:lineRule="atLeast"/>
                    <w:jc w:val="center"/>
                    <w:rPr>
                      <w:color w:val="auto"/>
                    </w:rPr>
                  </w:pPr>
                  <w:r>
                    <w:rPr>
                      <w:color w:val="auto"/>
                    </w:rPr>
                    <w:t>65</w:t>
                  </w:r>
                </w:p>
              </w:tc>
              <w:tc>
                <w:tcPr>
                  <w:tcW w:w="945" w:type="pct"/>
                  <w:vAlign w:val="center"/>
                </w:tcPr>
                <w:p w14:paraId="7058F4F2">
                  <w:pPr>
                    <w:spacing w:line="0" w:lineRule="atLeast"/>
                    <w:jc w:val="center"/>
                    <w:rPr>
                      <w:color w:val="auto"/>
                    </w:rPr>
                  </w:pPr>
                  <w:r>
                    <w:rPr>
                      <w:color w:val="auto"/>
                    </w:rPr>
                    <w:t>达标</w:t>
                  </w:r>
                </w:p>
              </w:tc>
            </w:tr>
            <w:tr w14:paraId="6B7BA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12" w:type="pct"/>
                  <w:vAlign w:val="center"/>
                </w:tcPr>
                <w:p w14:paraId="3CABFEE3">
                  <w:pPr>
                    <w:jc w:val="center"/>
                    <w:rPr>
                      <w:color w:val="auto"/>
                    </w:rPr>
                  </w:pPr>
                  <w:r>
                    <w:rPr>
                      <w:color w:val="auto"/>
                    </w:rPr>
                    <w:t>北厂界</w:t>
                  </w:r>
                </w:p>
              </w:tc>
              <w:tc>
                <w:tcPr>
                  <w:tcW w:w="457" w:type="pct"/>
                  <w:vAlign w:val="center"/>
                </w:tcPr>
                <w:p w14:paraId="256E73AF">
                  <w:pPr>
                    <w:jc w:val="center"/>
                    <w:rPr>
                      <w:color w:val="auto"/>
                    </w:rPr>
                  </w:pPr>
                  <w:r>
                    <w:rPr>
                      <w:rFonts w:hint="eastAsia"/>
                      <w:color w:val="auto"/>
                    </w:rPr>
                    <w:t>73</w:t>
                  </w:r>
                </w:p>
              </w:tc>
              <w:tc>
                <w:tcPr>
                  <w:tcW w:w="511" w:type="pct"/>
                  <w:vAlign w:val="center"/>
                </w:tcPr>
                <w:p w14:paraId="7EC8ADED">
                  <w:pPr>
                    <w:jc w:val="center"/>
                    <w:rPr>
                      <w:color w:val="auto"/>
                    </w:rPr>
                  </w:pPr>
                  <w:r>
                    <w:rPr>
                      <w:rFonts w:hint="eastAsia"/>
                      <w:color w:val="auto"/>
                    </w:rPr>
                    <w:t>211</w:t>
                  </w:r>
                </w:p>
              </w:tc>
              <w:tc>
                <w:tcPr>
                  <w:tcW w:w="593" w:type="pct"/>
                  <w:vAlign w:val="center"/>
                </w:tcPr>
                <w:p w14:paraId="36E43CD1">
                  <w:pPr>
                    <w:jc w:val="center"/>
                    <w:rPr>
                      <w:color w:val="auto"/>
                    </w:rPr>
                  </w:pPr>
                  <w:r>
                    <w:rPr>
                      <w:rFonts w:hint="eastAsia"/>
                      <w:color w:val="auto"/>
                    </w:rPr>
                    <w:t>1.2</w:t>
                  </w:r>
                </w:p>
              </w:tc>
              <w:tc>
                <w:tcPr>
                  <w:tcW w:w="821" w:type="pct"/>
                  <w:vAlign w:val="center"/>
                </w:tcPr>
                <w:p w14:paraId="230D2741">
                  <w:pPr>
                    <w:spacing w:line="0" w:lineRule="atLeast"/>
                    <w:jc w:val="center"/>
                    <w:rPr>
                      <w:rFonts w:hint="eastAsia"/>
                      <w:color w:val="auto"/>
                    </w:rPr>
                  </w:pPr>
                  <w:r>
                    <w:rPr>
                      <w:rFonts w:hint="eastAsia"/>
                      <w:color w:val="auto"/>
                    </w:rPr>
                    <w:t>58</w:t>
                  </w:r>
                </w:p>
              </w:tc>
              <w:tc>
                <w:tcPr>
                  <w:tcW w:w="958" w:type="pct"/>
                  <w:vAlign w:val="center"/>
                </w:tcPr>
                <w:p w14:paraId="5C692B44">
                  <w:pPr>
                    <w:spacing w:line="0" w:lineRule="atLeast"/>
                    <w:jc w:val="center"/>
                    <w:rPr>
                      <w:color w:val="auto"/>
                    </w:rPr>
                  </w:pPr>
                  <w:r>
                    <w:rPr>
                      <w:color w:val="auto"/>
                    </w:rPr>
                    <w:t>65</w:t>
                  </w:r>
                </w:p>
              </w:tc>
              <w:tc>
                <w:tcPr>
                  <w:tcW w:w="945" w:type="pct"/>
                  <w:vAlign w:val="center"/>
                </w:tcPr>
                <w:p w14:paraId="2059BD0E">
                  <w:pPr>
                    <w:spacing w:line="0" w:lineRule="atLeast"/>
                    <w:jc w:val="center"/>
                    <w:rPr>
                      <w:color w:val="auto"/>
                    </w:rPr>
                  </w:pPr>
                  <w:r>
                    <w:rPr>
                      <w:color w:val="auto"/>
                    </w:rPr>
                    <w:t>达标</w:t>
                  </w:r>
                </w:p>
              </w:tc>
            </w:tr>
          </w:tbl>
          <w:p w14:paraId="3C9EF86B">
            <w:pPr>
              <w:spacing w:line="360" w:lineRule="auto"/>
              <w:ind w:firstLine="480" w:firstLineChars="200"/>
              <w:rPr>
                <w:color w:val="auto"/>
                <w:sz w:val="24"/>
                <w:szCs w:val="24"/>
              </w:rPr>
            </w:pPr>
            <w:r>
              <w:rPr>
                <w:color w:val="auto"/>
                <w:sz w:val="24"/>
                <w:szCs w:val="24"/>
              </w:rPr>
              <w:t>由预测结果可见，建设项目厂界昼间噪声影响预测值可满足《工业企业厂界环境噪声排放标准》（GB12348-2008）表1中3类标准限值，可达标排放，对周围声环境影响较小。</w:t>
            </w:r>
          </w:p>
          <w:p w14:paraId="43E9AAB8">
            <w:pPr>
              <w:pStyle w:val="3"/>
              <w:ind w:firstLine="480" w:firstLineChars="200"/>
              <w:outlineLvl w:val="2"/>
              <w:rPr>
                <w:color w:val="auto"/>
                <w:sz w:val="24"/>
              </w:rPr>
            </w:pPr>
            <w:r>
              <w:rPr>
                <w:color w:val="auto"/>
                <w:sz w:val="24"/>
              </w:rPr>
              <w:t>3.4监测要求</w:t>
            </w:r>
          </w:p>
          <w:p w14:paraId="650A4DA6">
            <w:pPr>
              <w:ind w:firstLine="480" w:firstLineChars="200"/>
              <w:rPr>
                <w:color w:val="auto"/>
              </w:rPr>
            </w:pPr>
            <w:r>
              <w:rPr>
                <w:rFonts w:hint="eastAsia"/>
                <w:b w:val="0"/>
                <w:bCs w:val="0"/>
                <w:color w:val="auto"/>
                <w:sz w:val="24"/>
                <w:szCs w:val="24"/>
                <w:lang w:val="en-US" w:eastAsia="zh-CN"/>
              </w:rPr>
              <w:t>根据《排污单位自行监测技术指南 总则》（HJ819-2017），项目监测计划如下。</w:t>
            </w:r>
          </w:p>
          <w:p w14:paraId="550F85F5">
            <w:pPr>
              <w:jc w:val="center"/>
              <w:rPr>
                <w:b/>
                <w:bCs/>
                <w:color w:val="auto"/>
              </w:rPr>
            </w:pPr>
            <w:r>
              <w:rPr>
                <w:b/>
                <w:bCs/>
                <w:color w:val="auto"/>
                <w:sz w:val="24"/>
              </w:rPr>
              <w:t>表4-2</w:t>
            </w:r>
            <w:r>
              <w:rPr>
                <w:rFonts w:hint="eastAsia"/>
                <w:b/>
                <w:bCs/>
                <w:color w:val="auto"/>
                <w:sz w:val="24"/>
              </w:rPr>
              <w:t xml:space="preserve">2  </w:t>
            </w:r>
            <w:r>
              <w:rPr>
                <w:b/>
                <w:bCs/>
                <w:color w:val="auto"/>
                <w:sz w:val="24"/>
              </w:rPr>
              <w:t>项目环境监测计划表</w:t>
            </w:r>
          </w:p>
          <w:tbl>
            <w:tblPr>
              <w:tblStyle w:val="22"/>
              <w:tblW w:w="916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36"/>
              <w:gridCol w:w="1955"/>
              <w:gridCol w:w="2698"/>
              <w:gridCol w:w="1522"/>
              <w:gridCol w:w="2250"/>
            </w:tblGrid>
            <w:tr w14:paraId="305A71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97" w:hRule="atLeast"/>
                <w:tblHeader/>
                <w:jc w:val="center"/>
              </w:trPr>
              <w:tc>
                <w:tcPr>
                  <w:tcW w:w="736" w:type="dxa"/>
                  <w:vAlign w:val="center"/>
                </w:tcPr>
                <w:p w14:paraId="01083C29">
                  <w:pPr>
                    <w:jc w:val="center"/>
                    <w:rPr>
                      <w:b/>
                      <w:bCs/>
                      <w:color w:val="auto"/>
                    </w:rPr>
                  </w:pPr>
                  <w:r>
                    <w:rPr>
                      <w:b/>
                      <w:bCs/>
                      <w:color w:val="auto"/>
                    </w:rPr>
                    <w:t>类别</w:t>
                  </w:r>
                </w:p>
              </w:tc>
              <w:tc>
                <w:tcPr>
                  <w:tcW w:w="1955" w:type="dxa"/>
                  <w:vAlign w:val="center"/>
                </w:tcPr>
                <w:p w14:paraId="10BFEADA">
                  <w:pPr>
                    <w:jc w:val="center"/>
                    <w:rPr>
                      <w:b/>
                      <w:bCs/>
                      <w:color w:val="auto"/>
                    </w:rPr>
                  </w:pPr>
                  <w:r>
                    <w:rPr>
                      <w:b/>
                      <w:bCs/>
                      <w:color w:val="auto"/>
                    </w:rPr>
                    <w:t>监测点位</w:t>
                  </w:r>
                </w:p>
              </w:tc>
              <w:tc>
                <w:tcPr>
                  <w:tcW w:w="2698" w:type="dxa"/>
                  <w:vAlign w:val="center"/>
                </w:tcPr>
                <w:p w14:paraId="16C8C5F4">
                  <w:pPr>
                    <w:jc w:val="center"/>
                    <w:rPr>
                      <w:b/>
                      <w:bCs/>
                      <w:color w:val="auto"/>
                    </w:rPr>
                  </w:pPr>
                  <w:r>
                    <w:rPr>
                      <w:b/>
                      <w:bCs/>
                      <w:color w:val="auto"/>
                    </w:rPr>
                    <w:t>监测因子</w:t>
                  </w:r>
                </w:p>
              </w:tc>
              <w:tc>
                <w:tcPr>
                  <w:tcW w:w="1522" w:type="dxa"/>
                  <w:vAlign w:val="center"/>
                </w:tcPr>
                <w:p w14:paraId="217B6D25">
                  <w:pPr>
                    <w:jc w:val="center"/>
                    <w:rPr>
                      <w:b/>
                      <w:bCs/>
                      <w:color w:val="auto"/>
                    </w:rPr>
                  </w:pPr>
                  <w:r>
                    <w:rPr>
                      <w:b/>
                      <w:bCs/>
                      <w:color w:val="auto"/>
                    </w:rPr>
                    <w:t>监测频率</w:t>
                  </w:r>
                </w:p>
              </w:tc>
              <w:tc>
                <w:tcPr>
                  <w:tcW w:w="2250" w:type="dxa"/>
                  <w:vAlign w:val="center"/>
                </w:tcPr>
                <w:p w14:paraId="7D7FC431">
                  <w:pPr>
                    <w:jc w:val="center"/>
                    <w:rPr>
                      <w:b/>
                      <w:bCs/>
                      <w:color w:val="auto"/>
                    </w:rPr>
                  </w:pPr>
                  <w:r>
                    <w:rPr>
                      <w:b/>
                      <w:bCs/>
                      <w:color w:val="auto"/>
                    </w:rPr>
                    <w:t>备注</w:t>
                  </w:r>
                </w:p>
              </w:tc>
            </w:tr>
            <w:tr w14:paraId="044C01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36" w:type="dxa"/>
                  <w:vAlign w:val="center"/>
                </w:tcPr>
                <w:p w14:paraId="42F72BA5">
                  <w:pPr>
                    <w:jc w:val="center"/>
                    <w:rPr>
                      <w:color w:val="auto"/>
                    </w:rPr>
                  </w:pPr>
                  <w:r>
                    <w:rPr>
                      <w:color w:val="auto"/>
                    </w:rPr>
                    <w:t>噪声</w:t>
                  </w:r>
                </w:p>
              </w:tc>
              <w:tc>
                <w:tcPr>
                  <w:tcW w:w="1955" w:type="dxa"/>
                  <w:vAlign w:val="center"/>
                </w:tcPr>
                <w:p w14:paraId="5589CD4D">
                  <w:pPr>
                    <w:jc w:val="center"/>
                    <w:rPr>
                      <w:color w:val="auto"/>
                    </w:rPr>
                  </w:pPr>
                  <w:r>
                    <w:rPr>
                      <w:color w:val="auto"/>
                    </w:rPr>
                    <w:t>厂界外1m</w:t>
                  </w:r>
                </w:p>
              </w:tc>
              <w:tc>
                <w:tcPr>
                  <w:tcW w:w="2698" w:type="dxa"/>
                  <w:vAlign w:val="center"/>
                </w:tcPr>
                <w:p w14:paraId="03710240">
                  <w:pPr>
                    <w:jc w:val="center"/>
                    <w:rPr>
                      <w:color w:val="auto"/>
                    </w:rPr>
                  </w:pPr>
                  <w:r>
                    <w:rPr>
                      <w:color w:val="auto"/>
                    </w:rPr>
                    <w:t>等效连续A声级</w:t>
                  </w:r>
                </w:p>
              </w:tc>
              <w:tc>
                <w:tcPr>
                  <w:tcW w:w="1522" w:type="dxa"/>
                  <w:vAlign w:val="center"/>
                </w:tcPr>
                <w:p w14:paraId="234DA83F">
                  <w:pPr>
                    <w:jc w:val="center"/>
                    <w:rPr>
                      <w:rFonts w:hint="default" w:eastAsia="宋体"/>
                      <w:color w:val="auto"/>
                      <w:lang w:val="en-US" w:eastAsia="zh-CN"/>
                    </w:rPr>
                  </w:pPr>
                  <w:r>
                    <w:rPr>
                      <w:color w:val="auto"/>
                    </w:rPr>
                    <w:t>1季度/次</w:t>
                  </w:r>
                </w:p>
              </w:tc>
              <w:tc>
                <w:tcPr>
                  <w:tcW w:w="2250" w:type="dxa"/>
                  <w:vAlign w:val="center"/>
                </w:tcPr>
                <w:p w14:paraId="05C24E47">
                  <w:pPr>
                    <w:jc w:val="center"/>
                    <w:rPr>
                      <w:color w:val="auto"/>
                    </w:rPr>
                  </w:pPr>
                  <w:r>
                    <w:rPr>
                      <w:color w:val="auto"/>
                    </w:rPr>
                    <w:t>委托监测</w:t>
                  </w:r>
                </w:p>
              </w:tc>
            </w:tr>
          </w:tbl>
          <w:p w14:paraId="03DAB25F">
            <w:pPr>
              <w:pStyle w:val="3"/>
              <w:ind w:firstLine="480" w:firstLineChars="200"/>
              <w:outlineLvl w:val="2"/>
              <w:rPr>
                <w:color w:val="auto"/>
                <w:sz w:val="24"/>
                <w:szCs w:val="24"/>
              </w:rPr>
            </w:pPr>
            <w:r>
              <w:rPr>
                <w:color w:val="auto"/>
                <w:sz w:val="24"/>
                <w:szCs w:val="24"/>
              </w:rPr>
              <w:t>四、固体废物</w:t>
            </w:r>
          </w:p>
          <w:p w14:paraId="4AD95EFC">
            <w:pPr>
              <w:pStyle w:val="3"/>
              <w:ind w:firstLine="480" w:firstLineChars="200"/>
              <w:outlineLvl w:val="2"/>
              <w:rPr>
                <w:color w:val="auto"/>
                <w:sz w:val="24"/>
                <w:szCs w:val="24"/>
              </w:rPr>
            </w:pPr>
            <w:r>
              <w:rPr>
                <w:color w:val="auto"/>
                <w:sz w:val="24"/>
                <w:szCs w:val="24"/>
              </w:rPr>
              <w:t>4.1固废产生情况</w:t>
            </w:r>
          </w:p>
          <w:p w14:paraId="7DFF0E12">
            <w:pPr>
              <w:pStyle w:val="3"/>
              <w:ind w:firstLine="480" w:firstLineChars="200"/>
              <w:outlineLvl w:val="2"/>
              <w:rPr>
                <w:color w:val="auto"/>
                <w:sz w:val="24"/>
                <w:szCs w:val="24"/>
              </w:rPr>
            </w:pPr>
            <w:r>
              <w:rPr>
                <w:color w:val="auto"/>
                <w:sz w:val="24"/>
                <w:szCs w:val="24"/>
              </w:rPr>
              <w:t>4.1.1固体废物属性判定</w:t>
            </w:r>
          </w:p>
          <w:p w14:paraId="7A63030A">
            <w:pPr>
              <w:jc w:val="center"/>
              <w:rPr>
                <w:color w:val="auto"/>
              </w:rPr>
            </w:pPr>
            <w:r>
              <w:rPr>
                <w:b/>
                <w:bCs/>
                <w:color w:val="auto"/>
                <w:sz w:val="24"/>
              </w:rPr>
              <w:t>表4-2</w:t>
            </w:r>
            <w:r>
              <w:rPr>
                <w:rFonts w:hint="eastAsia"/>
                <w:b/>
                <w:bCs/>
                <w:color w:val="auto"/>
                <w:sz w:val="24"/>
              </w:rPr>
              <w:t>3  固体废物属性判定</w:t>
            </w:r>
            <w:r>
              <w:rPr>
                <w:b/>
                <w:bCs/>
                <w:color w:val="auto"/>
                <w:sz w:val="24"/>
              </w:rPr>
              <w:t>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74"/>
              <w:gridCol w:w="1097"/>
              <w:gridCol w:w="919"/>
              <w:gridCol w:w="1331"/>
              <w:gridCol w:w="879"/>
              <w:gridCol w:w="814"/>
              <w:gridCol w:w="1136"/>
              <w:gridCol w:w="880"/>
            </w:tblGrid>
            <w:tr w14:paraId="2A26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jc w:val="center"/>
              </w:trPr>
              <w:tc>
                <w:tcPr>
                  <w:tcW w:w="841" w:type="dxa"/>
                  <w:vMerge w:val="restart"/>
                  <w:vAlign w:val="center"/>
                </w:tcPr>
                <w:p w14:paraId="16D3D962">
                  <w:pPr>
                    <w:jc w:val="center"/>
                    <w:rPr>
                      <w:b/>
                      <w:bCs/>
                      <w:color w:val="auto"/>
                    </w:rPr>
                  </w:pPr>
                  <w:r>
                    <w:rPr>
                      <w:b/>
                      <w:bCs/>
                      <w:color w:val="auto"/>
                    </w:rPr>
                    <w:t>编号</w:t>
                  </w:r>
                </w:p>
              </w:tc>
              <w:tc>
                <w:tcPr>
                  <w:tcW w:w="1174" w:type="dxa"/>
                  <w:vMerge w:val="restart"/>
                  <w:vAlign w:val="center"/>
                </w:tcPr>
                <w:p w14:paraId="31BC7760">
                  <w:pPr>
                    <w:jc w:val="center"/>
                    <w:rPr>
                      <w:b/>
                      <w:bCs/>
                      <w:color w:val="auto"/>
                    </w:rPr>
                  </w:pPr>
                  <w:r>
                    <w:rPr>
                      <w:b/>
                      <w:bCs/>
                      <w:color w:val="auto"/>
                    </w:rPr>
                    <w:t>名称</w:t>
                  </w:r>
                </w:p>
              </w:tc>
              <w:tc>
                <w:tcPr>
                  <w:tcW w:w="1097" w:type="dxa"/>
                  <w:vMerge w:val="restart"/>
                  <w:vAlign w:val="center"/>
                </w:tcPr>
                <w:p w14:paraId="47D2EA19">
                  <w:pPr>
                    <w:jc w:val="center"/>
                    <w:rPr>
                      <w:b/>
                      <w:bCs/>
                      <w:color w:val="auto"/>
                    </w:rPr>
                  </w:pPr>
                  <w:r>
                    <w:rPr>
                      <w:b/>
                      <w:bCs/>
                      <w:color w:val="auto"/>
                    </w:rPr>
                    <w:t>产生工序</w:t>
                  </w:r>
                </w:p>
              </w:tc>
              <w:tc>
                <w:tcPr>
                  <w:tcW w:w="919" w:type="dxa"/>
                  <w:vMerge w:val="restart"/>
                  <w:vAlign w:val="center"/>
                </w:tcPr>
                <w:p w14:paraId="27605C1A">
                  <w:pPr>
                    <w:jc w:val="center"/>
                    <w:rPr>
                      <w:b/>
                      <w:bCs/>
                      <w:color w:val="auto"/>
                    </w:rPr>
                  </w:pPr>
                  <w:r>
                    <w:rPr>
                      <w:b/>
                      <w:bCs/>
                      <w:color w:val="auto"/>
                    </w:rPr>
                    <w:t>形态</w:t>
                  </w:r>
                </w:p>
              </w:tc>
              <w:tc>
                <w:tcPr>
                  <w:tcW w:w="1331" w:type="dxa"/>
                  <w:vMerge w:val="restart"/>
                  <w:vAlign w:val="center"/>
                </w:tcPr>
                <w:p w14:paraId="416D1A68">
                  <w:pPr>
                    <w:jc w:val="center"/>
                    <w:rPr>
                      <w:b/>
                      <w:bCs/>
                      <w:color w:val="auto"/>
                    </w:rPr>
                  </w:pPr>
                  <w:r>
                    <w:rPr>
                      <w:b/>
                      <w:bCs/>
                      <w:color w:val="auto"/>
                    </w:rPr>
                    <w:t>主要成分</w:t>
                  </w:r>
                </w:p>
              </w:tc>
              <w:tc>
                <w:tcPr>
                  <w:tcW w:w="3709" w:type="dxa"/>
                  <w:gridSpan w:val="4"/>
                  <w:vAlign w:val="center"/>
                </w:tcPr>
                <w:p w14:paraId="0B6B3489">
                  <w:pPr>
                    <w:jc w:val="center"/>
                    <w:rPr>
                      <w:b/>
                      <w:bCs/>
                      <w:color w:val="auto"/>
                    </w:rPr>
                  </w:pPr>
                  <w:r>
                    <w:rPr>
                      <w:b/>
                      <w:bCs/>
                      <w:color w:val="auto"/>
                    </w:rPr>
                    <w:t>种类判断</w:t>
                  </w:r>
                </w:p>
              </w:tc>
            </w:tr>
            <w:tr w14:paraId="6981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41" w:type="dxa"/>
                  <w:vMerge w:val="continue"/>
                  <w:vAlign w:val="center"/>
                </w:tcPr>
                <w:p w14:paraId="12A24178">
                  <w:pPr>
                    <w:jc w:val="center"/>
                    <w:rPr>
                      <w:b/>
                      <w:bCs/>
                      <w:color w:val="auto"/>
                    </w:rPr>
                  </w:pPr>
                </w:p>
              </w:tc>
              <w:tc>
                <w:tcPr>
                  <w:tcW w:w="1174" w:type="dxa"/>
                  <w:vMerge w:val="continue"/>
                  <w:vAlign w:val="center"/>
                </w:tcPr>
                <w:p w14:paraId="48A74E76">
                  <w:pPr>
                    <w:jc w:val="center"/>
                    <w:rPr>
                      <w:b/>
                      <w:bCs/>
                      <w:color w:val="auto"/>
                    </w:rPr>
                  </w:pPr>
                </w:p>
              </w:tc>
              <w:tc>
                <w:tcPr>
                  <w:tcW w:w="1097" w:type="dxa"/>
                  <w:vMerge w:val="continue"/>
                  <w:vAlign w:val="center"/>
                </w:tcPr>
                <w:p w14:paraId="6564E8B4">
                  <w:pPr>
                    <w:jc w:val="center"/>
                    <w:rPr>
                      <w:b/>
                      <w:bCs/>
                      <w:color w:val="auto"/>
                    </w:rPr>
                  </w:pPr>
                </w:p>
              </w:tc>
              <w:tc>
                <w:tcPr>
                  <w:tcW w:w="919" w:type="dxa"/>
                  <w:vMerge w:val="continue"/>
                  <w:vAlign w:val="center"/>
                </w:tcPr>
                <w:p w14:paraId="21CA3A08">
                  <w:pPr>
                    <w:jc w:val="center"/>
                    <w:rPr>
                      <w:b/>
                      <w:bCs/>
                      <w:color w:val="auto"/>
                    </w:rPr>
                  </w:pPr>
                </w:p>
              </w:tc>
              <w:tc>
                <w:tcPr>
                  <w:tcW w:w="1331" w:type="dxa"/>
                  <w:vMerge w:val="continue"/>
                  <w:vAlign w:val="center"/>
                </w:tcPr>
                <w:p w14:paraId="520CBE01">
                  <w:pPr>
                    <w:jc w:val="center"/>
                    <w:rPr>
                      <w:b/>
                      <w:bCs/>
                      <w:color w:val="auto"/>
                    </w:rPr>
                  </w:pPr>
                </w:p>
              </w:tc>
              <w:tc>
                <w:tcPr>
                  <w:tcW w:w="879" w:type="dxa"/>
                  <w:vAlign w:val="center"/>
                </w:tcPr>
                <w:p w14:paraId="1DBD261A">
                  <w:pPr>
                    <w:jc w:val="center"/>
                    <w:rPr>
                      <w:b/>
                      <w:bCs/>
                      <w:color w:val="auto"/>
                    </w:rPr>
                  </w:pPr>
                  <w:r>
                    <w:rPr>
                      <w:b/>
                      <w:bCs/>
                      <w:color w:val="auto"/>
                    </w:rPr>
                    <w:t>固体废物</w:t>
                  </w:r>
                </w:p>
              </w:tc>
              <w:tc>
                <w:tcPr>
                  <w:tcW w:w="814" w:type="dxa"/>
                  <w:vAlign w:val="center"/>
                </w:tcPr>
                <w:p w14:paraId="28CAB7E5">
                  <w:pPr>
                    <w:jc w:val="center"/>
                    <w:rPr>
                      <w:b/>
                      <w:bCs/>
                      <w:color w:val="auto"/>
                    </w:rPr>
                  </w:pPr>
                  <w:r>
                    <w:rPr>
                      <w:b/>
                      <w:bCs/>
                      <w:color w:val="auto"/>
                    </w:rPr>
                    <w:t>副产品</w:t>
                  </w:r>
                </w:p>
              </w:tc>
              <w:tc>
                <w:tcPr>
                  <w:tcW w:w="2016" w:type="dxa"/>
                  <w:gridSpan w:val="2"/>
                  <w:vAlign w:val="center"/>
                </w:tcPr>
                <w:p w14:paraId="2A2A1840">
                  <w:pPr>
                    <w:jc w:val="center"/>
                    <w:rPr>
                      <w:b/>
                      <w:bCs/>
                      <w:color w:val="auto"/>
                    </w:rPr>
                  </w:pPr>
                  <w:r>
                    <w:rPr>
                      <w:b/>
                      <w:bCs/>
                      <w:color w:val="auto"/>
                    </w:rPr>
                    <w:t>判定依据</w:t>
                  </w:r>
                </w:p>
              </w:tc>
            </w:tr>
            <w:tr w14:paraId="1F3B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383C33F7">
                  <w:pPr>
                    <w:jc w:val="center"/>
                    <w:rPr>
                      <w:rFonts w:hint="eastAsia" w:eastAsia="宋体"/>
                      <w:color w:val="auto"/>
                      <w:lang w:eastAsia="zh-CN"/>
                    </w:rPr>
                  </w:pPr>
                  <w:r>
                    <w:rPr>
                      <w:color w:val="auto"/>
                    </w:rPr>
                    <w:t>S1、S</w:t>
                  </w:r>
                  <w:r>
                    <w:rPr>
                      <w:rFonts w:hint="eastAsia"/>
                      <w:color w:val="auto"/>
                      <w:lang w:val="en-US" w:eastAsia="zh-CN"/>
                    </w:rPr>
                    <w:t>6</w:t>
                  </w:r>
                  <w:r>
                    <w:rPr>
                      <w:color w:val="auto"/>
                    </w:rPr>
                    <w:t>、S</w:t>
                  </w:r>
                  <w:r>
                    <w:rPr>
                      <w:rFonts w:hint="eastAsia"/>
                      <w:color w:val="auto"/>
                      <w:lang w:val="en-US" w:eastAsia="zh-CN"/>
                    </w:rPr>
                    <w:t>7</w:t>
                  </w:r>
                </w:p>
              </w:tc>
              <w:tc>
                <w:tcPr>
                  <w:tcW w:w="1174" w:type="dxa"/>
                  <w:vAlign w:val="center"/>
                </w:tcPr>
                <w:p w14:paraId="30DA57BE">
                  <w:pPr>
                    <w:jc w:val="center"/>
                    <w:rPr>
                      <w:color w:val="auto"/>
                    </w:rPr>
                  </w:pPr>
                  <w:r>
                    <w:rPr>
                      <w:color w:val="auto"/>
                    </w:rPr>
                    <w:t>边角料</w:t>
                  </w:r>
                </w:p>
              </w:tc>
              <w:tc>
                <w:tcPr>
                  <w:tcW w:w="1097" w:type="dxa"/>
                  <w:vAlign w:val="center"/>
                </w:tcPr>
                <w:p w14:paraId="28B767E0">
                  <w:pPr>
                    <w:widowControl/>
                    <w:jc w:val="center"/>
                    <w:textAlignment w:val="center"/>
                    <w:rPr>
                      <w:rFonts w:hint="default" w:eastAsia="宋体"/>
                      <w:color w:val="auto"/>
                      <w:lang w:val="en-US" w:eastAsia="zh-CN"/>
                    </w:rPr>
                  </w:pPr>
                  <w:r>
                    <w:rPr>
                      <w:rFonts w:hint="eastAsia" w:ascii="宋体" w:hAnsi="宋体" w:cs="宋体"/>
                      <w:color w:val="auto"/>
                      <w:kern w:val="0"/>
                      <w:lang w:bidi="ar"/>
                    </w:rPr>
                    <w:t>下料、铰孔</w:t>
                  </w:r>
                  <w:r>
                    <w:rPr>
                      <w:rFonts w:hint="eastAsia" w:ascii="宋体" w:hAnsi="宋体" w:cs="宋体"/>
                      <w:color w:val="auto"/>
                      <w:kern w:val="0"/>
                      <w:lang w:eastAsia="zh-CN" w:bidi="ar"/>
                    </w:rPr>
                    <w:t>、</w:t>
                  </w:r>
                  <w:r>
                    <w:rPr>
                      <w:rFonts w:hint="eastAsia" w:ascii="宋体" w:hAnsi="宋体" w:cs="宋体"/>
                      <w:color w:val="auto"/>
                      <w:kern w:val="0"/>
                      <w:lang w:val="en-US" w:eastAsia="zh-CN" w:bidi="ar"/>
                    </w:rPr>
                    <w:t>刻字</w:t>
                  </w:r>
                </w:p>
              </w:tc>
              <w:tc>
                <w:tcPr>
                  <w:tcW w:w="919" w:type="dxa"/>
                  <w:vAlign w:val="center"/>
                </w:tcPr>
                <w:p w14:paraId="0B386B2E">
                  <w:pPr>
                    <w:jc w:val="center"/>
                    <w:rPr>
                      <w:color w:val="auto"/>
                    </w:rPr>
                  </w:pPr>
                  <w:r>
                    <w:rPr>
                      <w:color w:val="auto"/>
                    </w:rPr>
                    <w:t>固态</w:t>
                  </w:r>
                </w:p>
              </w:tc>
              <w:tc>
                <w:tcPr>
                  <w:tcW w:w="1331" w:type="dxa"/>
                  <w:vAlign w:val="center"/>
                </w:tcPr>
                <w:p w14:paraId="768C8F75">
                  <w:pPr>
                    <w:jc w:val="center"/>
                    <w:rPr>
                      <w:color w:val="auto"/>
                    </w:rPr>
                  </w:pPr>
                  <w:r>
                    <w:rPr>
                      <w:rFonts w:hint="eastAsia"/>
                      <w:color w:val="auto"/>
                    </w:rPr>
                    <w:t>金属</w:t>
                  </w:r>
                </w:p>
              </w:tc>
              <w:tc>
                <w:tcPr>
                  <w:tcW w:w="879" w:type="dxa"/>
                  <w:vAlign w:val="center"/>
                </w:tcPr>
                <w:p w14:paraId="60E30009">
                  <w:pPr>
                    <w:jc w:val="center"/>
                    <w:rPr>
                      <w:color w:val="auto"/>
                    </w:rPr>
                  </w:pPr>
                  <w:r>
                    <w:rPr>
                      <w:color w:val="auto"/>
                    </w:rPr>
                    <w:t>√</w:t>
                  </w:r>
                </w:p>
              </w:tc>
              <w:tc>
                <w:tcPr>
                  <w:tcW w:w="814" w:type="dxa"/>
                  <w:vAlign w:val="center"/>
                </w:tcPr>
                <w:p w14:paraId="24AD502F">
                  <w:pPr>
                    <w:jc w:val="center"/>
                    <w:rPr>
                      <w:color w:val="auto"/>
                    </w:rPr>
                  </w:pPr>
                  <w:r>
                    <w:rPr>
                      <w:color w:val="auto"/>
                    </w:rPr>
                    <w:t>×</w:t>
                  </w:r>
                </w:p>
              </w:tc>
              <w:tc>
                <w:tcPr>
                  <w:tcW w:w="1136" w:type="dxa"/>
                  <w:vMerge w:val="restart"/>
                  <w:vAlign w:val="center"/>
                </w:tcPr>
                <w:p w14:paraId="174C970E">
                  <w:pPr>
                    <w:jc w:val="center"/>
                    <w:rPr>
                      <w:color w:val="auto"/>
                    </w:rPr>
                  </w:pPr>
                  <w:r>
                    <w:rPr>
                      <w:color w:val="auto"/>
                    </w:rPr>
                    <w:t>《固体废物鉴别标准通则》（GB34330-2017）</w:t>
                  </w:r>
                </w:p>
              </w:tc>
              <w:tc>
                <w:tcPr>
                  <w:tcW w:w="880" w:type="dxa"/>
                  <w:vAlign w:val="center"/>
                </w:tcPr>
                <w:p w14:paraId="71C79612">
                  <w:pPr>
                    <w:jc w:val="center"/>
                    <w:rPr>
                      <w:color w:val="auto"/>
                    </w:rPr>
                  </w:pPr>
                  <w:r>
                    <w:rPr>
                      <w:color w:val="auto"/>
                    </w:rPr>
                    <w:t>4.2</w:t>
                  </w:r>
                  <w:r>
                    <w:rPr>
                      <w:rFonts w:hint="eastAsia"/>
                      <w:color w:val="auto"/>
                    </w:rPr>
                    <w:t>a</w:t>
                  </w:r>
                </w:p>
              </w:tc>
            </w:tr>
            <w:tr w14:paraId="5FE8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6975EF35">
                  <w:pPr>
                    <w:jc w:val="center"/>
                    <w:rPr>
                      <w:rFonts w:hint="eastAsia" w:eastAsia="宋体"/>
                      <w:color w:val="auto"/>
                      <w:lang w:eastAsia="zh-CN"/>
                    </w:rPr>
                  </w:pPr>
                  <w:r>
                    <w:rPr>
                      <w:color w:val="auto"/>
                    </w:rPr>
                    <w:t>S</w:t>
                  </w:r>
                  <w:r>
                    <w:rPr>
                      <w:rFonts w:hint="eastAsia"/>
                      <w:color w:val="auto"/>
                      <w:lang w:val="en-US" w:eastAsia="zh-CN"/>
                    </w:rPr>
                    <w:t>4</w:t>
                  </w:r>
                </w:p>
              </w:tc>
              <w:tc>
                <w:tcPr>
                  <w:tcW w:w="1174" w:type="dxa"/>
                  <w:vAlign w:val="center"/>
                </w:tcPr>
                <w:p w14:paraId="7E925699">
                  <w:pPr>
                    <w:jc w:val="center"/>
                    <w:rPr>
                      <w:color w:val="auto"/>
                    </w:rPr>
                  </w:pPr>
                  <w:r>
                    <w:rPr>
                      <w:color w:val="auto"/>
                    </w:rPr>
                    <w:t>焊渣</w:t>
                  </w:r>
                </w:p>
              </w:tc>
              <w:tc>
                <w:tcPr>
                  <w:tcW w:w="1097" w:type="dxa"/>
                  <w:vAlign w:val="center"/>
                </w:tcPr>
                <w:p w14:paraId="23AD2566">
                  <w:pPr>
                    <w:widowControl/>
                    <w:jc w:val="center"/>
                    <w:textAlignment w:val="center"/>
                    <w:rPr>
                      <w:color w:val="auto"/>
                    </w:rPr>
                  </w:pPr>
                  <w:r>
                    <w:rPr>
                      <w:rFonts w:hint="eastAsia" w:ascii="宋体" w:hAnsi="宋体" w:cs="宋体"/>
                      <w:color w:val="auto"/>
                      <w:kern w:val="0"/>
                      <w:lang w:bidi="ar"/>
                    </w:rPr>
                    <w:t>焊接</w:t>
                  </w:r>
                </w:p>
              </w:tc>
              <w:tc>
                <w:tcPr>
                  <w:tcW w:w="919" w:type="dxa"/>
                  <w:vAlign w:val="center"/>
                </w:tcPr>
                <w:p w14:paraId="4BAB5824">
                  <w:pPr>
                    <w:jc w:val="center"/>
                    <w:rPr>
                      <w:color w:val="auto"/>
                    </w:rPr>
                  </w:pPr>
                  <w:r>
                    <w:rPr>
                      <w:color w:val="auto"/>
                    </w:rPr>
                    <w:t>固态</w:t>
                  </w:r>
                </w:p>
              </w:tc>
              <w:tc>
                <w:tcPr>
                  <w:tcW w:w="1331" w:type="dxa"/>
                  <w:vAlign w:val="center"/>
                </w:tcPr>
                <w:p w14:paraId="37BC6177">
                  <w:pPr>
                    <w:jc w:val="center"/>
                    <w:rPr>
                      <w:color w:val="auto"/>
                    </w:rPr>
                  </w:pPr>
                  <w:r>
                    <w:rPr>
                      <w:rFonts w:hint="eastAsia"/>
                      <w:color w:val="auto"/>
                    </w:rPr>
                    <w:t>无铅焊渣</w:t>
                  </w:r>
                </w:p>
              </w:tc>
              <w:tc>
                <w:tcPr>
                  <w:tcW w:w="879" w:type="dxa"/>
                  <w:vAlign w:val="center"/>
                </w:tcPr>
                <w:p w14:paraId="0F8FEA02">
                  <w:pPr>
                    <w:jc w:val="center"/>
                    <w:rPr>
                      <w:color w:val="auto"/>
                    </w:rPr>
                  </w:pPr>
                  <w:r>
                    <w:rPr>
                      <w:color w:val="auto"/>
                    </w:rPr>
                    <w:t>√</w:t>
                  </w:r>
                </w:p>
              </w:tc>
              <w:tc>
                <w:tcPr>
                  <w:tcW w:w="814" w:type="dxa"/>
                  <w:vAlign w:val="center"/>
                </w:tcPr>
                <w:p w14:paraId="690EEF17">
                  <w:pPr>
                    <w:jc w:val="center"/>
                    <w:rPr>
                      <w:color w:val="auto"/>
                    </w:rPr>
                  </w:pPr>
                  <w:r>
                    <w:rPr>
                      <w:color w:val="auto"/>
                    </w:rPr>
                    <w:t>×</w:t>
                  </w:r>
                </w:p>
              </w:tc>
              <w:tc>
                <w:tcPr>
                  <w:tcW w:w="1136" w:type="dxa"/>
                  <w:vMerge w:val="continue"/>
                  <w:vAlign w:val="center"/>
                </w:tcPr>
                <w:p w14:paraId="398F4EB8">
                  <w:pPr>
                    <w:jc w:val="center"/>
                    <w:rPr>
                      <w:color w:val="auto"/>
                    </w:rPr>
                  </w:pPr>
                </w:p>
              </w:tc>
              <w:tc>
                <w:tcPr>
                  <w:tcW w:w="880" w:type="dxa"/>
                  <w:vAlign w:val="center"/>
                </w:tcPr>
                <w:p w14:paraId="5F5DEBF6">
                  <w:pPr>
                    <w:jc w:val="center"/>
                    <w:rPr>
                      <w:color w:val="auto"/>
                    </w:rPr>
                  </w:pPr>
                  <w:r>
                    <w:rPr>
                      <w:color w:val="auto"/>
                    </w:rPr>
                    <w:t>4.2</w:t>
                  </w:r>
                  <w:r>
                    <w:rPr>
                      <w:rFonts w:hint="eastAsia"/>
                      <w:color w:val="auto"/>
                    </w:rPr>
                    <w:t>a</w:t>
                  </w:r>
                </w:p>
              </w:tc>
            </w:tr>
            <w:tr w14:paraId="426C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1CD1F0C0">
                  <w:pPr>
                    <w:jc w:val="center"/>
                    <w:rPr>
                      <w:rFonts w:hint="eastAsia" w:eastAsia="宋体"/>
                      <w:color w:val="auto"/>
                      <w:lang w:eastAsia="zh-CN"/>
                    </w:rPr>
                  </w:pPr>
                  <w:r>
                    <w:rPr>
                      <w:color w:val="auto"/>
                    </w:rPr>
                    <w:t>S</w:t>
                  </w:r>
                  <w:r>
                    <w:rPr>
                      <w:rFonts w:hint="eastAsia"/>
                      <w:color w:val="auto"/>
                      <w:lang w:val="en-US" w:eastAsia="zh-CN"/>
                    </w:rPr>
                    <w:t>8</w:t>
                  </w:r>
                </w:p>
              </w:tc>
              <w:tc>
                <w:tcPr>
                  <w:tcW w:w="1174" w:type="dxa"/>
                  <w:vAlign w:val="center"/>
                </w:tcPr>
                <w:p w14:paraId="60581BF1">
                  <w:pPr>
                    <w:jc w:val="center"/>
                    <w:rPr>
                      <w:color w:val="auto"/>
                    </w:rPr>
                  </w:pPr>
                  <w:r>
                    <w:rPr>
                      <w:color w:val="auto"/>
                    </w:rPr>
                    <w:t>不合格品</w:t>
                  </w:r>
                </w:p>
              </w:tc>
              <w:tc>
                <w:tcPr>
                  <w:tcW w:w="1097" w:type="dxa"/>
                  <w:vAlign w:val="center"/>
                </w:tcPr>
                <w:p w14:paraId="7B019453">
                  <w:pPr>
                    <w:widowControl/>
                    <w:jc w:val="center"/>
                    <w:textAlignment w:val="center"/>
                    <w:rPr>
                      <w:color w:val="auto"/>
                    </w:rPr>
                  </w:pPr>
                  <w:r>
                    <w:rPr>
                      <w:rFonts w:hint="eastAsia" w:ascii="宋体" w:hAnsi="宋体" w:cs="宋体"/>
                      <w:color w:val="auto"/>
                      <w:kern w:val="0"/>
                      <w:lang w:bidi="ar"/>
                    </w:rPr>
                    <w:t>检验</w:t>
                  </w:r>
                </w:p>
              </w:tc>
              <w:tc>
                <w:tcPr>
                  <w:tcW w:w="919" w:type="dxa"/>
                  <w:vAlign w:val="center"/>
                </w:tcPr>
                <w:p w14:paraId="1FF878EE">
                  <w:pPr>
                    <w:jc w:val="center"/>
                    <w:rPr>
                      <w:color w:val="auto"/>
                    </w:rPr>
                  </w:pPr>
                  <w:r>
                    <w:rPr>
                      <w:color w:val="auto"/>
                    </w:rPr>
                    <w:t>固态</w:t>
                  </w:r>
                </w:p>
              </w:tc>
              <w:tc>
                <w:tcPr>
                  <w:tcW w:w="1331" w:type="dxa"/>
                  <w:vAlign w:val="center"/>
                </w:tcPr>
                <w:p w14:paraId="2D7DFD7E">
                  <w:pPr>
                    <w:jc w:val="center"/>
                    <w:rPr>
                      <w:color w:val="auto"/>
                    </w:rPr>
                  </w:pPr>
                  <w:r>
                    <w:rPr>
                      <w:rFonts w:hint="eastAsia"/>
                      <w:color w:val="auto"/>
                    </w:rPr>
                    <w:t>金属</w:t>
                  </w:r>
                </w:p>
              </w:tc>
              <w:tc>
                <w:tcPr>
                  <w:tcW w:w="879" w:type="dxa"/>
                  <w:vAlign w:val="center"/>
                </w:tcPr>
                <w:p w14:paraId="03C3FAB4">
                  <w:pPr>
                    <w:jc w:val="center"/>
                    <w:rPr>
                      <w:color w:val="auto"/>
                    </w:rPr>
                  </w:pPr>
                  <w:r>
                    <w:rPr>
                      <w:color w:val="auto"/>
                    </w:rPr>
                    <w:t>√</w:t>
                  </w:r>
                </w:p>
              </w:tc>
              <w:tc>
                <w:tcPr>
                  <w:tcW w:w="814" w:type="dxa"/>
                  <w:vAlign w:val="center"/>
                </w:tcPr>
                <w:p w14:paraId="6C6FD601">
                  <w:pPr>
                    <w:jc w:val="center"/>
                    <w:rPr>
                      <w:color w:val="auto"/>
                    </w:rPr>
                  </w:pPr>
                  <w:r>
                    <w:rPr>
                      <w:color w:val="auto"/>
                    </w:rPr>
                    <w:t>×</w:t>
                  </w:r>
                </w:p>
              </w:tc>
              <w:tc>
                <w:tcPr>
                  <w:tcW w:w="1136" w:type="dxa"/>
                  <w:vMerge w:val="continue"/>
                  <w:vAlign w:val="center"/>
                </w:tcPr>
                <w:p w14:paraId="2475B1C8">
                  <w:pPr>
                    <w:jc w:val="center"/>
                    <w:rPr>
                      <w:color w:val="auto"/>
                    </w:rPr>
                  </w:pPr>
                </w:p>
              </w:tc>
              <w:tc>
                <w:tcPr>
                  <w:tcW w:w="880" w:type="dxa"/>
                  <w:vAlign w:val="center"/>
                </w:tcPr>
                <w:p w14:paraId="66147679">
                  <w:pPr>
                    <w:jc w:val="center"/>
                    <w:rPr>
                      <w:color w:val="auto"/>
                    </w:rPr>
                  </w:pPr>
                  <w:r>
                    <w:rPr>
                      <w:color w:val="auto"/>
                    </w:rPr>
                    <w:t>4.</w:t>
                  </w:r>
                  <w:r>
                    <w:rPr>
                      <w:rFonts w:hint="eastAsia"/>
                      <w:color w:val="auto"/>
                    </w:rPr>
                    <w:t>1a</w:t>
                  </w:r>
                </w:p>
              </w:tc>
            </w:tr>
            <w:tr w14:paraId="42A1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78C3903C">
                  <w:pPr>
                    <w:jc w:val="center"/>
                    <w:rPr>
                      <w:color w:val="auto"/>
                    </w:rPr>
                  </w:pPr>
                  <w:r>
                    <w:rPr>
                      <w:color w:val="auto"/>
                    </w:rPr>
                    <w:t>S3</w:t>
                  </w:r>
                </w:p>
              </w:tc>
              <w:tc>
                <w:tcPr>
                  <w:tcW w:w="1174" w:type="dxa"/>
                  <w:vAlign w:val="center"/>
                </w:tcPr>
                <w:p w14:paraId="27DAC4F9">
                  <w:pPr>
                    <w:jc w:val="center"/>
                    <w:rPr>
                      <w:color w:val="auto"/>
                    </w:rPr>
                  </w:pPr>
                  <w:r>
                    <w:rPr>
                      <w:color w:val="auto"/>
                    </w:rPr>
                    <w:t>废</w:t>
                  </w:r>
                  <w:r>
                    <w:rPr>
                      <w:rFonts w:hint="eastAsia"/>
                      <w:color w:val="auto"/>
                    </w:rPr>
                    <w:t>油泥</w:t>
                  </w:r>
                </w:p>
              </w:tc>
              <w:tc>
                <w:tcPr>
                  <w:tcW w:w="1097" w:type="dxa"/>
                  <w:vAlign w:val="center"/>
                </w:tcPr>
                <w:p w14:paraId="166049DF">
                  <w:pPr>
                    <w:widowControl/>
                    <w:jc w:val="center"/>
                    <w:textAlignment w:val="center"/>
                    <w:rPr>
                      <w:color w:val="auto"/>
                    </w:rPr>
                  </w:pPr>
                  <w:r>
                    <w:rPr>
                      <w:rFonts w:hint="eastAsia" w:ascii="宋体" w:hAnsi="宋体" w:cs="宋体"/>
                      <w:color w:val="auto"/>
                      <w:kern w:val="0"/>
                      <w:lang w:bidi="ar"/>
                    </w:rPr>
                    <w:t>机加工</w:t>
                  </w:r>
                </w:p>
              </w:tc>
              <w:tc>
                <w:tcPr>
                  <w:tcW w:w="919" w:type="dxa"/>
                  <w:vAlign w:val="center"/>
                </w:tcPr>
                <w:p w14:paraId="4FF2D184">
                  <w:pPr>
                    <w:jc w:val="center"/>
                    <w:rPr>
                      <w:color w:val="auto"/>
                    </w:rPr>
                  </w:pPr>
                  <w:r>
                    <w:rPr>
                      <w:rFonts w:hint="eastAsia"/>
                      <w:color w:val="auto"/>
                    </w:rPr>
                    <w:t>半固</w:t>
                  </w:r>
                </w:p>
              </w:tc>
              <w:tc>
                <w:tcPr>
                  <w:tcW w:w="1331" w:type="dxa"/>
                  <w:vAlign w:val="center"/>
                </w:tcPr>
                <w:p w14:paraId="292D2117">
                  <w:pPr>
                    <w:widowControl/>
                    <w:jc w:val="center"/>
                    <w:textAlignment w:val="center"/>
                    <w:rPr>
                      <w:color w:val="auto"/>
                    </w:rPr>
                  </w:pPr>
                  <w:r>
                    <w:rPr>
                      <w:rFonts w:hint="eastAsia" w:ascii="宋体" w:hAnsi="宋体" w:cs="宋体"/>
                      <w:color w:val="auto"/>
                      <w:kern w:val="0"/>
                      <w:lang w:bidi="ar"/>
                    </w:rPr>
                    <w:t>矿物油等</w:t>
                  </w:r>
                </w:p>
              </w:tc>
              <w:tc>
                <w:tcPr>
                  <w:tcW w:w="879" w:type="dxa"/>
                  <w:vAlign w:val="center"/>
                </w:tcPr>
                <w:p w14:paraId="21CE95DD">
                  <w:pPr>
                    <w:jc w:val="center"/>
                    <w:rPr>
                      <w:color w:val="auto"/>
                    </w:rPr>
                  </w:pPr>
                  <w:r>
                    <w:rPr>
                      <w:color w:val="auto"/>
                    </w:rPr>
                    <w:t>√</w:t>
                  </w:r>
                </w:p>
              </w:tc>
              <w:tc>
                <w:tcPr>
                  <w:tcW w:w="814" w:type="dxa"/>
                  <w:vAlign w:val="center"/>
                </w:tcPr>
                <w:p w14:paraId="33C02996">
                  <w:pPr>
                    <w:jc w:val="center"/>
                    <w:rPr>
                      <w:color w:val="auto"/>
                    </w:rPr>
                  </w:pPr>
                  <w:r>
                    <w:rPr>
                      <w:color w:val="auto"/>
                    </w:rPr>
                    <w:t>×</w:t>
                  </w:r>
                </w:p>
              </w:tc>
              <w:tc>
                <w:tcPr>
                  <w:tcW w:w="1136" w:type="dxa"/>
                  <w:vMerge w:val="continue"/>
                  <w:vAlign w:val="center"/>
                </w:tcPr>
                <w:p w14:paraId="6B0D7F65">
                  <w:pPr>
                    <w:jc w:val="center"/>
                    <w:rPr>
                      <w:color w:val="auto"/>
                    </w:rPr>
                  </w:pPr>
                </w:p>
              </w:tc>
              <w:tc>
                <w:tcPr>
                  <w:tcW w:w="880" w:type="dxa"/>
                  <w:vAlign w:val="center"/>
                </w:tcPr>
                <w:p w14:paraId="14403984">
                  <w:pPr>
                    <w:jc w:val="center"/>
                    <w:rPr>
                      <w:color w:val="auto"/>
                    </w:rPr>
                  </w:pPr>
                  <w:r>
                    <w:rPr>
                      <w:rFonts w:hint="eastAsia"/>
                      <w:color w:val="auto"/>
                    </w:rPr>
                    <w:t>4.1h</w:t>
                  </w:r>
                </w:p>
              </w:tc>
            </w:tr>
            <w:tr w14:paraId="7141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41" w:type="dxa"/>
                  <w:vAlign w:val="center"/>
                </w:tcPr>
                <w:p w14:paraId="3FEEE5BE">
                  <w:pPr>
                    <w:jc w:val="center"/>
                    <w:rPr>
                      <w:rFonts w:hint="eastAsia" w:eastAsia="宋体"/>
                      <w:color w:val="auto"/>
                      <w:lang w:eastAsia="zh-CN"/>
                    </w:rPr>
                  </w:pPr>
                  <w:r>
                    <w:rPr>
                      <w:color w:val="auto"/>
                    </w:rPr>
                    <w:t>S</w:t>
                  </w:r>
                  <w:r>
                    <w:rPr>
                      <w:rFonts w:hint="eastAsia"/>
                      <w:color w:val="auto"/>
                      <w:lang w:val="en-US" w:eastAsia="zh-CN"/>
                    </w:rPr>
                    <w:t>5</w:t>
                  </w:r>
                </w:p>
              </w:tc>
              <w:tc>
                <w:tcPr>
                  <w:tcW w:w="1174" w:type="dxa"/>
                  <w:vAlign w:val="center"/>
                </w:tcPr>
                <w:p w14:paraId="19893C47">
                  <w:pPr>
                    <w:jc w:val="center"/>
                    <w:rPr>
                      <w:color w:val="auto"/>
                    </w:rPr>
                  </w:pPr>
                  <w:r>
                    <w:rPr>
                      <w:color w:val="auto"/>
                    </w:rPr>
                    <w:t>清洗废液</w:t>
                  </w:r>
                </w:p>
              </w:tc>
              <w:tc>
                <w:tcPr>
                  <w:tcW w:w="1097" w:type="dxa"/>
                  <w:vAlign w:val="center"/>
                </w:tcPr>
                <w:p w14:paraId="6F99406D">
                  <w:pPr>
                    <w:widowControl/>
                    <w:jc w:val="center"/>
                    <w:textAlignment w:val="center"/>
                    <w:rPr>
                      <w:color w:val="auto"/>
                    </w:rPr>
                  </w:pPr>
                  <w:r>
                    <w:rPr>
                      <w:rFonts w:hint="eastAsia" w:ascii="宋体" w:hAnsi="宋体" w:cs="宋体"/>
                      <w:color w:val="auto"/>
                      <w:kern w:val="0"/>
                      <w:lang w:bidi="ar"/>
                    </w:rPr>
                    <w:t>清洗</w:t>
                  </w:r>
                </w:p>
              </w:tc>
              <w:tc>
                <w:tcPr>
                  <w:tcW w:w="919" w:type="dxa"/>
                  <w:vAlign w:val="center"/>
                </w:tcPr>
                <w:p w14:paraId="1171B0A8">
                  <w:pPr>
                    <w:jc w:val="center"/>
                    <w:rPr>
                      <w:color w:val="auto"/>
                    </w:rPr>
                  </w:pPr>
                  <w:r>
                    <w:rPr>
                      <w:rFonts w:hint="eastAsia"/>
                      <w:color w:val="auto"/>
                    </w:rPr>
                    <w:t>液态</w:t>
                  </w:r>
                </w:p>
              </w:tc>
              <w:tc>
                <w:tcPr>
                  <w:tcW w:w="1331" w:type="dxa"/>
                  <w:vAlign w:val="center"/>
                </w:tcPr>
                <w:p w14:paraId="184B5BE1">
                  <w:pPr>
                    <w:widowControl/>
                    <w:jc w:val="center"/>
                    <w:textAlignment w:val="center"/>
                    <w:rPr>
                      <w:color w:val="auto"/>
                    </w:rPr>
                  </w:pPr>
                  <w:r>
                    <w:rPr>
                      <w:rFonts w:hint="eastAsia" w:ascii="宋体" w:hAnsi="宋体" w:cs="宋体"/>
                      <w:color w:val="auto"/>
                      <w:kern w:val="0"/>
                      <w:lang w:bidi="ar"/>
                    </w:rPr>
                    <w:t>白油</w:t>
                  </w:r>
                </w:p>
              </w:tc>
              <w:tc>
                <w:tcPr>
                  <w:tcW w:w="879" w:type="dxa"/>
                  <w:vAlign w:val="center"/>
                </w:tcPr>
                <w:p w14:paraId="1E4490B2">
                  <w:pPr>
                    <w:jc w:val="center"/>
                    <w:rPr>
                      <w:color w:val="auto"/>
                    </w:rPr>
                  </w:pPr>
                  <w:r>
                    <w:rPr>
                      <w:color w:val="auto"/>
                    </w:rPr>
                    <w:t>√</w:t>
                  </w:r>
                </w:p>
              </w:tc>
              <w:tc>
                <w:tcPr>
                  <w:tcW w:w="814" w:type="dxa"/>
                  <w:vAlign w:val="center"/>
                </w:tcPr>
                <w:p w14:paraId="6732B4E3">
                  <w:pPr>
                    <w:jc w:val="center"/>
                    <w:rPr>
                      <w:color w:val="auto"/>
                    </w:rPr>
                  </w:pPr>
                  <w:r>
                    <w:rPr>
                      <w:color w:val="auto"/>
                    </w:rPr>
                    <w:t>×</w:t>
                  </w:r>
                </w:p>
              </w:tc>
              <w:tc>
                <w:tcPr>
                  <w:tcW w:w="1136" w:type="dxa"/>
                  <w:vMerge w:val="continue"/>
                  <w:vAlign w:val="center"/>
                </w:tcPr>
                <w:p w14:paraId="0B3B111F">
                  <w:pPr>
                    <w:jc w:val="center"/>
                    <w:rPr>
                      <w:color w:val="auto"/>
                    </w:rPr>
                  </w:pPr>
                </w:p>
              </w:tc>
              <w:tc>
                <w:tcPr>
                  <w:tcW w:w="880" w:type="dxa"/>
                  <w:vAlign w:val="center"/>
                </w:tcPr>
                <w:p w14:paraId="226E5405">
                  <w:pPr>
                    <w:jc w:val="center"/>
                    <w:rPr>
                      <w:color w:val="auto"/>
                    </w:rPr>
                  </w:pPr>
                  <w:r>
                    <w:rPr>
                      <w:rFonts w:hint="eastAsia"/>
                      <w:color w:val="auto"/>
                    </w:rPr>
                    <w:t>4.1h</w:t>
                  </w:r>
                </w:p>
              </w:tc>
            </w:tr>
            <w:tr w14:paraId="6BD1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7D62CB1D">
                  <w:pPr>
                    <w:jc w:val="center"/>
                    <w:rPr>
                      <w:color w:val="auto"/>
                    </w:rPr>
                  </w:pPr>
                  <w:r>
                    <w:rPr>
                      <w:rFonts w:hint="eastAsia"/>
                      <w:color w:val="auto"/>
                    </w:rPr>
                    <w:t>/</w:t>
                  </w:r>
                </w:p>
              </w:tc>
              <w:tc>
                <w:tcPr>
                  <w:tcW w:w="1174" w:type="dxa"/>
                  <w:vAlign w:val="center"/>
                </w:tcPr>
                <w:p w14:paraId="2A9D9A71">
                  <w:pPr>
                    <w:jc w:val="center"/>
                    <w:rPr>
                      <w:color w:val="auto"/>
                    </w:rPr>
                  </w:pPr>
                  <w:r>
                    <w:rPr>
                      <w:color w:val="auto"/>
                    </w:rPr>
                    <w:t>废包装桶</w:t>
                  </w:r>
                </w:p>
              </w:tc>
              <w:tc>
                <w:tcPr>
                  <w:tcW w:w="1097" w:type="dxa"/>
                  <w:vAlign w:val="center"/>
                </w:tcPr>
                <w:p w14:paraId="18EBBE5F">
                  <w:pPr>
                    <w:widowControl/>
                    <w:jc w:val="center"/>
                    <w:textAlignment w:val="center"/>
                    <w:rPr>
                      <w:color w:val="auto"/>
                    </w:rPr>
                  </w:pPr>
                  <w:r>
                    <w:rPr>
                      <w:rFonts w:hint="eastAsia" w:ascii="宋体" w:hAnsi="宋体" w:cs="宋体"/>
                      <w:color w:val="auto"/>
                      <w:kern w:val="0"/>
                      <w:lang w:bidi="ar"/>
                    </w:rPr>
                    <w:t>原料包装</w:t>
                  </w:r>
                </w:p>
              </w:tc>
              <w:tc>
                <w:tcPr>
                  <w:tcW w:w="919" w:type="dxa"/>
                  <w:vAlign w:val="center"/>
                </w:tcPr>
                <w:p w14:paraId="2EE4235D">
                  <w:pPr>
                    <w:jc w:val="center"/>
                    <w:rPr>
                      <w:color w:val="auto"/>
                    </w:rPr>
                  </w:pPr>
                  <w:r>
                    <w:rPr>
                      <w:color w:val="auto"/>
                    </w:rPr>
                    <w:t>固态</w:t>
                  </w:r>
                </w:p>
              </w:tc>
              <w:tc>
                <w:tcPr>
                  <w:tcW w:w="1331" w:type="dxa"/>
                  <w:vAlign w:val="center"/>
                </w:tcPr>
                <w:p w14:paraId="42BC4A64">
                  <w:pPr>
                    <w:widowControl/>
                    <w:jc w:val="center"/>
                    <w:textAlignment w:val="center"/>
                    <w:rPr>
                      <w:color w:val="auto"/>
                    </w:rPr>
                  </w:pPr>
                  <w:r>
                    <w:rPr>
                      <w:rFonts w:hint="eastAsia" w:ascii="宋体" w:hAnsi="宋体" w:cs="宋体"/>
                      <w:color w:val="auto"/>
                      <w:kern w:val="0"/>
                      <w:lang w:bidi="ar"/>
                    </w:rPr>
                    <w:t>白油</w:t>
                  </w:r>
                </w:p>
              </w:tc>
              <w:tc>
                <w:tcPr>
                  <w:tcW w:w="879" w:type="dxa"/>
                  <w:vAlign w:val="center"/>
                </w:tcPr>
                <w:p w14:paraId="4FDF91DB">
                  <w:pPr>
                    <w:jc w:val="center"/>
                    <w:rPr>
                      <w:color w:val="auto"/>
                    </w:rPr>
                  </w:pPr>
                  <w:r>
                    <w:rPr>
                      <w:color w:val="auto"/>
                    </w:rPr>
                    <w:t>√</w:t>
                  </w:r>
                </w:p>
              </w:tc>
              <w:tc>
                <w:tcPr>
                  <w:tcW w:w="814" w:type="dxa"/>
                  <w:vAlign w:val="center"/>
                </w:tcPr>
                <w:p w14:paraId="29262DDC">
                  <w:pPr>
                    <w:jc w:val="center"/>
                    <w:rPr>
                      <w:color w:val="auto"/>
                    </w:rPr>
                  </w:pPr>
                  <w:r>
                    <w:rPr>
                      <w:color w:val="auto"/>
                    </w:rPr>
                    <w:t>×</w:t>
                  </w:r>
                </w:p>
              </w:tc>
              <w:tc>
                <w:tcPr>
                  <w:tcW w:w="1136" w:type="dxa"/>
                  <w:vMerge w:val="continue"/>
                  <w:vAlign w:val="center"/>
                </w:tcPr>
                <w:p w14:paraId="1EAF3398">
                  <w:pPr>
                    <w:jc w:val="center"/>
                    <w:rPr>
                      <w:color w:val="auto"/>
                    </w:rPr>
                  </w:pPr>
                </w:p>
              </w:tc>
              <w:tc>
                <w:tcPr>
                  <w:tcW w:w="880" w:type="dxa"/>
                  <w:vAlign w:val="center"/>
                </w:tcPr>
                <w:p w14:paraId="0FBE45EF">
                  <w:pPr>
                    <w:jc w:val="center"/>
                    <w:rPr>
                      <w:color w:val="auto"/>
                    </w:rPr>
                  </w:pPr>
                  <w:r>
                    <w:rPr>
                      <w:color w:val="auto"/>
                    </w:rPr>
                    <w:t>4.</w:t>
                  </w:r>
                  <w:r>
                    <w:rPr>
                      <w:rFonts w:hint="eastAsia"/>
                      <w:color w:val="auto"/>
                    </w:rPr>
                    <w:t>1c</w:t>
                  </w:r>
                </w:p>
              </w:tc>
            </w:tr>
            <w:tr w14:paraId="6DDC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7507CBFD">
                  <w:pPr>
                    <w:jc w:val="center"/>
                    <w:rPr>
                      <w:color w:val="auto"/>
                    </w:rPr>
                  </w:pPr>
                  <w:r>
                    <w:rPr>
                      <w:rFonts w:hint="eastAsia"/>
                      <w:color w:val="auto"/>
                    </w:rPr>
                    <w:t>/</w:t>
                  </w:r>
                </w:p>
              </w:tc>
              <w:tc>
                <w:tcPr>
                  <w:tcW w:w="1174" w:type="dxa"/>
                  <w:vAlign w:val="center"/>
                </w:tcPr>
                <w:p w14:paraId="7F3E9216">
                  <w:pPr>
                    <w:jc w:val="center"/>
                    <w:rPr>
                      <w:color w:val="auto"/>
                    </w:rPr>
                  </w:pPr>
                  <w:r>
                    <w:rPr>
                      <w:color w:val="auto"/>
                    </w:rPr>
                    <w:t>废活性炭</w:t>
                  </w:r>
                </w:p>
              </w:tc>
              <w:tc>
                <w:tcPr>
                  <w:tcW w:w="1097" w:type="dxa"/>
                  <w:vAlign w:val="center"/>
                </w:tcPr>
                <w:p w14:paraId="4CCC567C">
                  <w:pPr>
                    <w:widowControl/>
                    <w:jc w:val="center"/>
                    <w:textAlignment w:val="center"/>
                    <w:rPr>
                      <w:color w:val="auto"/>
                    </w:rPr>
                  </w:pPr>
                  <w:r>
                    <w:rPr>
                      <w:rFonts w:hint="eastAsia" w:ascii="宋体" w:hAnsi="宋体" w:cs="宋体"/>
                      <w:color w:val="auto"/>
                      <w:kern w:val="0"/>
                      <w:lang w:bidi="ar"/>
                    </w:rPr>
                    <w:t>废气处理</w:t>
                  </w:r>
                </w:p>
              </w:tc>
              <w:tc>
                <w:tcPr>
                  <w:tcW w:w="919" w:type="dxa"/>
                  <w:vAlign w:val="center"/>
                </w:tcPr>
                <w:p w14:paraId="6A5AD480">
                  <w:pPr>
                    <w:jc w:val="center"/>
                    <w:rPr>
                      <w:color w:val="auto"/>
                    </w:rPr>
                  </w:pPr>
                  <w:r>
                    <w:rPr>
                      <w:color w:val="auto"/>
                    </w:rPr>
                    <w:t>固态</w:t>
                  </w:r>
                </w:p>
              </w:tc>
              <w:tc>
                <w:tcPr>
                  <w:tcW w:w="1331" w:type="dxa"/>
                  <w:vAlign w:val="center"/>
                </w:tcPr>
                <w:p w14:paraId="23E0927F">
                  <w:pPr>
                    <w:widowControl/>
                    <w:jc w:val="center"/>
                    <w:textAlignment w:val="center"/>
                    <w:rPr>
                      <w:color w:val="auto"/>
                    </w:rPr>
                  </w:pPr>
                  <w:r>
                    <w:rPr>
                      <w:rFonts w:hint="eastAsia" w:ascii="宋体" w:hAnsi="宋体" w:cs="宋体"/>
                      <w:color w:val="auto"/>
                      <w:kern w:val="0"/>
                      <w:lang w:bidi="ar"/>
                    </w:rPr>
                    <w:t>活性炭、有机物</w:t>
                  </w:r>
                </w:p>
              </w:tc>
              <w:tc>
                <w:tcPr>
                  <w:tcW w:w="879" w:type="dxa"/>
                  <w:vAlign w:val="center"/>
                </w:tcPr>
                <w:p w14:paraId="7F9B5CFE">
                  <w:pPr>
                    <w:jc w:val="center"/>
                    <w:rPr>
                      <w:color w:val="auto"/>
                    </w:rPr>
                  </w:pPr>
                  <w:r>
                    <w:rPr>
                      <w:color w:val="auto"/>
                    </w:rPr>
                    <w:t>√</w:t>
                  </w:r>
                </w:p>
              </w:tc>
              <w:tc>
                <w:tcPr>
                  <w:tcW w:w="814" w:type="dxa"/>
                  <w:vAlign w:val="center"/>
                </w:tcPr>
                <w:p w14:paraId="135DC5A5">
                  <w:pPr>
                    <w:jc w:val="center"/>
                    <w:rPr>
                      <w:color w:val="auto"/>
                    </w:rPr>
                  </w:pPr>
                  <w:r>
                    <w:rPr>
                      <w:color w:val="auto"/>
                    </w:rPr>
                    <w:t>×</w:t>
                  </w:r>
                </w:p>
              </w:tc>
              <w:tc>
                <w:tcPr>
                  <w:tcW w:w="1136" w:type="dxa"/>
                  <w:vMerge w:val="continue"/>
                  <w:vAlign w:val="center"/>
                </w:tcPr>
                <w:p w14:paraId="0BFB19B7">
                  <w:pPr>
                    <w:jc w:val="center"/>
                    <w:rPr>
                      <w:color w:val="auto"/>
                    </w:rPr>
                  </w:pPr>
                </w:p>
              </w:tc>
              <w:tc>
                <w:tcPr>
                  <w:tcW w:w="880" w:type="dxa"/>
                  <w:vAlign w:val="center"/>
                </w:tcPr>
                <w:p w14:paraId="01984E86">
                  <w:pPr>
                    <w:jc w:val="center"/>
                    <w:rPr>
                      <w:color w:val="auto"/>
                    </w:rPr>
                  </w:pPr>
                  <w:r>
                    <w:rPr>
                      <w:rFonts w:hint="eastAsia"/>
                      <w:color w:val="auto"/>
                    </w:rPr>
                    <w:t>4.3I</w:t>
                  </w:r>
                </w:p>
              </w:tc>
            </w:tr>
            <w:tr w14:paraId="377E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7E7879AC">
                  <w:pPr>
                    <w:jc w:val="center"/>
                    <w:rPr>
                      <w:color w:val="auto"/>
                    </w:rPr>
                  </w:pPr>
                  <w:r>
                    <w:rPr>
                      <w:rFonts w:hint="eastAsia"/>
                      <w:color w:val="auto"/>
                    </w:rPr>
                    <w:t>/</w:t>
                  </w:r>
                </w:p>
              </w:tc>
              <w:tc>
                <w:tcPr>
                  <w:tcW w:w="1174" w:type="dxa"/>
                  <w:vAlign w:val="center"/>
                </w:tcPr>
                <w:p w14:paraId="3C9D2CE0">
                  <w:pPr>
                    <w:jc w:val="center"/>
                    <w:rPr>
                      <w:color w:val="auto"/>
                    </w:rPr>
                  </w:pPr>
                  <w:r>
                    <w:rPr>
                      <w:color w:val="auto"/>
                    </w:rPr>
                    <w:t>废滤芯</w:t>
                  </w:r>
                </w:p>
              </w:tc>
              <w:tc>
                <w:tcPr>
                  <w:tcW w:w="1097" w:type="dxa"/>
                  <w:vAlign w:val="center"/>
                </w:tcPr>
                <w:p w14:paraId="0FE98F6C">
                  <w:pPr>
                    <w:jc w:val="center"/>
                    <w:rPr>
                      <w:color w:val="auto"/>
                    </w:rPr>
                  </w:pPr>
                  <w:r>
                    <w:rPr>
                      <w:rFonts w:hint="eastAsia" w:ascii="宋体" w:hAnsi="宋体" w:cs="宋体"/>
                      <w:color w:val="auto"/>
                      <w:kern w:val="0"/>
                      <w:lang w:bidi="ar"/>
                    </w:rPr>
                    <w:t>废气处理</w:t>
                  </w:r>
                </w:p>
              </w:tc>
              <w:tc>
                <w:tcPr>
                  <w:tcW w:w="919" w:type="dxa"/>
                  <w:vAlign w:val="center"/>
                </w:tcPr>
                <w:p w14:paraId="0619E7D3">
                  <w:pPr>
                    <w:jc w:val="center"/>
                    <w:rPr>
                      <w:color w:val="auto"/>
                    </w:rPr>
                  </w:pPr>
                  <w:r>
                    <w:rPr>
                      <w:color w:val="auto"/>
                    </w:rPr>
                    <w:t>固态</w:t>
                  </w:r>
                </w:p>
              </w:tc>
              <w:tc>
                <w:tcPr>
                  <w:tcW w:w="1331" w:type="dxa"/>
                  <w:vAlign w:val="center"/>
                </w:tcPr>
                <w:p w14:paraId="7DA3FFB9">
                  <w:pPr>
                    <w:widowControl/>
                    <w:jc w:val="center"/>
                    <w:textAlignment w:val="center"/>
                    <w:rPr>
                      <w:color w:val="auto"/>
                    </w:rPr>
                  </w:pPr>
                  <w:r>
                    <w:rPr>
                      <w:rFonts w:hint="eastAsia" w:ascii="宋体" w:hAnsi="宋体" w:cs="宋体"/>
                      <w:color w:val="auto"/>
                      <w:kern w:val="0"/>
                      <w:lang w:bidi="ar"/>
                    </w:rPr>
                    <w:t>吸附颗粒物的废滤芯</w:t>
                  </w:r>
                </w:p>
              </w:tc>
              <w:tc>
                <w:tcPr>
                  <w:tcW w:w="879" w:type="dxa"/>
                  <w:vAlign w:val="center"/>
                </w:tcPr>
                <w:p w14:paraId="4088A4EF">
                  <w:pPr>
                    <w:jc w:val="center"/>
                    <w:rPr>
                      <w:color w:val="auto"/>
                    </w:rPr>
                  </w:pPr>
                  <w:r>
                    <w:rPr>
                      <w:color w:val="auto"/>
                    </w:rPr>
                    <w:t>√</w:t>
                  </w:r>
                </w:p>
              </w:tc>
              <w:tc>
                <w:tcPr>
                  <w:tcW w:w="814" w:type="dxa"/>
                  <w:vAlign w:val="center"/>
                </w:tcPr>
                <w:p w14:paraId="62E379A4">
                  <w:pPr>
                    <w:jc w:val="center"/>
                    <w:rPr>
                      <w:color w:val="auto"/>
                    </w:rPr>
                  </w:pPr>
                  <w:r>
                    <w:rPr>
                      <w:color w:val="auto"/>
                    </w:rPr>
                    <w:t>×</w:t>
                  </w:r>
                </w:p>
              </w:tc>
              <w:tc>
                <w:tcPr>
                  <w:tcW w:w="1136" w:type="dxa"/>
                  <w:vMerge w:val="continue"/>
                  <w:vAlign w:val="center"/>
                </w:tcPr>
                <w:p w14:paraId="69CF78E2">
                  <w:pPr>
                    <w:jc w:val="center"/>
                    <w:rPr>
                      <w:color w:val="auto"/>
                    </w:rPr>
                  </w:pPr>
                </w:p>
              </w:tc>
              <w:tc>
                <w:tcPr>
                  <w:tcW w:w="880" w:type="dxa"/>
                  <w:vAlign w:val="center"/>
                </w:tcPr>
                <w:p w14:paraId="50A3F9BF">
                  <w:pPr>
                    <w:jc w:val="center"/>
                    <w:rPr>
                      <w:color w:val="auto"/>
                    </w:rPr>
                  </w:pPr>
                  <w:r>
                    <w:rPr>
                      <w:rFonts w:hint="eastAsia"/>
                      <w:color w:val="auto"/>
                    </w:rPr>
                    <w:t>4.3I</w:t>
                  </w:r>
                </w:p>
              </w:tc>
            </w:tr>
            <w:tr w14:paraId="776E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1" w:type="dxa"/>
                  <w:vAlign w:val="center"/>
                </w:tcPr>
                <w:p w14:paraId="37E7627C">
                  <w:pPr>
                    <w:jc w:val="center"/>
                    <w:rPr>
                      <w:color w:val="auto"/>
                    </w:rPr>
                  </w:pPr>
                  <w:r>
                    <w:rPr>
                      <w:rFonts w:hint="eastAsia"/>
                      <w:color w:val="auto"/>
                    </w:rPr>
                    <w:t>/</w:t>
                  </w:r>
                </w:p>
              </w:tc>
              <w:tc>
                <w:tcPr>
                  <w:tcW w:w="1174" w:type="dxa"/>
                  <w:vAlign w:val="center"/>
                </w:tcPr>
                <w:p w14:paraId="6B44A00F">
                  <w:pPr>
                    <w:jc w:val="center"/>
                    <w:rPr>
                      <w:rFonts w:hint="eastAsia" w:eastAsia="宋体"/>
                      <w:color w:val="auto"/>
                      <w:lang w:eastAsia="zh-CN"/>
                    </w:rPr>
                  </w:pPr>
                  <w:r>
                    <w:rPr>
                      <w:rFonts w:hint="eastAsia"/>
                      <w:color w:val="auto"/>
                    </w:rPr>
                    <w:t>生活垃圾</w:t>
                  </w:r>
                </w:p>
              </w:tc>
              <w:tc>
                <w:tcPr>
                  <w:tcW w:w="1097" w:type="dxa"/>
                  <w:vAlign w:val="center"/>
                </w:tcPr>
                <w:p w14:paraId="4E414C31">
                  <w:pPr>
                    <w:jc w:val="center"/>
                    <w:rPr>
                      <w:rFonts w:ascii="宋体" w:hAnsi="宋体" w:cs="宋体"/>
                      <w:color w:val="auto"/>
                      <w:kern w:val="0"/>
                      <w:lang w:bidi="ar"/>
                    </w:rPr>
                  </w:pPr>
                  <w:r>
                    <w:rPr>
                      <w:rFonts w:hint="eastAsia" w:ascii="宋体" w:hAnsi="宋体" w:cs="宋体"/>
                      <w:color w:val="auto"/>
                      <w:kern w:val="0"/>
                      <w:lang w:bidi="ar"/>
                    </w:rPr>
                    <w:t>办公/生活</w:t>
                  </w:r>
                </w:p>
              </w:tc>
              <w:tc>
                <w:tcPr>
                  <w:tcW w:w="919" w:type="dxa"/>
                  <w:vAlign w:val="center"/>
                </w:tcPr>
                <w:p w14:paraId="0514FBD6">
                  <w:pPr>
                    <w:jc w:val="center"/>
                    <w:rPr>
                      <w:color w:val="auto"/>
                    </w:rPr>
                  </w:pPr>
                  <w:r>
                    <w:rPr>
                      <w:rFonts w:hint="eastAsia"/>
                      <w:color w:val="auto"/>
                    </w:rPr>
                    <w:t>半固</w:t>
                  </w:r>
                </w:p>
              </w:tc>
              <w:tc>
                <w:tcPr>
                  <w:tcW w:w="1331" w:type="dxa"/>
                  <w:vAlign w:val="center"/>
                </w:tcPr>
                <w:p w14:paraId="62EC6A0A">
                  <w:pPr>
                    <w:jc w:val="center"/>
                    <w:rPr>
                      <w:rFonts w:ascii="宋体" w:hAnsi="宋体" w:cs="宋体"/>
                      <w:color w:val="auto"/>
                      <w:kern w:val="0"/>
                      <w:lang w:bidi="ar"/>
                    </w:rPr>
                  </w:pPr>
                  <w:r>
                    <w:rPr>
                      <w:rFonts w:hint="eastAsia"/>
                      <w:color w:val="auto"/>
                    </w:rPr>
                    <w:t>生活垃圾</w:t>
                  </w:r>
                </w:p>
              </w:tc>
              <w:tc>
                <w:tcPr>
                  <w:tcW w:w="879" w:type="dxa"/>
                  <w:vAlign w:val="center"/>
                </w:tcPr>
                <w:p w14:paraId="7D3FFF2B">
                  <w:pPr>
                    <w:jc w:val="center"/>
                    <w:rPr>
                      <w:color w:val="auto"/>
                    </w:rPr>
                  </w:pPr>
                  <w:r>
                    <w:rPr>
                      <w:color w:val="auto"/>
                    </w:rPr>
                    <w:t>√</w:t>
                  </w:r>
                </w:p>
              </w:tc>
              <w:tc>
                <w:tcPr>
                  <w:tcW w:w="814" w:type="dxa"/>
                  <w:vAlign w:val="center"/>
                </w:tcPr>
                <w:p w14:paraId="0053CB21">
                  <w:pPr>
                    <w:jc w:val="center"/>
                    <w:rPr>
                      <w:color w:val="auto"/>
                    </w:rPr>
                  </w:pPr>
                  <w:r>
                    <w:rPr>
                      <w:color w:val="auto"/>
                    </w:rPr>
                    <w:t>×</w:t>
                  </w:r>
                </w:p>
              </w:tc>
              <w:tc>
                <w:tcPr>
                  <w:tcW w:w="1136" w:type="dxa"/>
                  <w:vMerge w:val="continue"/>
                  <w:vAlign w:val="center"/>
                </w:tcPr>
                <w:p w14:paraId="25CF8B93">
                  <w:pPr>
                    <w:jc w:val="center"/>
                    <w:rPr>
                      <w:color w:val="auto"/>
                    </w:rPr>
                  </w:pPr>
                </w:p>
              </w:tc>
              <w:tc>
                <w:tcPr>
                  <w:tcW w:w="880" w:type="dxa"/>
                  <w:vAlign w:val="center"/>
                </w:tcPr>
                <w:p w14:paraId="1043434E">
                  <w:pPr>
                    <w:jc w:val="center"/>
                    <w:rPr>
                      <w:color w:val="auto"/>
                    </w:rPr>
                  </w:pPr>
                  <w:r>
                    <w:rPr>
                      <w:rFonts w:hint="eastAsia"/>
                      <w:color w:val="auto"/>
                    </w:rPr>
                    <w:t>4.1h</w:t>
                  </w:r>
                </w:p>
              </w:tc>
            </w:tr>
            <w:tr w14:paraId="44B0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41" w:type="dxa"/>
                  <w:shd w:val="clear" w:color="auto" w:fill="auto"/>
                  <w:vAlign w:val="center"/>
                </w:tcPr>
                <w:p w14:paraId="30B54DB1">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w:t>
                  </w:r>
                </w:p>
              </w:tc>
              <w:tc>
                <w:tcPr>
                  <w:tcW w:w="1174" w:type="dxa"/>
                  <w:shd w:val="clear" w:color="auto" w:fill="auto"/>
                  <w:vAlign w:val="center"/>
                </w:tcPr>
                <w:p w14:paraId="737600D9">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废油</w:t>
                  </w:r>
                </w:p>
              </w:tc>
              <w:tc>
                <w:tcPr>
                  <w:tcW w:w="1097" w:type="dxa"/>
                  <w:shd w:val="clear" w:color="auto" w:fill="auto"/>
                  <w:vAlign w:val="center"/>
                </w:tcPr>
                <w:p w14:paraId="056FEECC">
                  <w:pPr>
                    <w:jc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lang w:bidi="ar"/>
                    </w:rPr>
                    <w:t>隔油池</w:t>
                  </w:r>
                </w:p>
              </w:tc>
              <w:tc>
                <w:tcPr>
                  <w:tcW w:w="919" w:type="dxa"/>
                  <w:shd w:val="clear" w:color="auto" w:fill="auto"/>
                  <w:vAlign w:val="center"/>
                </w:tcPr>
                <w:p w14:paraId="14A4283C">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液态</w:t>
                  </w:r>
                </w:p>
              </w:tc>
              <w:tc>
                <w:tcPr>
                  <w:tcW w:w="1331" w:type="dxa"/>
                  <w:shd w:val="clear" w:color="auto" w:fill="auto"/>
                  <w:vAlign w:val="center"/>
                </w:tcPr>
                <w:p w14:paraId="378EC966">
                  <w:pPr>
                    <w:jc w:val="center"/>
                    <w:rPr>
                      <w:rFonts w:hint="eastAsia" w:ascii="宋体" w:hAnsi="宋体" w:eastAsia="宋体" w:cs="宋体"/>
                      <w:color w:val="auto"/>
                      <w:kern w:val="0"/>
                      <w:sz w:val="21"/>
                      <w:szCs w:val="21"/>
                      <w:lang w:val="en-US" w:eastAsia="zh-CN" w:bidi="ar"/>
                    </w:rPr>
                  </w:pPr>
                  <w:r>
                    <w:rPr>
                      <w:rFonts w:hint="eastAsia"/>
                      <w:color w:val="auto"/>
                    </w:rPr>
                    <w:t>废油</w:t>
                  </w:r>
                </w:p>
              </w:tc>
              <w:tc>
                <w:tcPr>
                  <w:tcW w:w="879" w:type="dxa"/>
                  <w:shd w:val="clear" w:color="auto" w:fill="auto"/>
                  <w:vAlign w:val="center"/>
                </w:tcPr>
                <w:p w14:paraId="408B7010">
                  <w:pPr>
                    <w:jc w:val="center"/>
                    <w:rPr>
                      <w:rFonts w:ascii="Times New Roman" w:hAnsi="Times New Roman" w:eastAsia="宋体" w:cs="Times New Roman"/>
                      <w:color w:val="auto"/>
                      <w:kern w:val="2"/>
                      <w:sz w:val="21"/>
                      <w:szCs w:val="21"/>
                      <w:lang w:val="en-US" w:eastAsia="zh-CN" w:bidi="ar-SA"/>
                    </w:rPr>
                  </w:pPr>
                  <w:r>
                    <w:rPr>
                      <w:color w:val="auto"/>
                    </w:rPr>
                    <w:t>√</w:t>
                  </w:r>
                </w:p>
              </w:tc>
              <w:tc>
                <w:tcPr>
                  <w:tcW w:w="814" w:type="dxa"/>
                  <w:shd w:val="clear" w:color="auto" w:fill="auto"/>
                  <w:vAlign w:val="center"/>
                </w:tcPr>
                <w:p w14:paraId="05071AD3">
                  <w:pPr>
                    <w:jc w:val="center"/>
                    <w:rPr>
                      <w:rFonts w:ascii="Times New Roman" w:hAnsi="Times New Roman" w:eastAsia="宋体" w:cs="Times New Roman"/>
                      <w:color w:val="auto"/>
                      <w:kern w:val="2"/>
                      <w:sz w:val="21"/>
                      <w:szCs w:val="21"/>
                      <w:lang w:val="en-US" w:eastAsia="zh-CN" w:bidi="ar-SA"/>
                    </w:rPr>
                  </w:pPr>
                  <w:r>
                    <w:rPr>
                      <w:color w:val="auto"/>
                    </w:rPr>
                    <w:t>×</w:t>
                  </w:r>
                </w:p>
              </w:tc>
              <w:tc>
                <w:tcPr>
                  <w:tcW w:w="1136" w:type="dxa"/>
                  <w:vMerge w:val="continue"/>
                  <w:vAlign w:val="center"/>
                </w:tcPr>
                <w:p w14:paraId="08D074E5">
                  <w:pPr>
                    <w:jc w:val="center"/>
                    <w:rPr>
                      <w:color w:val="auto"/>
                    </w:rPr>
                  </w:pPr>
                </w:p>
              </w:tc>
              <w:tc>
                <w:tcPr>
                  <w:tcW w:w="880" w:type="dxa"/>
                  <w:shd w:val="clear" w:color="auto" w:fill="auto"/>
                  <w:vAlign w:val="center"/>
                </w:tcPr>
                <w:p w14:paraId="2100EBD7">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4.3e</w:t>
                  </w:r>
                </w:p>
              </w:tc>
            </w:tr>
            <w:tr w14:paraId="4C9E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5ABEF4FD">
                  <w:pPr>
                    <w:jc w:val="center"/>
                    <w:rPr>
                      <w:color w:val="auto"/>
                    </w:rPr>
                  </w:pPr>
                  <w:r>
                    <w:rPr>
                      <w:rFonts w:hint="eastAsia"/>
                      <w:color w:val="auto"/>
                    </w:rPr>
                    <w:t>/</w:t>
                  </w:r>
                </w:p>
              </w:tc>
              <w:tc>
                <w:tcPr>
                  <w:tcW w:w="1174" w:type="dxa"/>
                  <w:vAlign w:val="center"/>
                </w:tcPr>
                <w:p w14:paraId="3878E4D2">
                  <w:pPr>
                    <w:jc w:val="center"/>
                    <w:rPr>
                      <w:rFonts w:hint="eastAsia" w:eastAsia="宋体"/>
                      <w:color w:val="auto"/>
                      <w:lang w:eastAsia="zh-CN"/>
                    </w:rPr>
                  </w:pPr>
                  <w:r>
                    <w:rPr>
                      <w:rFonts w:hint="eastAsia"/>
                      <w:color w:val="auto"/>
                      <w:lang w:eastAsia="zh-CN"/>
                    </w:rPr>
                    <w:t>磨削灰</w:t>
                  </w:r>
                </w:p>
              </w:tc>
              <w:tc>
                <w:tcPr>
                  <w:tcW w:w="1097" w:type="dxa"/>
                  <w:vAlign w:val="center"/>
                </w:tcPr>
                <w:p w14:paraId="53FE7BB2">
                  <w:pPr>
                    <w:jc w:val="center"/>
                    <w:rPr>
                      <w:rFonts w:ascii="宋体" w:hAnsi="宋体" w:cs="宋体"/>
                      <w:color w:val="auto"/>
                      <w:kern w:val="0"/>
                      <w:lang w:bidi="ar"/>
                    </w:rPr>
                  </w:pPr>
                  <w:r>
                    <w:rPr>
                      <w:rFonts w:hint="eastAsia" w:ascii="宋体" w:hAnsi="宋体" w:cs="宋体"/>
                      <w:color w:val="auto"/>
                      <w:kern w:val="0"/>
                      <w:lang w:bidi="ar"/>
                    </w:rPr>
                    <w:t>机加工</w:t>
                  </w:r>
                </w:p>
              </w:tc>
              <w:tc>
                <w:tcPr>
                  <w:tcW w:w="919" w:type="dxa"/>
                  <w:vAlign w:val="center"/>
                </w:tcPr>
                <w:p w14:paraId="193507DC">
                  <w:pPr>
                    <w:jc w:val="center"/>
                    <w:rPr>
                      <w:color w:val="auto"/>
                    </w:rPr>
                  </w:pPr>
                  <w:r>
                    <w:rPr>
                      <w:color w:val="auto"/>
                    </w:rPr>
                    <w:t>固态</w:t>
                  </w:r>
                </w:p>
              </w:tc>
              <w:tc>
                <w:tcPr>
                  <w:tcW w:w="1331" w:type="dxa"/>
                  <w:vAlign w:val="center"/>
                </w:tcPr>
                <w:p w14:paraId="67B140DE">
                  <w:pPr>
                    <w:jc w:val="center"/>
                    <w:rPr>
                      <w:color w:val="auto"/>
                    </w:rPr>
                  </w:pPr>
                  <w:r>
                    <w:rPr>
                      <w:rFonts w:hint="eastAsia"/>
                      <w:color w:val="auto"/>
                    </w:rPr>
                    <w:t>含油金属边角料与砂轮灰混合物</w:t>
                  </w:r>
                </w:p>
              </w:tc>
              <w:tc>
                <w:tcPr>
                  <w:tcW w:w="879" w:type="dxa"/>
                  <w:vAlign w:val="center"/>
                </w:tcPr>
                <w:p w14:paraId="1B6CB45A">
                  <w:pPr>
                    <w:jc w:val="center"/>
                    <w:rPr>
                      <w:color w:val="auto"/>
                    </w:rPr>
                  </w:pPr>
                  <w:r>
                    <w:rPr>
                      <w:color w:val="auto"/>
                    </w:rPr>
                    <w:t>√</w:t>
                  </w:r>
                </w:p>
              </w:tc>
              <w:tc>
                <w:tcPr>
                  <w:tcW w:w="814" w:type="dxa"/>
                  <w:vAlign w:val="center"/>
                </w:tcPr>
                <w:p w14:paraId="15B682AA">
                  <w:pPr>
                    <w:jc w:val="center"/>
                    <w:rPr>
                      <w:color w:val="auto"/>
                    </w:rPr>
                  </w:pPr>
                  <w:r>
                    <w:rPr>
                      <w:color w:val="auto"/>
                    </w:rPr>
                    <w:t>×</w:t>
                  </w:r>
                </w:p>
              </w:tc>
              <w:tc>
                <w:tcPr>
                  <w:tcW w:w="1136" w:type="dxa"/>
                  <w:vMerge w:val="continue"/>
                  <w:vAlign w:val="center"/>
                </w:tcPr>
                <w:p w14:paraId="2972AA9B">
                  <w:pPr>
                    <w:jc w:val="center"/>
                    <w:rPr>
                      <w:color w:val="auto"/>
                    </w:rPr>
                  </w:pPr>
                </w:p>
              </w:tc>
              <w:tc>
                <w:tcPr>
                  <w:tcW w:w="880" w:type="dxa"/>
                  <w:vAlign w:val="center"/>
                </w:tcPr>
                <w:p w14:paraId="2846D1E7">
                  <w:pPr>
                    <w:jc w:val="center"/>
                    <w:rPr>
                      <w:color w:val="auto"/>
                    </w:rPr>
                  </w:pPr>
                  <w:r>
                    <w:rPr>
                      <w:color w:val="auto"/>
                    </w:rPr>
                    <w:t>4.2</w:t>
                  </w:r>
                  <w:r>
                    <w:rPr>
                      <w:rFonts w:hint="eastAsia"/>
                      <w:color w:val="auto"/>
                    </w:rPr>
                    <w:t>a</w:t>
                  </w:r>
                </w:p>
              </w:tc>
            </w:tr>
            <w:tr w14:paraId="572F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1636240E">
                  <w:pPr>
                    <w:jc w:val="center"/>
                    <w:rPr>
                      <w:rFonts w:hint="eastAsia"/>
                      <w:color w:val="auto"/>
                    </w:rPr>
                  </w:pPr>
                  <w:r>
                    <w:rPr>
                      <w:rFonts w:hint="eastAsia"/>
                      <w:color w:val="auto"/>
                    </w:rPr>
                    <w:t>/</w:t>
                  </w:r>
                </w:p>
              </w:tc>
              <w:tc>
                <w:tcPr>
                  <w:tcW w:w="1174" w:type="dxa"/>
                  <w:vAlign w:val="center"/>
                </w:tcPr>
                <w:p w14:paraId="1B2BCEB6">
                  <w:pPr>
                    <w:jc w:val="center"/>
                    <w:rPr>
                      <w:rFonts w:hint="default"/>
                      <w:color w:val="auto"/>
                      <w:lang w:val="en-US" w:eastAsia="zh-CN"/>
                    </w:rPr>
                  </w:pPr>
                  <w:r>
                    <w:rPr>
                      <w:rFonts w:hint="eastAsia"/>
                      <w:color w:val="auto"/>
                      <w:lang w:val="en-US" w:eastAsia="zh-CN"/>
                    </w:rPr>
                    <w:t>废包装袋</w:t>
                  </w:r>
                </w:p>
              </w:tc>
              <w:tc>
                <w:tcPr>
                  <w:tcW w:w="1097" w:type="dxa"/>
                  <w:vAlign w:val="center"/>
                </w:tcPr>
                <w:p w14:paraId="29A513BA">
                  <w:pPr>
                    <w:jc w:val="center"/>
                    <w:rPr>
                      <w:rFonts w:hint="default" w:ascii="宋体" w:hAnsi="宋体" w:eastAsia="宋体" w:cs="宋体"/>
                      <w:color w:val="auto"/>
                      <w:kern w:val="0"/>
                      <w:lang w:val="en-US" w:eastAsia="zh-CN" w:bidi="ar"/>
                    </w:rPr>
                  </w:pPr>
                  <w:r>
                    <w:rPr>
                      <w:rFonts w:hint="eastAsia" w:ascii="宋体" w:hAnsi="宋体" w:cs="宋体"/>
                      <w:color w:val="auto"/>
                      <w:kern w:val="0"/>
                      <w:lang w:val="en-US" w:eastAsia="zh-CN" w:bidi="ar"/>
                    </w:rPr>
                    <w:t>原料包装</w:t>
                  </w:r>
                </w:p>
              </w:tc>
              <w:tc>
                <w:tcPr>
                  <w:tcW w:w="919" w:type="dxa"/>
                  <w:vAlign w:val="center"/>
                </w:tcPr>
                <w:p w14:paraId="013A052C">
                  <w:pPr>
                    <w:jc w:val="center"/>
                    <w:rPr>
                      <w:color w:val="auto"/>
                    </w:rPr>
                  </w:pPr>
                  <w:r>
                    <w:rPr>
                      <w:color w:val="auto"/>
                    </w:rPr>
                    <w:t>固态</w:t>
                  </w:r>
                </w:p>
              </w:tc>
              <w:tc>
                <w:tcPr>
                  <w:tcW w:w="1331" w:type="dxa"/>
                  <w:vAlign w:val="center"/>
                </w:tcPr>
                <w:p w14:paraId="738F6E61">
                  <w:pPr>
                    <w:jc w:val="center"/>
                    <w:rPr>
                      <w:rFonts w:hint="default" w:eastAsia="宋体"/>
                      <w:color w:val="auto"/>
                      <w:lang w:val="en-US" w:eastAsia="zh-CN"/>
                    </w:rPr>
                  </w:pPr>
                  <w:r>
                    <w:rPr>
                      <w:rFonts w:hint="eastAsia"/>
                      <w:color w:val="auto"/>
                      <w:lang w:val="en-US" w:eastAsia="zh-CN"/>
                    </w:rPr>
                    <w:t>废包装袋</w:t>
                  </w:r>
                </w:p>
              </w:tc>
              <w:tc>
                <w:tcPr>
                  <w:tcW w:w="879" w:type="dxa"/>
                  <w:vAlign w:val="center"/>
                </w:tcPr>
                <w:p w14:paraId="4ABC5F54">
                  <w:pPr>
                    <w:jc w:val="center"/>
                    <w:rPr>
                      <w:color w:val="auto"/>
                    </w:rPr>
                  </w:pPr>
                  <w:r>
                    <w:rPr>
                      <w:color w:val="auto"/>
                    </w:rPr>
                    <w:t>√</w:t>
                  </w:r>
                </w:p>
              </w:tc>
              <w:tc>
                <w:tcPr>
                  <w:tcW w:w="814" w:type="dxa"/>
                  <w:vAlign w:val="center"/>
                </w:tcPr>
                <w:p w14:paraId="75ACF1E9">
                  <w:pPr>
                    <w:jc w:val="center"/>
                    <w:rPr>
                      <w:color w:val="auto"/>
                    </w:rPr>
                  </w:pPr>
                  <w:r>
                    <w:rPr>
                      <w:color w:val="auto"/>
                    </w:rPr>
                    <w:t>×</w:t>
                  </w:r>
                </w:p>
              </w:tc>
              <w:tc>
                <w:tcPr>
                  <w:tcW w:w="1136" w:type="dxa"/>
                  <w:vMerge w:val="continue"/>
                  <w:vAlign w:val="center"/>
                </w:tcPr>
                <w:p w14:paraId="22A51BAB">
                  <w:pPr>
                    <w:jc w:val="center"/>
                    <w:rPr>
                      <w:color w:val="auto"/>
                    </w:rPr>
                  </w:pPr>
                </w:p>
              </w:tc>
              <w:tc>
                <w:tcPr>
                  <w:tcW w:w="880" w:type="dxa"/>
                  <w:vAlign w:val="center"/>
                </w:tcPr>
                <w:p w14:paraId="1ED6A265">
                  <w:pPr>
                    <w:jc w:val="center"/>
                    <w:rPr>
                      <w:color w:val="auto"/>
                    </w:rPr>
                  </w:pPr>
                  <w:r>
                    <w:rPr>
                      <w:rFonts w:hint="eastAsia"/>
                      <w:color w:val="auto"/>
                    </w:rPr>
                    <w:t>4.1h</w:t>
                  </w:r>
                </w:p>
              </w:tc>
            </w:tr>
          </w:tbl>
          <w:p w14:paraId="6F12325F">
            <w:pPr>
              <w:pStyle w:val="3"/>
              <w:ind w:firstLine="480" w:firstLineChars="200"/>
              <w:outlineLvl w:val="2"/>
              <w:rPr>
                <w:b/>
                <w:bCs/>
                <w:color w:val="auto"/>
                <w:sz w:val="24"/>
              </w:rPr>
            </w:pPr>
            <w:r>
              <w:rPr>
                <w:color w:val="auto"/>
                <w:sz w:val="24"/>
                <w:szCs w:val="24"/>
              </w:rPr>
              <w:t>4.1.2固体废物危险性判定</w:t>
            </w:r>
          </w:p>
          <w:p w14:paraId="51C72BB2">
            <w:pPr>
              <w:jc w:val="center"/>
              <w:rPr>
                <w:color w:val="auto"/>
              </w:rPr>
            </w:pPr>
            <w:r>
              <w:rPr>
                <w:b/>
                <w:bCs/>
                <w:color w:val="auto"/>
                <w:sz w:val="24"/>
              </w:rPr>
              <w:t>表4-2</w:t>
            </w:r>
            <w:r>
              <w:rPr>
                <w:rFonts w:hint="eastAsia"/>
                <w:b/>
                <w:bCs/>
                <w:color w:val="auto"/>
                <w:sz w:val="24"/>
              </w:rPr>
              <w:t xml:space="preserve">4  </w:t>
            </w:r>
            <w:r>
              <w:rPr>
                <w:b/>
                <w:bCs/>
                <w:color w:val="auto"/>
                <w:sz w:val="24"/>
              </w:rPr>
              <w:t>项目危险废物属性判定表</w:t>
            </w:r>
          </w:p>
          <w:tbl>
            <w:tblPr>
              <w:tblStyle w:val="23"/>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2470"/>
              <w:gridCol w:w="1825"/>
              <w:gridCol w:w="1826"/>
              <w:gridCol w:w="1826"/>
            </w:tblGrid>
            <w:tr w14:paraId="1D01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3FB52B2E">
                  <w:pPr>
                    <w:jc w:val="center"/>
                    <w:rPr>
                      <w:b/>
                      <w:bCs/>
                      <w:color w:val="auto"/>
                    </w:rPr>
                  </w:pPr>
                  <w:r>
                    <w:rPr>
                      <w:b/>
                      <w:bCs/>
                      <w:color w:val="auto"/>
                    </w:rPr>
                    <w:t>序号</w:t>
                  </w:r>
                </w:p>
              </w:tc>
              <w:tc>
                <w:tcPr>
                  <w:tcW w:w="2470" w:type="dxa"/>
                  <w:vAlign w:val="center"/>
                </w:tcPr>
                <w:p w14:paraId="08E282DF">
                  <w:pPr>
                    <w:jc w:val="center"/>
                    <w:rPr>
                      <w:b/>
                      <w:bCs/>
                      <w:color w:val="auto"/>
                    </w:rPr>
                  </w:pPr>
                  <w:r>
                    <w:rPr>
                      <w:b/>
                      <w:bCs/>
                      <w:color w:val="auto"/>
                    </w:rPr>
                    <w:t>固体废物名称</w:t>
                  </w:r>
                </w:p>
              </w:tc>
              <w:tc>
                <w:tcPr>
                  <w:tcW w:w="1825" w:type="dxa"/>
                  <w:vAlign w:val="center"/>
                </w:tcPr>
                <w:p w14:paraId="18E2B5F0">
                  <w:pPr>
                    <w:jc w:val="center"/>
                    <w:rPr>
                      <w:b/>
                      <w:bCs/>
                      <w:color w:val="auto"/>
                    </w:rPr>
                  </w:pPr>
                  <w:r>
                    <w:rPr>
                      <w:b/>
                      <w:bCs/>
                      <w:color w:val="auto"/>
                    </w:rPr>
                    <w:t>产生工序</w:t>
                  </w:r>
                </w:p>
              </w:tc>
              <w:tc>
                <w:tcPr>
                  <w:tcW w:w="1826" w:type="dxa"/>
                  <w:vAlign w:val="center"/>
                </w:tcPr>
                <w:p w14:paraId="357457C5">
                  <w:pPr>
                    <w:jc w:val="center"/>
                    <w:rPr>
                      <w:b/>
                      <w:bCs/>
                      <w:color w:val="auto"/>
                    </w:rPr>
                  </w:pPr>
                  <w:r>
                    <w:rPr>
                      <w:b/>
                      <w:bCs/>
                      <w:color w:val="auto"/>
                    </w:rPr>
                    <w:t>是否属于危险废物</w:t>
                  </w:r>
                </w:p>
              </w:tc>
              <w:tc>
                <w:tcPr>
                  <w:tcW w:w="1826" w:type="dxa"/>
                  <w:vAlign w:val="center"/>
                </w:tcPr>
                <w:p w14:paraId="58500E31">
                  <w:pPr>
                    <w:jc w:val="center"/>
                    <w:rPr>
                      <w:b/>
                      <w:bCs/>
                      <w:color w:val="auto"/>
                    </w:rPr>
                  </w:pPr>
                  <w:r>
                    <w:rPr>
                      <w:b/>
                      <w:bCs/>
                      <w:color w:val="auto"/>
                    </w:rPr>
                    <w:t>废物类别</w:t>
                  </w:r>
                </w:p>
              </w:tc>
            </w:tr>
            <w:tr w14:paraId="09B6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41EDE7A8">
                  <w:pPr>
                    <w:jc w:val="center"/>
                    <w:rPr>
                      <w:color w:val="auto"/>
                    </w:rPr>
                  </w:pPr>
                  <w:r>
                    <w:rPr>
                      <w:color w:val="auto"/>
                    </w:rPr>
                    <w:t>1</w:t>
                  </w:r>
                </w:p>
              </w:tc>
              <w:tc>
                <w:tcPr>
                  <w:tcW w:w="2470" w:type="dxa"/>
                  <w:shd w:val="clear" w:color="auto" w:fill="auto"/>
                  <w:vAlign w:val="center"/>
                </w:tcPr>
                <w:p w14:paraId="5F220448">
                  <w:pPr>
                    <w:jc w:val="center"/>
                    <w:rPr>
                      <w:color w:val="auto"/>
                    </w:rPr>
                  </w:pPr>
                  <w:r>
                    <w:rPr>
                      <w:color w:val="auto"/>
                    </w:rPr>
                    <w:t>边角料</w:t>
                  </w:r>
                </w:p>
              </w:tc>
              <w:tc>
                <w:tcPr>
                  <w:tcW w:w="1825" w:type="dxa"/>
                  <w:vAlign w:val="center"/>
                </w:tcPr>
                <w:p w14:paraId="68112EDD">
                  <w:pPr>
                    <w:widowControl/>
                    <w:jc w:val="center"/>
                    <w:textAlignment w:val="center"/>
                    <w:rPr>
                      <w:color w:val="auto"/>
                    </w:rPr>
                  </w:pPr>
                  <w:r>
                    <w:rPr>
                      <w:rFonts w:hint="eastAsia" w:ascii="宋体" w:hAnsi="宋体" w:cs="宋体"/>
                      <w:color w:val="auto"/>
                      <w:kern w:val="0"/>
                      <w:lang w:bidi="ar"/>
                    </w:rPr>
                    <w:t>下料、机加工、铰孔</w:t>
                  </w:r>
                </w:p>
              </w:tc>
              <w:tc>
                <w:tcPr>
                  <w:tcW w:w="1826" w:type="dxa"/>
                  <w:vAlign w:val="center"/>
                </w:tcPr>
                <w:p w14:paraId="6326BCCE">
                  <w:pPr>
                    <w:jc w:val="center"/>
                    <w:rPr>
                      <w:color w:val="auto"/>
                    </w:rPr>
                  </w:pPr>
                  <w:r>
                    <w:rPr>
                      <w:rFonts w:hint="eastAsia"/>
                      <w:color w:val="auto"/>
                    </w:rPr>
                    <w:t>否</w:t>
                  </w:r>
                </w:p>
              </w:tc>
              <w:tc>
                <w:tcPr>
                  <w:tcW w:w="1826" w:type="dxa"/>
                  <w:vAlign w:val="center"/>
                </w:tcPr>
                <w:p w14:paraId="36701618">
                  <w:pPr>
                    <w:jc w:val="center"/>
                    <w:rPr>
                      <w:color w:val="auto"/>
                    </w:rPr>
                  </w:pPr>
                  <w:r>
                    <w:rPr>
                      <w:color w:val="auto"/>
                    </w:rPr>
                    <w:t>SW17</w:t>
                  </w:r>
                </w:p>
              </w:tc>
            </w:tr>
            <w:tr w14:paraId="6017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2126C11E">
                  <w:pPr>
                    <w:jc w:val="center"/>
                    <w:rPr>
                      <w:color w:val="auto"/>
                    </w:rPr>
                  </w:pPr>
                  <w:r>
                    <w:rPr>
                      <w:color w:val="auto"/>
                    </w:rPr>
                    <w:t>2</w:t>
                  </w:r>
                </w:p>
              </w:tc>
              <w:tc>
                <w:tcPr>
                  <w:tcW w:w="2470" w:type="dxa"/>
                  <w:shd w:val="clear" w:color="auto" w:fill="auto"/>
                  <w:vAlign w:val="center"/>
                </w:tcPr>
                <w:p w14:paraId="4D381DB1">
                  <w:pPr>
                    <w:jc w:val="center"/>
                    <w:rPr>
                      <w:color w:val="auto"/>
                    </w:rPr>
                  </w:pPr>
                  <w:r>
                    <w:rPr>
                      <w:color w:val="auto"/>
                    </w:rPr>
                    <w:t>焊渣</w:t>
                  </w:r>
                </w:p>
              </w:tc>
              <w:tc>
                <w:tcPr>
                  <w:tcW w:w="1825" w:type="dxa"/>
                  <w:vAlign w:val="center"/>
                </w:tcPr>
                <w:p w14:paraId="41E6BA4C">
                  <w:pPr>
                    <w:widowControl/>
                    <w:jc w:val="center"/>
                    <w:textAlignment w:val="center"/>
                    <w:rPr>
                      <w:color w:val="auto"/>
                    </w:rPr>
                  </w:pPr>
                  <w:r>
                    <w:rPr>
                      <w:rFonts w:hint="eastAsia" w:ascii="宋体" w:hAnsi="宋体" w:cs="宋体"/>
                      <w:color w:val="auto"/>
                      <w:kern w:val="0"/>
                      <w:lang w:bidi="ar"/>
                    </w:rPr>
                    <w:t>焊接</w:t>
                  </w:r>
                </w:p>
              </w:tc>
              <w:tc>
                <w:tcPr>
                  <w:tcW w:w="1826" w:type="dxa"/>
                  <w:vAlign w:val="center"/>
                </w:tcPr>
                <w:p w14:paraId="43B5D5D7">
                  <w:pPr>
                    <w:jc w:val="center"/>
                    <w:rPr>
                      <w:color w:val="auto"/>
                    </w:rPr>
                  </w:pPr>
                  <w:r>
                    <w:rPr>
                      <w:rFonts w:hint="eastAsia"/>
                      <w:color w:val="auto"/>
                    </w:rPr>
                    <w:t>否</w:t>
                  </w:r>
                </w:p>
              </w:tc>
              <w:tc>
                <w:tcPr>
                  <w:tcW w:w="1826" w:type="dxa"/>
                  <w:vAlign w:val="center"/>
                </w:tcPr>
                <w:p w14:paraId="1191F29C">
                  <w:pPr>
                    <w:jc w:val="center"/>
                    <w:rPr>
                      <w:color w:val="auto"/>
                    </w:rPr>
                  </w:pPr>
                  <w:r>
                    <w:rPr>
                      <w:color w:val="auto"/>
                    </w:rPr>
                    <w:t>SW59</w:t>
                  </w:r>
                </w:p>
              </w:tc>
            </w:tr>
            <w:tr w14:paraId="72F4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56A57680">
                  <w:pPr>
                    <w:jc w:val="center"/>
                    <w:rPr>
                      <w:color w:val="auto"/>
                    </w:rPr>
                  </w:pPr>
                  <w:r>
                    <w:rPr>
                      <w:color w:val="auto"/>
                    </w:rPr>
                    <w:t>3</w:t>
                  </w:r>
                </w:p>
              </w:tc>
              <w:tc>
                <w:tcPr>
                  <w:tcW w:w="2470" w:type="dxa"/>
                  <w:shd w:val="clear" w:color="auto" w:fill="auto"/>
                  <w:vAlign w:val="center"/>
                </w:tcPr>
                <w:p w14:paraId="78C16BAC">
                  <w:pPr>
                    <w:jc w:val="center"/>
                    <w:rPr>
                      <w:color w:val="auto"/>
                    </w:rPr>
                  </w:pPr>
                  <w:r>
                    <w:rPr>
                      <w:color w:val="auto"/>
                    </w:rPr>
                    <w:t>不合格品</w:t>
                  </w:r>
                </w:p>
              </w:tc>
              <w:tc>
                <w:tcPr>
                  <w:tcW w:w="1825" w:type="dxa"/>
                  <w:vAlign w:val="center"/>
                </w:tcPr>
                <w:p w14:paraId="377D45E0">
                  <w:pPr>
                    <w:widowControl/>
                    <w:jc w:val="center"/>
                    <w:textAlignment w:val="center"/>
                    <w:rPr>
                      <w:color w:val="auto"/>
                    </w:rPr>
                  </w:pPr>
                  <w:r>
                    <w:rPr>
                      <w:rFonts w:hint="eastAsia" w:ascii="宋体" w:hAnsi="宋体" w:cs="宋体"/>
                      <w:color w:val="auto"/>
                      <w:kern w:val="0"/>
                      <w:lang w:bidi="ar"/>
                    </w:rPr>
                    <w:t>检验</w:t>
                  </w:r>
                </w:p>
              </w:tc>
              <w:tc>
                <w:tcPr>
                  <w:tcW w:w="1826" w:type="dxa"/>
                  <w:vAlign w:val="center"/>
                </w:tcPr>
                <w:p w14:paraId="7DF06A0C">
                  <w:pPr>
                    <w:jc w:val="center"/>
                    <w:rPr>
                      <w:color w:val="auto"/>
                    </w:rPr>
                  </w:pPr>
                  <w:r>
                    <w:rPr>
                      <w:rFonts w:hint="eastAsia"/>
                      <w:color w:val="auto"/>
                    </w:rPr>
                    <w:t>否</w:t>
                  </w:r>
                </w:p>
              </w:tc>
              <w:tc>
                <w:tcPr>
                  <w:tcW w:w="1826" w:type="dxa"/>
                  <w:vAlign w:val="center"/>
                </w:tcPr>
                <w:p w14:paraId="71F31A8F">
                  <w:pPr>
                    <w:jc w:val="center"/>
                    <w:rPr>
                      <w:color w:val="auto"/>
                    </w:rPr>
                  </w:pPr>
                  <w:r>
                    <w:rPr>
                      <w:color w:val="auto"/>
                    </w:rPr>
                    <w:t>SW17</w:t>
                  </w:r>
                </w:p>
              </w:tc>
            </w:tr>
            <w:tr w14:paraId="73AC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6303C9F8">
                  <w:pPr>
                    <w:jc w:val="center"/>
                    <w:rPr>
                      <w:color w:val="auto"/>
                    </w:rPr>
                  </w:pPr>
                  <w:r>
                    <w:rPr>
                      <w:color w:val="auto"/>
                    </w:rPr>
                    <w:t>4</w:t>
                  </w:r>
                </w:p>
              </w:tc>
              <w:tc>
                <w:tcPr>
                  <w:tcW w:w="2470" w:type="dxa"/>
                  <w:shd w:val="clear" w:color="auto" w:fill="auto"/>
                  <w:vAlign w:val="center"/>
                </w:tcPr>
                <w:p w14:paraId="39BE7F9C">
                  <w:pPr>
                    <w:jc w:val="center"/>
                    <w:rPr>
                      <w:color w:val="auto"/>
                    </w:rPr>
                  </w:pPr>
                  <w:r>
                    <w:rPr>
                      <w:color w:val="auto"/>
                    </w:rPr>
                    <w:t>废滤芯</w:t>
                  </w:r>
                </w:p>
              </w:tc>
              <w:tc>
                <w:tcPr>
                  <w:tcW w:w="1825" w:type="dxa"/>
                  <w:vAlign w:val="center"/>
                </w:tcPr>
                <w:p w14:paraId="7E8016A9">
                  <w:pPr>
                    <w:widowControl/>
                    <w:jc w:val="center"/>
                    <w:textAlignment w:val="center"/>
                    <w:rPr>
                      <w:color w:val="auto"/>
                    </w:rPr>
                  </w:pPr>
                  <w:r>
                    <w:rPr>
                      <w:rFonts w:hint="eastAsia" w:ascii="宋体" w:hAnsi="宋体" w:cs="宋体"/>
                      <w:color w:val="auto"/>
                      <w:kern w:val="0"/>
                      <w:lang w:bidi="ar"/>
                    </w:rPr>
                    <w:t>废气处理</w:t>
                  </w:r>
                </w:p>
              </w:tc>
              <w:tc>
                <w:tcPr>
                  <w:tcW w:w="1826" w:type="dxa"/>
                  <w:vAlign w:val="center"/>
                </w:tcPr>
                <w:p w14:paraId="4CCD8BC8">
                  <w:pPr>
                    <w:jc w:val="center"/>
                    <w:rPr>
                      <w:color w:val="auto"/>
                    </w:rPr>
                  </w:pPr>
                  <w:r>
                    <w:rPr>
                      <w:rFonts w:hint="eastAsia"/>
                      <w:color w:val="auto"/>
                    </w:rPr>
                    <w:t>否</w:t>
                  </w:r>
                </w:p>
              </w:tc>
              <w:tc>
                <w:tcPr>
                  <w:tcW w:w="1826" w:type="dxa"/>
                  <w:vAlign w:val="center"/>
                </w:tcPr>
                <w:p w14:paraId="5A7AC38F">
                  <w:pPr>
                    <w:jc w:val="center"/>
                    <w:rPr>
                      <w:color w:val="auto"/>
                    </w:rPr>
                  </w:pPr>
                  <w:r>
                    <w:rPr>
                      <w:color w:val="auto"/>
                    </w:rPr>
                    <w:t>SW59</w:t>
                  </w:r>
                </w:p>
              </w:tc>
            </w:tr>
            <w:tr w14:paraId="3D11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42A51D43">
                  <w:pPr>
                    <w:jc w:val="center"/>
                    <w:rPr>
                      <w:color w:val="auto"/>
                    </w:rPr>
                  </w:pPr>
                  <w:r>
                    <w:rPr>
                      <w:color w:val="auto"/>
                    </w:rPr>
                    <w:t>5</w:t>
                  </w:r>
                </w:p>
              </w:tc>
              <w:tc>
                <w:tcPr>
                  <w:tcW w:w="2470" w:type="dxa"/>
                  <w:shd w:val="clear" w:color="auto" w:fill="auto"/>
                  <w:vAlign w:val="center"/>
                </w:tcPr>
                <w:p w14:paraId="67048B38">
                  <w:pPr>
                    <w:jc w:val="center"/>
                    <w:rPr>
                      <w:color w:val="auto"/>
                    </w:rPr>
                  </w:pPr>
                  <w:r>
                    <w:rPr>
                      <w:color w:val="auto"/>
                    </w:rPr>
                    <w:t>废</w:t>
                  </w:r>
                  <w:r>
                    <w:rPr>
                      <w:rFonts w:hint="eastAsia"/>
                      <w:color w:val="auto"/>
                    </w:rPr>
                    <w:t>油泥</w:t>
                  </w:r>
                </w:p>
              </w:tc>
              <w:tc>
                <w:tcPr>
                  <w:tcW w:w="1825" w:type="dxa"/>
                  <w:vAlign w:val="center"/>
                </w:tcPr>
                <w:p w14:paraId="2682FA28">
                  <w:pPr>
                    <w:widowControl/>
                    <w:jc w:val="center"/>
                    <w:textAlignment w:val="center"/>
                    <w:rPr>
                      <w:color w:val="auto"/>
                    </w:rPr>
                  </w:pPr>
                  <w:r>
                    <w:rPr>
                      <w:rFonts w:hint="eastAsia"/>
                      <w:color w:val="auto"/>
                    </w:rPr>
                    <w:t>机加工</w:t>
                  </w:r>
                </w:p>
              </w:tc>
              <w:tc>
                <w:tcPr>
                  <w:tcW w:w="1826" w:type="dxa"/>
                  <w:vAlign w:val="center"/>
                </w:tcPr>
                <w:p w14:paraId="2792C7C9">
                  <w:pPr>
                    <w:jc w:val="center"/>
                    <w:rPr>
                      <w:color w:val="auto"/>
                    </w:rPr>
                  </w:pPr>
                  <w:r>
                    <w:rPr>
                      <w:rFonts w:hint="eastAsia"/>
                      <w:color w:val="auto"/>
                    </w:rPr>
                    <w:t>是</w:t>
                  </w:r>
                </w:p>
              </w:tc>
              <w:tc>
                <w:tcPr>
                  <w:tcW w:w="1826" w:type="dxa"/>
                  <w:vAlign w:val="center"/>
                </w:tcPr>
                <w:p w14:paraId="07F2DF2B">
                  <w:pPr>
                    <w:jc w:val="center"/>
                    <w:rPr>
                      <w:color w:val="auto"/>
                    </w:rPr>
                  </w:pPr>
                  <w:r>
                    <w:rPr>
                      <w:color w:val="auto"/>
                    </w:rPr>
                    <w:t>HW0</w:t>
                  </w:r>
                  <w:r>
                    <w:rPr>
                      <w:rFonts w:hint="eastAsia"/>
                      <w:color w:val="auto"/>
                    </w:rPr>
                    <w:t>8</w:t>
                  </w:r>
                </w:p>
              </w:tc>
            </w:tr>
            <w:tr w14:paraId="7E2D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80" w:type="dxa"/>
                  <w:vAlign w:val="center"/>
                </w:tcPr>
                <w:p w14:paraId="3AF04BBF">
                  <w:pPr>
                    <w:jc w:val="center"/>
                    <w:rPr>
                      <w:color w:val="auto"/>
                    </w:rPr>
                  </w:pPr>
                  <w:r>
                    <w:rPr>
                      <w:color w:val="auto"/>
                    </w:rPr>
                    <w:t>6</w:t>
                  </w:r>
                </w:p>
              </w:tc>
              <w:tc>
                <w:tcPr>
                  <w:tcW w:w="2470" w:type="dxa"/>
                  <w:shd w:val="clear" w:color="auto" w:fill="auto"/>
                  <w:vAlign w:val="center"/>
                </w:tcPr>
                <w:p w14:paraId="14D4B167">
                  <w:pPr>
                    <w:jc w:val="center"/>
                    <w:rPr>
                      <w:color w:val="auto"/>
                    </w:rPr>
                  </w:pPr>
                  <w:r>
                    <w:rPr>
                      <w:color w:val="auto"/>
                    </w:rPr>
                    <w:t>清洗废液</w:t>
                  </w:r>
                </w:p>
              </w:tc>
              <w:tc>
                <w:tcPr>
                  <w:tcW w:w="1825" w:type="dxa"/>
                  <w:vAlign w:val="center"/>
                </w:tcPr>
                <w:p w14:paraId="1C972A0C">
                  <w:pPr>
                    <w:widowControl/>
                    <w:jc w:val="center"/>
                    <w:textAlignment w:val="center"/>
                    <w:rPr>
                      <w:color w:val="auto"/>
                    </w:rPr>
                  </w:pPr>
                  <w:r>
                    <w:rPr>
                      <w:rFonts w:hint="eastAsia" w:ascii="宋体" w:hAnsi="宋体" w:cs="宋体"/>
                      <w:color w:val="auto"/>
                      <w:kern w:val="0"/>
                      <w:lang w:bidi="ar"/>
                    </w:rPr>
                    <w:t>清洗</w:t>
                  </w:r>
                </w:p>
              </w:tc>
              <w:tc>
                <w:tcPr>
                  <w:tcW w:w="1826" w:type="dxa"/>
                  <w:vAlign w:val="center"/>
                </w:tcPr>
                <w:p w14:paraId="20A5F4E6">
                  <w:pPr>
                    <w:jc w:val="center"/>
                    <w:rPr>
                      <w:color w:val="auto"/>
                    </w:rPr>
                  </w:pPr>
                  <w:r>
                    <w:rPr>
                      <w:rFonts w:hint="eastAsia"/>
                      <w:color w:val="auto"/>
                    </w:rPr>
                    <w:t>是</w:t>
                  </w:r>
                </w:p>
              </w:tc>
              <w:tc>
                <w:tcPr>
                  <w:tcW w:w="1826" w:type="dxa"/>
                  <w:vAlign w:val="center"/>
                </w:tcPr>
                <w:p w14:paraId="5E6C6E2B">
                  <w:pPr>
                    <w:jc w:val="center"/>
                    <w:rPr>
                      <w:rFonts w:hint="eastAsia" w:eastAsia="宋体"/>
                      <w:color w:val="auto"/>
                      <w:lang w:eastAsia="zh-CN"/>
                    </w:rPr>
                  </w:pPr>
                  <w:r>
                    <w:rPr>
                      <w:color w:val="auto"/>
                    </w:rPr>
                    <w:t>HW0</w:t>
                  </w:r>
                  <w:r>
                    <w:rPr>
                      <w:rFonts w:hint="eastAsia"/>
                      <w:color w:val="auto"/>
                      <w:lang w:val="en-US" w:eastAsia="zh-CN"/>
                    </w:rPr>
                    <w:t>8</w:t>
                  </w:r>
                </w:p>
              </w:tc>
            </w:tr>
            <w:tr w14:paraId="4E06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74D24109">
                  <w:pPr>
                    <w:jc w:val="center"/>
                    <w:rPr>
                      <w:color w:val="auto"/>
                    </w:rPr>
                  </w:pPr>
                  <w:r>
                    <w:rPr>
                      <w:color w:val="auto"/>
                    </w:rPr>
                    <w:t>7</w:t>
                  </w:r>
                </w:p>
              </w:tc>
              <w:tc>
                <w:tcPr>
                  <w:tcW w:w="2470" w:type="dxa"/>
                  <w:shd w:val="clear" w:color="auto" w:fill="auto"/>
                  <w:vAlign w:val="center"/>
                </w:tcPr>
                <w:p w14:paraId="4A900497">
                  <w:pPr>
                    <w:jc w:val="center"/>
                    <w:rPr>
                      <w:color w:val="auto"/>
                    </w:rPr>
                  </w:pPr>
                  <w:r>
                    <w:rPr>
                      <w:color w:val="auto"/>
                    </w:rPr>
                    <w:t>废包装桶</w:t>
                  </w:r>
                </w:p>
              </w:tc>
              <w:tc>
                <w:tcPr>
                  <w:tcW w:w="1825" w:type="dxa"/>
                  <w:vAlign w:val="center"/>
                </w:tcPr>
                <w:p w14:paraId="6C6CFFD1">
                  <w:pPr>
                    <w:widowControl/>
                    <w:jc w:val="center"/>
                    <w:textAlignment w:val="center"/>
                    <w:rPr>
                      <w:color w:val="auto"/>
                    </w:rPr>
                  </w:pPr>
                  <w:r>
                    <w:rPr>
                      <w:rFonts w:hint="eastAsia" w:ascii="宋体" w:hAnsi="宋体" w:cs="宋体"/>
                      <w:color w:val="auto"/>
                      <w:kern w:val="0"/>
                      <w:lang w:bidi="ar"/>
                    </w:rPr>
                    <w:t>原料包装</w:t>
                  </w:r>
                </w:p>
              </w:tc>
              <w:tc>
                <w:tcPr>
                  <w:tcW w:w="1826" w:type="dxa"/>
                  <w:vAlign w:val="center"/>
                </w:tcPr>
                <w:p w14:paraId="6CE8D9EC">
                  <w:pPr>
                    <w:jc w:val="center"/>
                    <w:rPr>
                      <w:color w:val="auto"/>
                    </w:rPr>
                  </w:pPr>
                  <w:r>
                    <w:rPr>
                      <w:rFonts w:hint="eastAsia"/>
                      <w:color w:val="auto"/>
                    </w:rPr>
                    <w:t>是</w:t>
                  </w:r>
                </w:p>
              </w:tc>
              <w:tc>
                <w:tcPr>
                  <w:tcW w:w="1826" w:type="dxa"/>
                  <w:vAlign w:val="center"/>
                </w:tcPr>
                <w:p w14:paraId="58DB0564">
                  <w:pPr>
                    <w:jc w:val="center"/>
                    <w:rPr>
                      <w:rFonts w:hint="default" w:eastAsia="宋体"/>
                      <w:color w:val="auto"/>
                      <w:lang w:val="en-US" w:eastAsia="zh-CN"/>
                    </w:rPr>
                  </w:pPr>
                  <w:r>
                    <w:rPr>
                      <w:color w:val="auto"/>
                    </w:rPr>
                    <w:t>HW</w:t>
                  </w:r>
                  <w:r>
                    <w:rPr>
                      <w:rFonts w:hint="eastAsia"/>
                      <w:color w:val="auto"/>
                      <w:lang w:val="en-US" w:eastAsia="zh-CN"/>
                    </w:rPr>
                    <w:t>08</w:t>
                  </w:r>
                </w:p>
              </w:tc>
            </w:tr>
            <w:tr w14:paraId="77DF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456C4EE3">
                  <w:pPr>
                    <w:jc w:val="center"/>
                    <w:rPr>
                      <w:color w:val="auto"/>
                    </w:rPr>
                  </w:pPr>
                  <w:r>
                    <w:rPr>
                      <w:color w:val="auto"/>
                    </w:rPr>
                    <w:t>8</w:t>
                  </w:r>
                </w:p>
              </w:tc>
              <w:tc>
                <w:tcPr>
                  <w:tcW w:w="2470" w:type="dxa"/>
                  <w:shd w:val="clear" w:color="auto" w:fill="auto"/>
                  <w:vAlign w:val="center"/>
                </w:tcPr>
                <w:p w14:paraId="2EB0FDD2">
                  <w:pPr>
                    <w:jc w:val="center"/>
                    <w:rPr>
                      <w:color w:val="auto"/>
                    </w:rPr>
                  </w:pPr>
                  <w:r>
                    <w:rPr>
                      <w:color w:val="auto"/>
                    </w:rPr>
                    <w:t>废活性炭</w:t>
                  </w:r>
                </w:p>
              </w:tc>
              <w:tc>
                <w:tcPr>
                  <w:tcW w:w="1825" w:type="dxa"/>
                  <w:vAlign w:val="center"/>
                </w:tcPr>
                <w:p w14:paraId="349CCD93">
                  <w:pPr>
                    <w:widowControl/>
                    <w:jc w:val="center"/>
                    <w:textAlignment w:val="center"/>
                    <w:rPr>
                      <w:color w:val="auto"/>
                    </w:rPr>
                  </w:pPr>
                  <w:r>
                    <w:rPr>
                      <w:rFonts w:hint="eastAsia" w:ascii="宋体" w:hAnsi="宋体" w:cs="宋体"/>
                      <w:color w:val="auto"/>
                      <w:kern w:val="0"/>
                      <w:lang w:bidi="ar"/>
                    </w:rPr>
                    <w:t>废气处理</w:t>
                  </w:r>
                </w:p>
              </w:tc>
              <w:tc>
                <w:tcPr>
                  <w:tcW w:w="1826" w:type="dxa"/>
                  <w:vAlign w:val="center"/>
                </w:tcPr>
                <w:p w14:paraId="25E411DF">
                  <w:pPr>
                    <w:jc w:val="center"/>
                    <w:rPr>
                      <w:color w:val="auto"/>
                    </w:rPr>
                  </w:pPr>
                  <w:r>
                    <w:rPr>
                      <w:rFonts w:hint="eastAsia"/>
                      <w:color w:val="auto"/>
                    </w:rPr>
                    <w:t>是</w:t>
                  </w:r>
                </w:p>
              </w:tc>
              <w:tc>
                <w:tcPr>
                  <w:tcW w:w="1826" w:type="dxa"/>
                  <w:vAlign w:val="center"/>
                </w:tcPr>
                <w:p w14:paraId="1146D5F9">
                  <w:pPr>
                    <w:jc w:val="center"/>
                    <w:rPr>
                      <w:color w:val="auto"/>
                    </w:rPr>
                  </w:pPr>
                  <w:r>
                    <w:rPr>
                      <w:color w:val="auto"/>
                    </w:rPr>
                    <w:t>HW49</w:t>
                  </w:r>
                </w:p>
              </w:tc>
            </w:tr>
            <w:tr w14:paraId="6B05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69F5450A">
                  <w:pPr>
                    <w:jc w:val="center"/>
                    <w:rPr>
                      <w:color w:val="auto"/>
                    </w:rPr>
                  </w:pPr>
                  <w:r>
                    <w:rPr>
                      <w:rFonts w:hint="eastAsia"/>
                      <w:color w:val="auto"/>
                    </w:rPr>
                    <w:t>9</w:t>
                  </w:r>
                </w:p>
              </w:tc>
              <w:tc>
                <w:tcPr>
                  <w:tcW w:w="2470" w:type="dxa"/>
                  <w:shd w:val="clear" w:color="auto" w:fill="auto"/>
                  <w:vAlign w:val="center"/>
                </w:tcPr>
                <w:p w14:paraId="4A1B7E07">
                  <w:pPr>
                    <w:jc w:val="center"/>
                    <w:rPr>
                      <w:color w:val="auto"/>
                    </w:rPr>
                  </w:pPr>
                  <w:r>
                    <w:rPr>
                      <w:rFonts w:hint="eastAsia"/>
                      <w:color w:val="auto"/>
                    </w:rPr>
                    <w:t>生活垃圾</w:t>
                  </w:r>
                </w:p>
              </w:tc>
              <w:tc>
                <w:tcPr>
                  <w:tcW w:w="1825" w:type="dxa"/>
                  <w:vAlign w:val="center"/>
                </w:tcPr>
                <w:p w14:paraId="3F599BDC">
                  <w:pPr>
                    <w:widowControl/>
                    <w:jc w:val="center"/>
                    <w:textAlignment w:val="center"/>
                    <w:rPr>
                      <w:rFonts w:ascii="宋体" w:hAnsi="宋体" w:cs="宋体"/>
                      <w:color w:val="auto"/>
                      <w:kern w:val="0"/>
                      <w:lang w:bidi="ar"/>
                    </w:rPr>
                  </w:pPr>
                  <w:r>
                    <w:rPr>
                      <w:rFonts w:hint="eastAsia" w:ascii="宋体" w:hAnsi="宋体" w:cs="宋体"/>
                      <w:color w:val="auto"/>
                      <w:kern w:val="0"/>
                      <w:lang w:bidi="ar"/>
                    </w:rPr>
                    <w:t>办公生活</w:t>
                  </w:r>
                </w:p>
              </w:tc>
              <w:tc>
                <w:tcPr>
                  <w:tcW w:w="1826" w:type="dxa"/>
                  <w:vAlign w:val="center"/>
                </w:tcPr>
                <w:p w14:paraId="4581BA75">
                  <w:pPr>
                    <w:jc w:val="center"/>
                    <w:rPr>
                      <w:color w:val="auto"/>
                    </w:rPr>
                  </w:pPr>
                  <w:r>
                    <w:rPr>
                      <w:rFonts w:hint="eastAsia"/>
                      <w:color w:val="auto"/>
                    </w:rPr>
                    <w:t>否</w:t>
                  </w:r>
                </w:p>
              </w:tc>
              <w:tc>
                <w:tcPr>
                  <w:tcW w:w="1826" w:type="dxa"/>
                  <w:vAlign w:val="center"/>
                </w:tcPr>
                <w:p w14:paraId="264CFAE1">
                  <w:pPr>
                    <w:jc w:val="center"/>
                    <w:rPr>
                      <w:color w:val="auto"/>
                    </w:rPr>
                  </w:pPr>
                  <w:r>
                    <w:rPr>
                      <w:rFonts w:hint="eastAsia"/>
                      <w:color w:val="auto"/>
                    </w:rPr>
                    <w:t>SW64</w:t>
                  </w:r>
                </w:p>
              </w:tc>
            </w:tr>
            <w:tr w14:paraId="3646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79EFDF3D">
                  <w:pPr>
                    <w:jc w:val="center"/>
                    <w:rPr>
                      <w:color w:val="auto"/>
                    </w:rPr>
                  </w:pPr>
                  <w:r>
                    <w:rPr>
                      <w:rFonts w:hint="eastAsia"/>
                      <w:color w:val="auto"/>
                    </w:rPr>
                    <w:t>10</w:t>
                  </w:r>
                </w:p>
              </w:tc>
              <w:tc>
                <w:tcPr>
                  <w:tcW w:w="2470" w:type="dxa"/>
                  <w:shd w:val="clear" w:color="auto" w:fill="auto"/>
                  <w:vAlign w:val="center"/>
                </w:tcPr>
                <w:p w14:paraId="2F2A01D5">
                  <w:pPr>
                    <w:jc w:val="center"/>
                    <w:rPr>
                      <w:color w:val="auto"/>
                    </w:rPr>
                  </w:pPr>
                  <w:r>
                    <w:rPr>
                      <w:rFonts w:hint="eastAsia"/>
                      <w:color w:val="auto"/>
                    </w:rPr>
                    <w:t>废油</w:t>
                  </w:r>
                </w:p>
              </w:tc>
              <w:tc>
                <w:tcPr>
                  <w:tcW w:w="1825" w:type="dxa"/>
                  <w:vAlign w:val="center"/>
                </w:tcPr>
                <w:p w14:paraId="612525EE">
                  <w:pPr>
                    <w:widowControl/>
                    <w:jc w:val="center"/>
                    <w:textAlignment w:val="center"/>
                    <w:rPr>
                      <w:rFonts w:ascii="宋体" w:hAnsi="宋体" w:cs="宋体"/>
                      <w:color w:val="auto"/>
                      <w:kern w:val="0"/>
                      <w:lang w:bidi="ar"/>
                    </w:rPr>
                  </w:pPr>
                  <w:r>
                    <w:rPr>
                      <w:rFonts w:hint="eastAsia" w:ascii="宋体" w:hAnsi="宋体" w:cs="宋体"/>
                      <w:color w:val="auto"/>
                      <w:kern w:val="0"/>
                      <w:lang w:bidi="ar"/>
                    </w:rPr>
                    <w:t>隔油池</w:t>
                  </w:r>
                </w:p>
              </w:tc>
              <w:tc>
                <w:tcPr>
                  <w:tcW w:w="1826" w:type="dxa"/>
                  <w:vAlign w:val="center"/>
                </w:tcPr>
                <w:p w14:paraId="24ED91B9">
                  <w:pPr>
                    <w:jc w:val="center"/>
                    <w:rPr>
                      <w:rFonts w:hint="eastAsia" w:eastAsia="宋体"/>
                      <w:color w:val="auto"/>
                      <w:lang w:eastAsia="zh-CN"/>
                    </w:rPr>
                  </w:pPr>
                  <w:r>
                    <w:rPr>
                      <w:rFonts w:hint="eastAsia"/>
                      <w:color w:val="auto"/>
                      <w:lang w:eastAsia="zh-CN"/>
                    </w:rPr>
                    <w:t>是</w:t>
                  </w:r>
                </w:p>
              </w:tc>
              <w:tc>
                <w:tcPr>
                  <w:tcW w:w="1826" w:type="dxa"/>
                  <w:vAlign w:val="center"/>
                </w:tcPr>
                <w:p w14:paraId="0A29E199">
                  <w:pPr>
                    <w:jc w:val="center"/>
                    <w:rPr>
                      <w:color w:val="auto"/>
                    </w:rPr>
                  </w:pPr>
                  <w:r>
                    <w:rPr>
                      <w:rFonts w:hint="eastAsia"/>
                      <w:color w:val="auto"/>
                    </w:rPr>
                    <w:t>SW64</w:t>
                  </w:r>
                </w:p>
              </w:tc>
            </w:tr>
            <w:tr w14:paraId="1596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05DE2F18">
                  <w:pPr>
                    <w:jc w:val="center"/>
                    <w:rPr>
                      <w:color w:val="auto"/>
                    </w:rPr>
                  </w:pPr>
                  <w:r>
                    <w:rPr>
                      <w:rFonts w:hint="eastAsia"/>
                      <w:color w:val="auto"/>
                    </w:rPr>
                    <w:t>11</w:t>
                  </w:r>
                </w:p>
              </w:tc>
              <w:tc>
                <w:tcPr>
                  <w:tcW w:w="2470" w:type="dxa"/>
                  <w:shd w:val="clear" w:color="auto" w:fill="auto"/>
                  <w:vAlign w:val="center"/>
                </w:tcPr>
                <w:p w14:paraId="0059C273">
                  <w:pPr>
                    <w:jc w:val="center"/>
                    <w:rPr>
                      <w:rFonts w:hint="eastAsia" w:eastAsia="宋体"/>
                      <w:color w:val="auto"/>
                      <w:lang w:eastAsia="zh-CN"/>
                    </w:rPr>
                  </w:pPr>
                  <w:r>
                    <w:rPr>
                      <w:rFonts w:hint="eastAsia"/>
                      <w:color w:val="auto"/>
                      <w:lang w:eastAsia="zh-CN"/>
                    </w:rPr>
                    <w:t>磨削灰</w:t>
                  </w:r>
                </w:p>
              </w:tc>
              <w:tc>
                <w:tcPr>
                  <w:tcW w:w="1825" w:type="dxa"/>
                  <w:vAlign w:val="center"/>
                </w:tcPr>
                <w:p w14:paraId="0640EEC7">
                  <w:pPr>
                    <w:widowControl/>
                    <w:jc w:val="center"/>
                    <w:textAlignment w:val="center"/>
                    <w:rPr>
                      <w:rFonts w:ascii="宋体" w:hAnsi="宋体" w:cs="宋体"/>
                      <w:color w:val="auto"/>
                      <w:kern w:val="0"/>
                      <w:lang w:bidi="ar"/>
                    </w:rPr>
                  </w:pPr>
                  <w:r>
                    <w:rPr>
                      <w:rFonts w:hint="eastAsia" w:ascii="宋体" w:hAnsi="宋体" w:cs="宋体"/>
                      <w:color w:val="auto"/>
                      <w:kern w:val="0"/>
                      <w:lang w:bidi="ar"/>
                    </w:rPr>
                    <w:t>机加工</w:t>
                  </w:r>
                </w:p>
              </w:tc>
              <w:tc>
                <w:tcPr>
                  <w:tcW w:w="1826" w:type="dxa"/>
                  <w:vAlign w:val="center"/>
                </w:tcPr>
                <w:p w14:paraId="2394A58D">
                  <w:pPr>
                    <w:jc w:val="center"/>
                    <w:rPr>
                      <w:color w:val="auto"/>
                    </w:rPr>
                  </w:pPr>
                  <w:r>
                    <w:rPr>
                      <w:rFonts w:hint="eastAsia"/>
                      <w:color w:val="auto"/>
                    </w:rPr>
                    <w:t>是</w:t>
                  </w:r>
                </w:p>
              </w:tc>
              <w:tc>
                <w:tcPr>
                  <w:tcW w:w="1826" w:type="dxa"/>
                  <w:vAlign w:val="center"/>
                </w:tcPr>
                <w:p w14:paraId="034FD21B">
                  <w:pPr>
                    <w:jc w:val="center"/>
                    <w:rPr>
                      <w:rFonts w:hint="default" w:eastAsia="宋体"/>
                      <w:color w:val="auto"/>
                      <w:lang w:val="en-US" w:eastAsia="zh-CN"/>
                    </w:rPr>
                  </w:pPr>
                  <w:r>
                    <w:rPr>
                      <w:rFonts w:hint="eastAsia"/>
                      <w:color w:val="auto"/>
                      <w:lang w:val="en-US" w:eastAsia="zh-CN"/>
                    </w:rPr>
                    <w:t>HW49</w:t>
                  </w:r>
                </w:p>
              </w:tc>
            </w:tr>
            <w:tr w14:paraId="7C0C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27C8E202">
                  <w:pPr>
                    <w:jc w:val="center"/>
                    <w:rPr>
                      <w:rFonts w:hint="default" w:eastAsia="宋体"/>
                      <w:color w:val="auto"/>
                      <w:lang w:val="en-US" w:eastAsia="zh-CN"/>
                    </w:rPr>
                  </w:pPr>
                  <w:r>
                    <w:rPr>
                      <w:rFonts w:hint="eastAsia"/>
                      <w:color w:val="auto"/>
                      <w:lang w:val="en-US" w:eastAsia="zh-CN"/>
                    </w:rPr>
                    <w:t>12</w:t>
                  </w:r>
                </w:p>
              </w:tc>
              <w:tc>
                <w:tcPr>
                  <w:tcW w:w="2470" w:type="dxa"/>
                  <w:shd w:val="clear" w:color="auto" w:fill="auto"/>
                  <w:vAlign w:val="center"/>
                </w:tcPr>
                <w:p w14:paraId="12F0B9E6">
                  <w:pPr>
                    <w:jc w:val="center"/>
                    <w:rPr>
                      <w:rFonts w:hint="default"/>
                      <w:color w:val="auto"/>
                      <w:lang w:val="en-US" w:eastAsia="zh-CN"/>
                    </w:rPr>
                  </w:pPr>
                  <w:r>
                    <w:rPr>
                      <w:rFonts w:hint="eastAsia"/>
                      <w:color w:val="auto"/>
                      <w:lang w:val="en-US" w:eastAsia="zh-CN"/>
                    </w:rPr>
                    <w:t>废包装袋</w:t>
                  </w:r>
                </w:p>
              </w:tc>
              <w:tc>
                <w:tcPr>
                  <w:tcW w:w="1825" w:type="dxa"/>
                  <w:vAlign w:val="center"/>
                </w:tcPr>
                <w:p w14:paraId="5D29D045">
                  <w:pPr>
                    <w:widowControl/>
                    <w:jc w:val="center"/>
                    <w:textAlignment w:val="center"/>
                    <w:rPr>
                      <w:rFonts w:hint="default" w:ascii="宋体" w:hAnsi="宋体" w:eastAsia="宋体" w:cs="宋体"/>
                      <w:color w:val="auto"/>
                      <w:kern w:val="0"/>
                      <w:lang w:val="en-US" w:eastAsia="zh-CN" w:bidi="ar"/>
                    </w:rPr>
                  </w:pPr>
                  <w:r>
                    <w:rPr>
                      <w:rFonts w:hint="eastAsia" w:ascii="宋体" w:hAnsi="宋体" w:cs="宋体"/>
                      <w:color w:val="auto"/>
                      <w:kern w:val="0"/>
                      <w:lang w:val="en-US" w:eastAsia="zh-CN" w:bidi="ar"/>
                    </w:rPr>
                    <w:t>原料包装</w:t>
                  </w:r>
                </w:p>
              </w:tc>
              <w:tc>
                <w:tcPr>
                  <w:tcW w:w="1826" w:type="dxa"/>
                  <w:vAlign w:val="center"/>
                </w:tcPr>
                <w:p w14:paraId="4EA3BE7C">
                  <w:pPr>
                    <w:jc w:val="center"/>
                    <w:rPr>
                      <w:rFonts w:hint="eastAsia"/>
                      <w:color w:val="auto"/>
                    </w:rPr>
                  </w:pPr>
                  <w:r>
                    <w:rPr>
                      <w:rFonts w:hint="eastAsia"/>
                      <w:color w:val="auto"/>
                    </w:rPr>
                    <w:t>否</w:t>
                  </w:r>
                </w:p>
              </w:tc>
              <w:tc>
                <w:tcPr>
                  <w:tcW w:w="1826" w:type="dxa"/>
                  <w:vAlign w:val="center"/>
                </w:tcPr>
                <w:p w14:paraId="6A111B4E">
                  <w:pPr>
                    <w:jc w:val="center"/>
                    <w:rPr>
                      <w:rFonts w:hint="default" w:eastAsia="宋体"/>
                      <w:color w:val="auto"/>
                      <w:lang w:val="en-US" w:eastAsia="zh-CN"/>
                    </w:rPr>
                  </w:pPr>
                  <w:r>
                    <w:rPr>
                      <w:rFonts w:hint="eastAsia"/>
                      <w:color w:val="auto"/>
                      <w:lang w:val="en-US" w:eastAsia="zh-CN"/>
                    </w:rPr>
                    <w:t>SW59</w:t>
                  </w:r>
                </w:p>
              </w:tc>
            </w:tr>
            <w:tr w14:paraId="6AFF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Align w:val="center"/>
                </w:tcPr>
                <w:p w14:paraId="2CD9AA65">
                  <w:pPr>
                    <w:jc w:val="center"/>
                    <w:rPr>
                      <w:rFonts w:hint="default"/>
                      <w:color w:val="auto"/>
                      <w:lang w:val="en-US" w:eastAsia="zh-CN"/>
                    </w:rPr>
                  </w:pPr>
                  <w:r>
                    <w:rPr>
                      <w:rFonts w:hint="eastAsia"/>
                      <w:color w:val="auto"/>
                      <w:lang w:val="en-US" w:eastAsia="zh-CN"/>
                    </w:rPr>
                    <w:t>13</w:t>
                  </w:r>
                </w:p>
              </w:tc>
              <w:tc>
                <w:tcPr>
                  <w:tcW w:w="2470" w:type="dxa"/>
                  <w:shd w:val="clear" w:color="auto" w:fill="auto"/>
                  <w:vAlign w:val="center"/>
                </w:tcPr>
                <w:p w14:paraId="2967C95E">
                  <w:pPr>
                    <w:jc w:val="center"/>
                    <w:rPr>
                      <w:rFonts w:hint="default"/>
                      <w:color w:val="auto"/>
                      <w:lang w:val="en-US" w:eastAsia="zh-CN"/>
                    </w:rPr>
                  </w:pPr>
                  <w:r>
                    <w:rPr>
                      <w:rFonts w:hint="eastAsia"/>
                      <w:color w:val="auto"/>
                      <w:lang w:val="en-US" w:eastAsia="zh-CN"/>
                    </w:rPr>
                    <w:t>废机油</w:t>
                  </w:r>
                </w:p>
              </w:tc>
              <w:tc>
                <w:tcPr>
                  <w:tcW w:w="1825" w:type="dxa"/>
                  <w:vAlign w:val="center"/>
                </w:tcPr>
                <w:p w14:paraId="3454B0A6">
                  <w:pPr>
                    <w:widowControl/>
                    <w:jc w:val="center"/>
                    <w:textAlignment w:val="center"/>
                    <w:rPr>
                      <w:rFonts w:hint="default" w:ascii="宋体" w:hAnsi="宋体" w:cs="宋体"/>
                      <w:color w:val="auto"/>
                      <w:kern w:val="0"/>
                      <w:lang w:val="en-US" w:eastAsia="zh-CN" w:bidi="ar"/>
                    </w:rPr>
                  </w:pPr>
                  <w:r>
                    <w:rPr>
                      <w:rFonts w:hint="eastAsia" w:ascii="宋体" w:hAnsi="宋体" w:cs="宋体"/>
                      <w:color w:val="auto"/>
                      <w:kern w:val="0"/>
                      <w:lang w:val="en-US" w:eastAsia="zh-CN" w:bidi="ar"/>
                    </w:rPr>
                    <w:t>设备维护</w:t>
                  </w:r>
                </w:p>
              </w:tc>
              <w:tc>
                <w:tcPr>
                  <w:tcW w:w="1826" w:type="dxa"/>
                  <w:vAlign w:val="center"/>
                </w:tcPr>
                <w:p w14:paraId="33E9B97D">
                  <w:pPr>
                    <w:jc w:val="center"/>
                    <w:rPr>
                      <w:rFonts w:hint="eastAsia"/>
                      <w:color w:val="auto"/>
                    </w:rPr>
                  </w:pPr>
                  <w:r>
                    <w:rPr>
                      <w:rFonts w:hint="eastAsia"/>
                      <w:color w:val="auto"/>
                    </w:rPr>
                    <w:t>是</w:t>
                  </w:r>
                </w:p>
              </w:tc>
              <w:tc>
                <w:tcPr>
                  <w:tcW w:w="1826" w:type="dxa"/>
                  <w:vAlign w:val="center"/>
                </w:tcPr>
                <w:p w14:paraId="3D8CB8A4">
                  <w:pPr>
                    <w:jc w:val="center"/>
                    <w:rPr>
                      <w:color w:val="auto"/>
                    </w:rPr>
                  </w:pPr>
                  <w:r>
                    <w:rPr>
                      <w:color w:val="auto"/>
                    </w:rPr>
                    <w:t>HW</w:t>
                  </w:r>
                  <w:r>
                    <w:rPr>
                      <w:rFonts w:hint="eastAsia"/>
                      <w:color w:val="auto"/>
                      <w:lang w:val="en-US" w:eastAsia="zh-CN"/>
                    </w:rPr>
                    <w:t>08</w:t>
                  </w:r>
                </w:p>
              </w:tc>
            </w:tr>
          </w:tbl>
          <w:p w14:paraId="16FE91EE">
            <w:pPr>
              <w:rPr>
                <w:color w:val="auto"/>
              </w:rPr>
            </w:pPr>
          </w:p>
          <w:p w14:paraId="57CA75F5">
            <w:pPr>
              <w:spacing w:line="360" w:lineRule="auto"/>
              <w:ind w:firstLine="480" w:firstLineChars="200"/>
              <w:rPr>
                <w:color w:val="auto"/>
                <w:sz w:val="24"/>
                <w:szCs w:val="24"/>
              </w:rPr>
            </w:pPr>
            <w:r>
              <w:rPr>
                <w:color w:val="auto"/>
                <w:sz w:val="24"/>
                <w:szCs w:val="24"/>
              </w:rPr>
              <w:t>4.1.3固体废物源强核算</w:t>
            </w:r>
          </w:p>
          <w:p w14:paraId="571221D0">
            <w:pPr>
              <w:spacing w:line="360" w:lineRule="auto"/>
              <w:ind w:firstLine="480" w:firstLineChars="200"/>
              <w:rPr>
                <w:color w:val="auto"/>
                <w:sz w:val="24"/>
                <w:szCs w:val="24"/>
              </w:rPr>
            </w:pPr>
            <w:r>
              <w:rPr>
                <w:color w:val="auto"/>
                <w:sz w:val="24"/>
                <w:szCs w:val="24"/>
              </w:rPr>
              <w:t>按照《建设项目危险废物环境影响评价指南》中的要求，对本项目运行过程产生的固废进行分析。</w:t>
            </w:r>
          </w:p>
          <w:p w14:paraId="4E38349E">
            <w:pPr>
              <w:spacing w:line="360" w:lineRule="auto"/>
              <w:ind w:firstLine="480" w:firstLineChars="200"/>
              <w:rPr>
                <w:color w:val="auto"/>
                <w:sz w:val="24"/>
                <w:szCs w:val="24"/>
              </w:rPr>
            </w:pPr>
            <w:r>
              <w:rPr>
                <w:color w:val="auto"/>
                <w:sz w:val="24"/>
                <w:szCs w:val="24"/>
              </w:rPr>
              <w:t>（1）固废产生源强核算</w:t>
            </w:r>
          </w:p>
          <w:p w14:paraId="239710F7">
            <w:pPr>
              <w:tabs>
                <w:tab w:val="left" w:pos="5142"/>
              </w:tabs>
              <w:spacing w:line="360" w:lineRule="auto"/>
              <w:ind w:firstLine="480" w:firstLineChars="200"/>
              <w:jc w:val="left"/>
              <w:rPr>
                <w:color w:val="auto"/>
                <w:sz w:val="24"/>
                <w:szCs w:val="24"/>
              </w:rPr>
            </w:pPr>
            <w:r>
              <w:rPr>
                <w:color w:val="auto"/>
                <w:sz w:val="24"/>
                <w:szCs w:val="24"/>
              </w:rPr>
              <w:t>①</w:t>
            </w:r>
            <w:r>
              <w:rPr>
                <w:rFonts w:hint="eastAsia"/>
                <w:color w:val="auto"/>
                <w:sz w:val="24"/>
                <w:szCs w:val="24"/>
              </w:rPr>
              <w:t>边角料</w:t>
            </w:r>
            <w:r>
              <w:rPr>
                <w:color w:val="auto"/>
                <w:sz w:val="24"/>
                <w:szCs w:val="24"/>
              </w:rPr>
              <w:t>：根据企业提供的经验数据，</w:t>
            </w:r>
            <w:r>
              <w:rPr>
                <w:rFonts w:hint="eastAsia"/>
                <w:color w:val="auto"/>
                <w:sz w:val="24"/>
                <w:szCs w:val="24"/>
              </w:rPr>
              <w:t>边角料产生量为原料用量的0.5%</w:t>
            </w:r>
            <w:r>
              <w:rPr>
                <w:color w:val="auto"/>
                <w:sz w:val="24"/>
                <w:szCs w:val="24"/>
              </w:rPr>
              <w:t>，</w:t>
            </w:r>
            <w:r>
              <w:rPr>
                <w:rFonts w:hint="eastAsia"/>
                <w:color w:val="auto"/>
                <w:sz w:val="24"/>
                <w:szCs w:val="24"/>
              </w:rPr>
              <w:t>边角料产生量为65t/a，外售综合利用</w:t>
            </w:r>
            <w:r>
              <w:rPr>
                <w:color w:val="auto"/>
                <w:sz w:val="24"/>
                <w:szCs w:val="24"/>
              </w:rPr>
              <w:t>。</w:t>
            </w:r>
          </w:p>
          <w:p w14:paraId="512BCD69">
            <w:pPr>
              <w:tabs>
                <w:tab w:val="left" w:pos="5142"/>
              </w:tabs>
              <w:spacing w:line="360" w:lineRule="auto"/>
              <w:ind w:firstLine="480" w:firstLineChars="200"/>
              <w:jc w:val="left"/>
              <w:rPr>
                <w:color w:val="auto"/>
                <w:sz w:val="24"/>
                <w:szCs w:val="24"/>
              </w:rPr>
            </w:pPr>
            <w:r>
              <w:rPr>
                <w:color w:val="auto"/>
                <w:sz w:val="24"/>
                <w:szCs w:val="24"/>
              </w:rPr>
              <w:t>②</w:t>
            </w:r>
            <w:r>
              <w:rPr>
                <w:rFonts w:hint="eastAsia"/>
                <w:color w:val="auto"/>
                <w:sz w:val="24"/>
                <w:szCs w:val="24"/>
              </w:rPr>
              <w:t>焊渣：项目焊渣产生量为原料用量的1%，项目使用焊丝1t，则废焊渣产生量为0.01t/a，外售综合利用。</w:t>
            </w:r>
          </w:p>
          <w:p w14:paraId="2D3EFF9A">
            <w:pPr>
              <w:tabs>
                <w:tab w:val="left" w:pos="5142"/>
              </w:tabs>
              <w:spacing w:line="360" w:lineRule="auto"/>
              <w:ind w:firstLine="480" w:firstLineChars="200"/>
              <w:jc w:val="left"/>
              <w:rPr>
                <w:color w:val="auto"/>
                <w:sz w:val="24"/>
                <w:szCs w:val="24"/>
              </w:rPr>
            </w:pPr>
            <w:r>
              <w:rPr>
                <w:color w:val="auto"/>
                <w:sz w:val="24"/>
                <w:szCs w:val="24"/>
              </w:rPr>
              <w:t>③</w:t>
            </w:r>
            <w:r>
              <w:rPr>
                <w:rFonts w:hint="eastAsia"/>
                <w:color w:val="auto"/>
                <w:sz w:val="24"/>
                <w:szCs w:val="24"/>
              </w:rPr>
              <w:t>不合格品：</w:t>
            </w:r>
            <w:r>
              <w:rPr>
                <w:color w:val="auto"/>
                <w:sz w:val="24"/>
                <w:szCs w:val="24"/>
              </w:rPr>
              <w:t>根据企业提供的经验数据，</w:t>
            </w:r>
            <w:r>
              <w:rPr>
                <w:rFonts w:hint="eastAsia"/>
                <w:color w:val="auto"/>
                <w:sz w:val="24"/>
                <w:szCs w:val="24"/>
              </w:rPr>
              <w:t>不合格品产生量为30t/a，外售综合利用</w:t>
            </w:r>
            <w:r>
              <w:rPr>
                <w:color w:val="auto"/>
                <w:sz w:val="24"/>
                <w:szCs w:val="24"/>
              </w:rPr>
              <w:t>。</w:t>
            </w:r>
          </w:p>
          <w:p w14:paraId="50BA976C">
            <w:pPr>
              <w:spacing w:line="360" w:lineRule="auto"/>
              <w:ind w:firstLine="480" w:firstLineChars="200"/>
              <w:rPr>
                <w:color w:val="auto"/>
                <w:sz w:val="24"/>
                <w:szCs w:val="24"/>
              </w:rPr>
            </w:pPr>
            <w:r>
              <w:rPr>
                <w:color w:val="auto"/>
                <w:sz w:val="24"/>
                <w:szCs w:val="24"/>
              </w:rPr>
              <w:t>④废包装桶：</w:t>
            </w:r>
            <w:r>
              <w:rPr>
                <w:rFonts w:hint="eastAsia"/>
                <w:color w:val="auto"/>
                <w:kern w:val="0"/>
                <w:sz w:val="24"/>
              </w:rPr>
              <w:t>本项目使用白油</w:t>
            </w:r>
            <w:r>
              <w:rPr>
                <w:rFonts w:hint="eastAsia"/>
                <w:color w:val="auto"/>
                <w:kern w:val="0"/>
                <w:sz w:val="24"/>
                <w:lang w:eastAsia="zh-CN"/>
              </w:rPr>
              <w:t>、</w:t>
            </w:r>
            <w:r>
              <w:rPr>
                <w:rFonts w:hint="eastAsia"/>
                <w:color w:val="auto"/>
                <w:kern w:val="0"/>
                <w:sz w:val="24"/>
                <w:lang w:val="en-US" w:eastAsia="zh-CN"/>
              </w:rPr>
              <w:t>液压油、磨削液</w:t>
            </w:r>
            <w:r>
              <w:rPr>
                <w:rFonts w:hint="eastAsia"/>
                <w:color w:val="auto"/>
                <w:kern w:val="0"/>
                <w:sz w:val="24"/>
              </w:rPr>
              <w:t>产生废包装桶。包装规格均为</w:t>
            </w:r>
            <w:r>
              <w:rPr>
                <w:rFonts w:hint="eastAsia"/>
                <w:color w:val="auto"/>
                <w:kern w:val="0"/>
                <w:sz w:val="24"/>
                <w:lang w:val="en-US" w:eastAsia="zh-CN"/>
              </w:rPr>
              <w:t>50L</w:t>
            </w:r>
            <w:r>
              <w:rPr>
                <w:rFonts w:hint="eastAsia"/>
                <w:color w:val="auto"/>
                <w:kern w:val="0"/>
                <w:sz w:val="24"/>
              </w:rPr>
              <w:t>/</w:t>
            </w:r>
            <w:r>
              <w:rPr>
                <w:rFonts w:hint="eastAsia"/>
                <w:color w:val="auto"/>
                <w:kern w:val="0"/>
                <w:sz w:val="24"/>
                <w:lang w:val="en-US" w:eastAsia="zh-CN"/>
              </w:rPr>
              <w:t>桶</w:t>
            </w:r>
            <w:r>
              <w:rPr>
                <w:rFonts w:hint="eastAsia"/>
                <w:color w:val="auto"/>
                <w:kern w:val="0"/>
                <w:sz w:val="24"/>
              </w:rPr>
              <w:t>，项目使用白油2t/a。产生废包装桶约</w:t>
            </w:r>
            <w:r>
              <w:rPr>
                <w:rFonts w:hint="eastAsia"/>
                <w:color w:val="auto"/>
                <w:kern w:val="0"/>
                <w:sz w:val="24"/>
                <w:lang w:val="en-US" w:eastAsia="zh-CN"/>
              </w:rPr>
              <w:t>40</w:t>
            </w:r>
            <w:r>
              <w:rPr>
                <w:rFonts w:hint="eastAsia"/>
                <w:color w:val="auto"/>
                <w:kern w:val="0"/>
                <w:sz w:val="24"/>
              </w:rPr>
              <w:t>个，每个桶约重</w:t>
            </w:r>
            <w:r>
              <w:rPr>
                <w:rFonts w:hint="eastAsia"/>
                <w:color w:val="auto"/>
                <w:kern w:val="0"/>
                <w:sz w:val="24"/>
                <w:lang w:val="en-US" w:eastAsia="zh-CN"/>
              </w:rPr>
              <w:t>2</w:t>
            </w:r>
            <w:r>
              <w:rPr>
                <w:rFonts w:hint="eastAsia"/>
                <w:color w:val="auto"/>
                <w:kern w:val="0"/>
                <w:sz w:val="24"/>
              </w:rPr>
              <w:t>kg，则产生废包装桶0.</w:t>
            </w:r>
            <w:r>
              <w:rPr>
                <w:rFonts w:hint="eastAsia"/>
                <w:color w:val="auto"/>
                <w:kern w:val="0"/>
                <w:sz w:val="24"/>
                <w:lang w:val="en-US" w:eastAsia="zh-CN"/>
              </w:rPr>
              <w:t>08</w:t>
            </w:r>
            <w:r>
              <w:rPr>
                <w:rFonts w:hint="eastAsia"/>
                <w:color w:val="auto"/>
                <w:kern w:val="0"/>
                <w:sz w:val="24"/>
              </w:rPr>
              <w:t>t/a。</w:t>
            </w:r>
            <w:r>
              <w:rPr>
                <w:rFonts w:hint="eastAsia"/>
                <w:color w:val="auto"/>
                <w:kern w:val="0"/>
                <w:sz w:val="24"/>
                <w:lang w:val="en-US" w:eastAsia="zh-CN"/>
              </w:rPr>
              <w:t>使用液压油20t/a，包装规格为150kg/桶，产生废包装桶133个，每个桶重10kg,产生废包装桶1.33t/a。使用磨削液6</w:t>
            </w:r>
            <w:r>
              <w:rPr>
                <w:rFonts w:hint="eastAsia"/>
                <w:color w:val="auto"/>
                <w:kern w:val="0"/>
                <w:sz w:val="24"/>
              </w:rPr>
              <w:t>t/a</w:t>
            </w:r>
            <w:r>
              <w:rPr>
                <w:rFonts w:hint="eastAsia"/>
                <w:color w:val="auto"/>
                <w:kern w:val="0"/>
                <w:sz w:val="24"/>
                <w:lang w:val="en-US" w:eastAsia="zh-CN"/>
              </w:rPr>
              <w:t>，包装规格为200kg/桶，产生废包装桶30个，每个桶重15kg,产生废包装桶0.45t/a。使用机油0.36t/a，包装规格为180kg/桶，每个桶重15kg,产生废包装桶0.03t/a合计产生废包装桶1.89t/a，</w:t>
            </w:r>
            <w:r>
              <w:rPr>
                <w:color w:val="auto"/>
                <w:sz w:val="24"/>
                <w:szCs w:val="24"/>
              </w:rPr>
              <w:t>根据《国家危险废物名录》（202</w:t>
            </w:r>
            <w:r>
              <w:rPr>
                <w:rFonts w:hint="eastAsia"/>
                <w:color w:val="auto"/>
                <w:sz w:val="24"/>
                <w:szCs w:val="24"/>
                <w:lang w:val="en-US" w:eastAsia="zh-CN"/>
              </w:rPr>
              <w:t>5</w:t>
            </w:r>
            <w:r>
              <w:rPr>
                <w:color w:val="auto"/>
                <w:sz w:val="24"/>
                <w:szCs w:val="24"/>
              </w:rPr>
              <w:t>版），属于HW</w:t>
            </w:r>
            <w:r>
              <w:rPr>
                <w:rFonts w:hint="eastAsia"/>
                <w:color w:val="auto"/>
                <w:sz w:val="24"/>
                <w:szCs w:val="24"/>
                <w:lang w:val="en-US" w:eastAsia="zh-CN"/>
              </w:rPr>
              <w:t>08</w:t>
            </w:r>
            <w:r>
              <w:rPr>
                <w:color w:val="auto"/>
                <w:sz w:val="24"/>
                <w:szCs w:val="24"/>
              </w:rPr>
              <w:t>类危险废物，废物代码为900-</w:t>
            </w:r>
            <w:r>
              <w:rPr>
                <w:rFonts w:hint="eastAsia"/>
                <w:color w:val="auto"/>
                <w:sz w:val="24"/>
                <w:szCs w:val="24"/>
                <w:lang w:val="en-US" w:eastAsia="zh-CN"/>
              </w:rPr>
              <w:t>249</w:t>
            </w:r>
            <w:r>
              <w:rPr>
                <w:color w:val="auto"/>
                <w:sz w:val="24"/>
                <w:szCs w:val="24"/>
              </w:rPr>
              <w:t>-</w:t>
            </w:r>
            <w:r>
              <w:rPr>
                <w:rFonts w:hint="eastAsia"/>
                <w:color w:val="auto"/>
                <w:sz w:val="24"/>
                <w:szCs w:val="24"/>
                <w:lang w:val="en-US" w:eastAsia="zh-CN"/>
              </w:rPr>
              <w:t>08</w:t>
            </w:r>
            <w:r>
              <w:rPr>
                <w:color w:val="auto"/>
                <w:sz w:val="24"/>
                <w:szCs w:val="24"/>
              </w:rPr>
              <w:t>，经收集后委托有资质单位处置。</w:t>
            </w:r>
          </w:p>
          <w:p w14:paraId="5A8E1C35">
            <w:pPr>
              <w:tabs>
                <w:tab w:val="left" w:pos="5142"/>
              </w:tabs>
              <w:spacing w:line="360" w:lineRule="auto"/>
              <w:ind w:firstLine="480" w:firstLineChars="200"/>
              <w:jc w:val="left"/>
              <w:rPr>
                <w:color w:val="auto"/>
                <w:sz w:val="24"/>
                <w:szCs w:val="24"/>
              </w:rPr>
            </w:pPr>
            <w:r>
              <w:rPr>
                <w:color w:val="auto"/>
                <w:sz w:val="24"/>
                <w:szCs w:val="24"/>
              </w:rPr>
              <w:t>⑤废活性炭：</w:t>
            </w:r>
            <w:r>
              <w:rPr>
                <w:color w:val="auto"/>
                <w:sz w:val="24"/>
              </w:rPr>
              <w:t>FQ-1</w:t>
            </w:r>
            <w:r>
              <w:rPr>
                <w:rFonts w:eastAsia="Times New Roman"/>
                <w:color w:val="auto"/>
                <w:sz w:val="24"/>
                <w:lang w:val="zh-CN"/>
              </w:rPr>
              <w:t>有组织有机废气产生量为</w:t>
            </w:r>
            <w:r>
              <w:rPr>
                <w:rFonts w:hint="eastAsia"/>
                <w:color w:val="auto"/>
                <w:sz w:val="24"/>
              </w:rPr>
              <w:t>1.4</w:t>
            </w:r>
            <w:r>
              <w:rPr>
                <w:rFonts w:eastAsia="Times New Roman"/>
                <w:color w:val="auto"/>
                <w:sz w:val="24"/>
                <w:lang w:val="zh-CN"/>
              </w:rPr>
              <w:t>t/a，</w:t>
            </w:r>
            <w:r>
              <w:rPr>
                <w:rFonts w:hint="eastAsia"/>
                <w:color w:val="auto"/>
                <w:sz w:val="24"/>
              </w:rPr>
              <w:t>有机废气</w:t>
            </w:r>
            <w:r>
              <w:rPr>
                <w:rFonts w:eastAsia="Times New Roman"/>
                <w:color w:val="auto"/>
                <w:sz w:val="24"/>
                <w:lang w:val="zh-CN"/>
              </w:rPr>
              <w:t>排放量</w:t>
            </w:r>
            <w:r>
              <w:rPr>
                <w:rFonts w:hint="eastAsia"/>
                <w:color w:val="auto"/>
                <w:sz w:val="24"/>
              </w:rPr>
              <w:t>0.14</w:t>
            </w:r>
            <w:r>
              <w:rPr>
                <w:rFonts w:eastAsia="Times New Roman"/>
                <w:color w:val="auto"/>
                <w:sz w:val="24"/>
                <w:lang w:val="zh-CN"/>
              </w:rPr>
              <w:t>t/a</w:t>
            </w:r>
            <w:r>
              <w:rPr>
                <w:rFonts w:hint="eastAsia" w:eastAsia="Times New Roman"/>
                <w:color w:val="auto"/>
                <w:sz w:val="24"/>
                <w:lang w:val="zh-CN"/>
              </w:rPr>
              <w:t>，</w:t>
            </w:r>
            <w:r>
              <w:rPr>
                <w:rFonts w:eastAsia="Times New Roman"/>
                <w:color w:val="auto"/>
                <w:sz w:val="24"/>
                <w:lang w:val="zh-CN"/>
              </w:rPr>
              <w:t>根据废气章节计算，本项目</w:t>
            </w:r>
            <w:r>
              <w:rPr>
                <w:color w:val="auto"/>
                <w:sz w:val="24"/>
              </w:rPr>
              <w:t>1#</w:t>
            </w:r>
            <w:r>
              <w:rPr>
                <w:rFonts w:hint="eastAsia"/>
                <w:color w:val="auto"/>
                <w:sz w:val="24"/>
              </w:rPr>
              <w:t>、2#</w:t>
            </w:r>
            <w:r>
              <w:rPr>
                <w:color w:val="auto"/>
                <w:sz w:val="24"/>
                <w:szCs w:val="24"/>
                <w:lang w:val="zh-CN"/>
              </w:rPr>
              <w:t>活性炭箱体每</w:t>
            </w:r>
            <w:r>
              <w:rPr>
                <w:rFonts w:hint="eastAsia"/>
                <w:color w:val="auto"/>
                <w:sz w:val="24"/>
                <w:szCs w:val="24"/>
                <w:lang w:val="en-US" w:eastAsia="zh-CN"/>
              </w:rPr>
              <w:t>2</w:t>
            </w:r>
            <w:r>
              <w:rPr>
                <w:color w:val="auto"/>
                <w:sz w:val="24"/>
                <w:szCs w:val="24"/>
                <w:lang w:val="zh-CN"/>
              </w:rPr>
              <w:t>月更换一次，</w:t>
            </w:r>
            <w:r>
              <w:rPr>
                <w:color w:val="auto"/>
                <w:sz w:val="24"/>
              </w:rPr>
              <w:t>废活性炭产生量为</w:t>
            </w:r>
            <w:r>
              <w:rPr>
                <w:rFonts w:hint="eastAsia"/>
                <w:color w:val="auto"/>
                <w:sz w:val="24"/>
                <w:lang w:val="en-US" w:eastAsia="zh-CN"/>
              </w:rPr>
              <w:t>8.82</w:t>
            </w:r>
            <w:r>
              <w:rPr>
                <w:color w:val="auto"/>
                <w:sz w:val="24"/>
              </w:rPr>
              <w:t>t/a</w:t>
            </w:r>
            <w:r>
              <w:rPr>
                <w:rFonts w:eastAsia="Times New Roman"/>
                <w:color w:val="auto"/>
                <w:sz w:val="24"/>
                <w:lang w:val="zh-CN"/>
              </w:rPr>
              <w:t>（含吸附废气量）；根据《危险废物名录》（202</w:t>
            </w:r>
            <w:r>
              <w:rPr>
                <w:rFonts w:hint="eastAsia" w:eastAsia="宋体"/>
                <w:color w:val="auto"/>
                <w:sz w:val="24"/>
                <w:lang w:val="en-US" w:eastAsia="zh-CN"/>
              </w:rPr>
              <w:t>5</w:t>
            </w:r>
            <w:r>
              <w:rPr>
                <w:rFonts w:eastAsia="Times New Roman"/>
                <w:color w:val="auto"/>
                <w:sz w:val="24"/>
                <w:lang w:val="zh-CN"/>
              </w:rPr>
              <w:t>年），废活性炭属于危险废物，废物类别为HW49，废物代码为900-039-49。</w:t>
            </w:r>
          </w:p>
          <w:p w14:paraId="30A99139">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6 \* GB3 \* MERGEFORMAT </w:instrText>
            </w:r>
            <w:r>
              <w:rPr>
                <w:color w:val="auto"/>
                <w:sz w:val="24"/>
                <w:szCs w:val="24"/>
              </w:rPr>
              <w:fldChar w:fldCharType="separate"/>
            </w:r>
            <w:r>
              <w:rPr>
                <w:color w:val="auto"/>
                <w:sz w:val="24"/>
                <w:szCs w:val="24"/>
              </w:rPr>
              <w:t>⑥</w:t>
            </w:r>
            <w:r>
              <w:rPr>
                <w:color w:val="auto"/>
                <w:sz w:val="24"/>
                <w:szCs w:val="24"/>
              </w:rPr>
              <w:fldChar w:fldCharType="end"/>
            </w:r>
            <w:r>
              <w:rPr>
                <w:color w:val="auto"/>
                <w:sz w:val="24"/>
                <w:szCs w:val="24"/>
              </w:rPr>
              <w:t>废</w:t>
            </w:r>
            <w:r>
              <w:rPr>
                <w:rFonts w:hint="eastAsia"/>
                <w:color w:val="auto"/>
                <w:sz w:val="24"/>
                <w:szCs w:val="24"/>
              </w:rPr>
              <w:t>滤芯</w:t>
            </w:r>
            <w:r>
              <w:rPr>
                <w:color w:val="auto"/>
                <w:sz w:val="24"/>
                <w:szCs w:val="24"/>
              </w:rPr>
              <w:t>（含颗粒物）：</w:t>
            </w:r>
            <w:r>
              <w:rPr>
                <w:color w:val="auto"/>
                <w:sz w:val="24"/>
                <w:szCs w:val="24"/>
                <w:lang w:val="zh-CN"/>
              </w:rPr>
              <w:t>根据建设单位提供资料，</w:t>
            </w:r>
            <w:r>
              <w:rPr>
                <w:rFonts w:hint="eastAsia"/>
                <w:color w:val="auto"/>
                <w:sz w:val="24"/>
                <w:szCs w:val="24"/>
              </w:rPr>
              <w:t>废滤芯</w:t>
            </w:r>
            <w:r>
              <w:rPr>
                <w:color w:val="auto"/>
                <w:sz w:val="24"/>
                <w:szCs w:val="24"/>
                <w:lang w:val="zh-CN"/>
              </w:rPr>
              <w:t>更换频次为</w:t>
            </w:r>
            <w:r>
              <w:rPr>
                <w:rFonts w:hint="eastAsia"/>
                <w:color w:val="auto"/>
                <w:sz w:val="24"/>
                <w:szCs w:val="24"/>
              </w:rPr>
              <w:t>3</w:t>
            </w:r>
            <w:r>
              <w:rPr>
                <w:color w:val="auto"/>
                <w:sz w:val="24"/>
                <w:szCs w:val="24"/>
                <w:lang w:val="zh-CN"/>
              </w:rPr>
              <w:t>月/次，</w:t>
            </w:r>
            <w:r>
              <w:rPr>
                <w:rFonts w:hint="eastAsia"/>
                <w:color w:val="auto"/>
                <w:sz w:val="24"/>
                <w:szCs w:val="24"/>
              </w:rPr>
              <w:t>每次</w:t>
            </w:r>
            <w:r>
              <w:rPr>
                <w:color w:val="auto"/>
                <w:sz w:val="24"/>
                <w:szCs w:val="24"/>
                <w:lang w:val="zh-CN"/>
              </w:rPr>
              <w:t>更换</w:t>
            </w:r>
            <w:r>
              <w:rPr>
                <w:rFonts w:hint="eastAsia"/>
                <w:color w:val="auto"/>
                <w:sz w:val="24"/>
                <w:szCs w:val="24"/>
              </w:rPr>
              <w:t>滤芯约重10kg</w:t>
            </w:r>
            <w:r>
              <w:rPr>
                <w:color w:val="auto"/>
                <w:sz w:val="24"/>
                <w:szCs w:val="24"/>
                <w:lang w:val="zh-CN"/>
              </w:rPr>
              <w:t>，年吸附颗粒物共</w:t>
            </w:r>
            <w:r>
              <w:rPr>
                <w:color w:val="auto"/>
                <w:sz w:val="24"/>
                <w:szCs w:val="24"/>
              </w:rPr>
              <w:t>0.0</w:t>
            </w:r>
            <w:r>
              <w:rPr>
                <w:rFonts w:hint="eastAsia"/>
                <w:color w:val="auto"/>
                <w:sz w:val="24"/>
                <w:szCs w:val="24"/>
              </w:rPr>
              <w:t>13</w:t>
            </w:r>
            <w:r>
              <w:rPr>
                <w:color w:val="auto"/>
                <w:sz w:val="24"/>
                <w:szCs w:val="24"/>
                <w:lang w:val="zh-CN"/>
              </w:rPr>
              <w:t>t，则</w:t>
            </w:r>
            <w:r>
              <w:rPr>
                <w:rFonts w:hint="eastAsia"/>
                <w:color w:val="auto"/>
                <w:sz w:val="24"/>
                <w:szCs w:val="24"/>
              </w:rPr>
              <w:t>废滤芯</w:t>
            </w:r>
            <w:r>
              <w:rPr>
                <w:color w:val="auto"/>
                <w:sz w:val="24"/>
                <w:szCs w:val="24"/>
                <w:lang w:val="zh-CN"/>
              </w:rPr>
              <w:t>产生量为</w:t>
            </w:r>
            <w:r>
              <w:rPr>
                <w:color w:val="auto"/>
                <w:sz w:val="24"/>
                <w:szCs w:val="24"/>
              </w:rPr>
              <w:t>0.</w:t>
            </w:r>
            <w:r>
              <w:rPr>
                <w:rFonts w:hint="eastAsia"/>
                <w:color w:val="auto"/>
                <w:sz w:val="24"/>
                <w:szCs w:val="24"/>
              </w:rPr>
              <w:t>053</w:t>
            </w:r>
            <w:r>
              <w:rPr>
                <w:color w:val="auto"/>
                <w:sz w:val="24"/>
                <w:szCs w:val="24"/>
                <w:lang w:val="zh-CN"/>
              </w:rPr>
              <w:t>t/a，</w:t>
            </w:r>
            <w:r>
              <w:rPr>
                <w:rFonts w:hint="eastAsia"/>
                <w:color w:val="auto"/>
                <w:sz w:val="24"/>
                <w:szCs w:val="24"/>
              </w:rPr>
              <w:t>外售综合利用</w:t>
            </w:r>
            <w:r>
              <w:rPr>
                <w:color w:val="auto"/>
                <w:sz w:val="24"/>
                <w:szCs w:val="24"/>
              </w:rPr>
              <w:t>。</w:t>
            </w:r>
          </w:p>
          <w:p w14:paraId="5E42408C">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7 \* GB3 \* MERGEFORMAT </w:instrText>
            </w:r>
            <w:r>
              <w:rPr>
                <w:color w:val="auto"/>
                <w:sz w:val="24"/>
                <w:szCs w:val="24"/>
              </w:rPr>
              <w:fldChar w:fldCharType="separate"/>
            </w:r>
            <w:r>
              <w:rPr>
                <w:color w:val="auto"/>
              </w:rPr>
              <w:t>⑦</w:t>
            </w:r>
            <w:r>
              <w:rPr>
                <w:color w:val="auto"/>
                <w:sz w:val="24"/>
                <w:szCs w:val="24"/>
              </w:rPr>
              <w:fldChar w:fldCharType="end"/>
            </w:r>
            <w:r>
              <w:rPr>
                <w:color w:val="auto"/>
                <w:sz w:val="24"/>
                <w:szCs w:val="24"/>
              </w:rPr>
              <w:t>废</w:t>
            </w:r>
            <w:r>
              <w:rPr>
                <w:rFonts w:hint="eastAsia"/>
                <w:color w:val="auto"/>
                <w:sz w:val="24"/>
                <w:szCs w:val="24"/>
              </w:rPr>
              <w:t>油泥</w:t>
            </w:r>
            <w:r>
              <w:rPr>
                <w:color w:val="auto"/>
                <w:sz w:val="24"/>
                <w:szCs w:val="24"/>
              </w:rPr>
              <w:t>：</w:t>
            </w:r>
            <w:r>
              <w:rPr>
                <w:rFonts w:eastAsia="Times New Roman"/>
                <w:color w:val="auto"/>
                <w:sz w:val="24"/>
                <w:szCs w:val="24"/>
              </w:rPr>
              <w:t>项目使用</w:t>
            </w:r>
            <w:r>
              <w:rPr>
                <w:rFonts w:hint="eastAsia" w:eastAsia="Times New Roman"/>
                <w:color w:val="auto"/>
                <w:sz w:val="24"/>
                <w:szCs w:val="24"/>
              </w:rPr>
              <w:t>磨削液经设备自带的过滤装置过滤产生废油泥</w:t>
            </w:r>
            <w:r>
              <w:rPr>
                <w:rFonts w:eastAsia="Times New Roman"/>
                <w:color w:val="auto"/>
                <w:sz w:val="24"/>
                <w:szCs w:val="24"/>
              </w:rPr>
              <w:t>，</w:t>
            </w:r>
            <w:r>
              <w:rPr>
                <w:rFonts w:hint="eastAsia" w:eastAsia="Times New Roman"/>
                <w:color w:val="auto"/>
                <w:sz w:val="24"/>
                <w:szCs w:val="24"/>
              </w:rPr>
              <w:t>产生量约3t/a</w:t>
            </w:r>
            <w:r>
              <w:rPr>
                <w:rFonts w:eastAsia="Times New Roman"/>
                <w:color w:val="auto"/>
                <w:sz w:val="24"/>
                <w:szCs w:val="24"/>
              </w:rPr>
              <w:t>委托有资质单位处置</w:t>
            </w:r>
            <w:r>
              <w:rPr>
                <w:color w:val="auto"/>
                <w:sz w:val="24"/>
                <w:szCs w:val="24"/>
              </w:rPr>
              <w:t>。</w:t>
            </w:r>
          </w:p>
          <w:p w14:paraId="0F7E8BEC">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8 \* GB3 \* MERGEFORMAT </w:instrText>
            </w:r>
            <w:r>
              <w:rPr>
                <w:color w:val="auto"/>
                <w:sz w:val="24"/>
                <w:szCs w:val="24"/>
              </w:rPr>
              <w:fldChar w:fldCharType="separate"/>
            </w:r>
            <w:r>
              <w:rPr>
                <w:color w:val="auto"/>
              </w:rPr>
              <w:t>⑧</w:t>
            </w:r>
            <w:r>
              <w:rPr>
                <w:color w:val="auto"/>
                <w:sz w:val="24"/>
                <w:szCs w:val="24"/>
              </w:rPr>
              <w:fldChar w:fldCharType="end"/>
            </w:r>
            <w:r>
              <w:rPr>
                <w:color w:val="auto"/>
                <w:sz w:val="24"/>
                <w:szCs w:val="24"/>
              </w:rPr>
              <w:t>清洗废液：</w:t>
            </w:r>
            <w:r>
              <w:rPr>
                <w:rFonts w:hint="eastAsia"/>
                <w:color w:val="auto"/>
                <w:sz w:val="24"/>
                <w:szCs w:val="24"/>
              </w:rPr>
              <w:t>不能保证清洗效果的</w:t>
            </w:r>
            <w:r>
              <w:rPr>
                <w:rFonts w:hint="eastAsia"/>
                <w:color w:val="auto"/>
                <w:sz w:val="24"/>
                <w:szCs w:val="24"/>
                <w:lang w:val="en-US" w:eastAsia="zh-CN"/>
              </w:rPr>
              <w:t>白油</w:t>
            </w:r>
            <w:r>
              <w:rPr>
                <w:rFonts w:hint="eastAsia"/>
                <w:color w:val="auto"/>
                <w:sz w:val="24"/>
                <w:szCs w:val="24"/>
              </w:rPr>
              <w:t>作为废液处理，根据物料平衡，清洗废液</w:t>
            </w:r>
            <w:r>
              <w:rPr>
                <w:color w:val="auto"/>
                <w:sz w:val="24"/>
                <w:szCs w:val="24"/>
              </w:rPr>
              <w:t>产生量</w:t>
            </w:r>
            <w:r>
              <w:rPr>
                <w:rFonts w:eastAsia="Times New Roman"/>
                <w:color w:val="auto"/>
                <w:sz w:val="24"/>
                <w:szCs w:val="24"/>
              </w:rPr>
              <w:t>为</w:t>
            </w:r>
            <w:r>
              <w:rPr>
                <w:rFonts w:hint="eastAsia" w:eastAsia="Times New Roman"/>
                <w:color w:val="auto"/>
                <w:sz w:val="24"/>
                <w:szCs w:val="24"/>
              </w:rPr>
              <w:t>0.5</w:t>
            </w:r>
            <w:r>
              <w:rPr>
                <w:rFonts w:eastAsia="Times New Roman"/>
                <w:color w:val="auto"/>
                <w:sz w:val="24"/>
                <w:szCs w:val="24"/>
              </w:rPr>
              <w:t>t/a，委托有资质单位处置</w:t>
            </w:r>
            <w:r>
              <w:rPr>
                <w:color w:val="auto"/>
                <w:sz w:val="24"/>
                <w:szCs w:val="24"/>
              </w:rPr>
              <w:t>。</w:t>
            </w:r>
          </w:p>
          <w:p w14:paraId="7F8A67BB">
            <w:pPr>
              <w:tabs>
                <w:tab w:val="left" w:pos="5142"/>
              </w:tabs>
              <w:spacing w:line="360" w:lineRule="auto"/>
              <w:ind w:firstLine="480" w:firstLineChars="200"/>
              <w:jc w:val="left"/>
              <w:rPr>
                <w:color w:val="auto"/>
                <w:sz w:val="24"/>
                <w:szCs w:val="24"/>
              </w:rPr>
            </w:pPr>
            <w:r>
              <w:rPr>
                <w:rFonts w:hint="eastAsia"/>
                <w:color w:val="auto"/>
                <w:sz w:val="24"/>
                <w:szCs w:val="24"/>
              </w:rPr>
              <w:fldChar w:fldCharType="begin"/>
            </w:r>
            <w:r>
              <w:rPr>
                <w:rFonts w:hint="eastAsia"/>
                <w:color w:val="auto"/>
                <w:sz w:val="24"/>
                <w:szCs w:val="24"/>
              </w:rPr>
              <w:instrText xml:space="preserve"> = 9 \* GB3 \* MERGEFORMAT </w:instrText>
            </w:r>
            <w:r>
              <w:rPr>
                <w:rFonts w:hint="eastAsia"/>
                <w:color w:val="auto"/>
                <w:sz w:val="24"/>
                <w:szCs w:val="24"/>
              </w:rPr>
              <w:fldChar w:fldCharType="separate"/>
            </w:r>
            <w:r>
              <w:rPr>
                <w:color w:val="auto"/>
              </w:rPr>
              <w:t>⑨</w:t>
            </w:r>
            <w:r>
              <w:rPr>
                <w:rFonts w:hint="eastAsia"/>
                <w:color w:val="auto"/>
                <w:sz w:val="24"/>
                <w:szCs w:val="24"/>
              </w:rPr>
              <w:fldChar w:fldCharType="end"/>
            </w:r>
            <w:r>
              <w:rPr>
                <w:rFonts w:hint="eastAsia"/>
                <w:color w:val="auto"/>
                <w:sz w:val="24"/>
                <w:szCs w:val="24"/>
              </w:rPr>
              <w:t>生活垃圾：</w:t>
            </w:r>
            <w:r>
              <w:rPr>
                <w:color w:val="auto"/>
                <w:sz w:val="24"/>
                <w:szCs w:val="24"/>
              </w:rPr>
              <w:t>本项目员工人数</w:t>
            </w:r>
            <w:r>
              <w:rPr>
                <w:rFonts w:hint="eastAsia"/>
                <w:color w:val="auto"/>
                <w:sz w:val="24"/>
                <w:szCs w:val="24"/>
              </w:rPr>
              <w:t>260</w:t>
            </w:r>
            <w:r>
              <w:rPr>
                <w:color w:val="auto"/>
                <w:sz w:val="24"/>
                <w:szCs w:val="24"/>
              </w:rPr>
              <w:t>人，生活办公产生生活垃圾，根据《第一次全国污染源普查城镇生活源产排污系数手册》第一部分表二中的数据，三类城市二区居民生活垃圾产生量0.51kg/人·d，本项目取值0.5kg/人·d，则生活垃圾产生量</w:t>
            </w:r>
            <w:r>
              <w:rPr>
                <w:rFonts w:hint="eastAsia"/>
                <w:color w:val="auto"/>
                <w:sz w:val="24"/>
                <w:szCs w:val="24"/>
              </w:rPr>
              <w:t>39</w:t>
            </w:r>
            <w:r>
              <w:rPr>
                <w:color w:val="auto"/>
                <w:sz w:val="24"/>
                <w:szCs w:val="24"/>
              </w:rPr>
              <w:t>t/a，由环卫部门统一处置</w:t>
            </w:r>
            <w:r>
              <w:rPr>
                <w:rFonts w:hint="eastAsia"/>
                <w:color w:val="auto"/>
                <w:sz w:val="24"/>
                <w:szCs w:val="24"/>
              </w:rPr>
              <w:t>。</w:t>
            </w:r>
          </w:p>
          <w:p w14:paraId="16CF7E5B">
            <w:pPr>
              <w:spacing w:line="360" w:lineRule="auto"/>
              <w:ind w:firstLine="480" w:firstLineChars="200"/>
              <w:rPr>
                <w:color w:val="auto"/>
                <w:sz w:val="24"/>
                <w:szCs w:val="24"/>
              </w:rPr>
            </w:pPr>
            <w:r>
              <w:rPr>
                <w:rFonts w:hint="eastAsia"/>
                <w:color w:val="auto"/>
                <w:sz w:val="24"/>
                <w:szCs w:val="24"/>
              </w:rPr>
              <w:fldChar w:fldCharType="begin"/>
            </w:r>
            <w:r>
              <w:rPr>
                <w:rFonts w:hint="eastAsia"/>
                <w:color w:val="auto"/>
                <w:sz w:val="24"/>
                <w:szCs w:val="24"/>
              </w:rPr>
              <w:instrText xml:space="preserve"> = 10 \* GB3 \* MERGEFORMAT </w:instrText>
            </w:r>
            <w:r>
              <w:rPr>
                <w:rFonts w:hint="eastAsia"/>
                <w:color w:val="auto"/>
                <w:sz w:val="24"/>
                <w:szCs w:val="24"/>
              </w:rPr>
              <w:fldChar w:fldCharType="separate"/>
            </w:r>
            <w:r>
              <w:rPr>
                <w:color w:val="auto"/>
              </w:rPr>
              <w:t>⑩</w:t>
            </w:r>
            <w:r>
              <w:rPr>
                <w:rFonts w:hint="eastAsia"/>
                <w:color w:val="auto"/>
                <w:sz w:val="24"/>
                <w:szCs w:val="24"/>
              </w:rPr>
              <w:fldChar w:fldCharType="end"/>
            </w:r>
            <w:r>
              <w:rPr>
                <w:rFonts w:hint="eastAsia"/>
                <w:color w:val="auto"/>
                <w:sz w:val="24"/>
                <w:szCs w:val="24"/>
              </w:rPr>
              <w:t>废油：</w:t>
            </w:r>
            <w:r>
              <w:rPr>
                <w:rFonts w:hint="eastAsia"/>
                <w:color w:val="auto"/>
                <w:sz w:val="24"/>
                <w:szCs w:val="24"/>
                <w:lang w:val="en-US" w:eastAsia="zh-CN"/>
              </w:rPr>
              <w:t>隔油池清理产生废油，</w:t>
            </w:r>
            <w:r>
              <w:rPr>
                <w:rFonts w:hint="eastAsia"/>
                <w:color w:val="auto"/>
                <w:sz w:val="24"/>
                <w:szCs w:val="24"/>
              </w:rPr>
              <w:t>根据物料衡算，项目废油产生量为0.15t/a</w:t>
            </w:r>
            <w:r>
              <w:rPr>
                <w:rFonts w:hint="eastAsia"/>
                <w:color w:val="auto"/>
                <w:sz w:val="24"/>
                <w:szCs w:val="24"/>
                <w:lang w:eastAsia="zh-CN"/>
              </w:rPr>
              <w:t>，</w:t>
            </w:r>
            <w:r>
              <w:rPr>
                <w:rFonts w:hint="eastAsia"/>
                <w:color w:val="auto"/>
                <w:sz w:val="24"/>
                <w:szCs w:val="24"/>
                <w:lang w:val="en-US" w:eastAsia="zh-CN"/>
              </w:rPr>
              <w:t>委托专业单位处理</w:t>
            </w:r>
            <w:r>
              <w:rPr>
                <w:rFonts w:hint="eastAsia"/>
                <w:color w:val="auto"/>
                <w:sz w:val="24"/>
                <w:szCs w:val="24"/>
              </w:rPr>
              <w:t>；</w:t>
            </w:r>
          </w:p>
          <w:p w14:paraId="1F624B7C">
            <w:pPr>
              <w:spacing w:line="360" w:lineRule="auto"/>
              <w:ind w:firstLine="480" w:firstLineChars="200"/>
              <w:rPr>
                <w:rFonts w:hint="eastAsia"/>
                <w:color w:val="auto"/>
                <w:sz w:val="24"/>
                <w:szCs w:val="24"/>
              </w:rPr>
            </w:pPr>
            <w:r>
              <w:rPr>
                <w:rFonts w:hint="eastAsia"/>
                <w:color w:val="auto"/>
                <w:sz w:val="24"/>
                <w:szCs w:val="24"/>
              </w:rPr>
              <w:t>⑪</w:t>
            </w:r>
            <w:r>
              <w:rPr>
                <w:rFonts w:hint="eastAsia"/>
                <w:color w:val="auto"/>
                <w:sz w:val="24"/>
                <w:szCs w:val="24"/>
                <w:lang w:eastAsia="zh-CN"/>
              </w:rPr>
              <w:t>磨削灰</w:t>
            </w:r>
            <w:r>
              <w:rPr>
                <w:rFonts w:hint="eastAsia"/>
                <w:color w:val="auto"/>
                <w:sz w:val="24"/>
                <w:szCs w:val="24"/>
              </w:rPr>
              <w:t>：根据企业的经验数据，</w:t>
            </w:r>
            <w:r>
              <w:rPr>
                <w:rFonts w:hint="eastAsia"/>
                <w:color w:val="auto"/>
                <w:sz w:val="24"/>
                <w:szCs w:val="24"/>
                <w:lang w:val="en-US" w:eastAsia="zh-CN"/>
              </w:rPr>
              <w:t>磨削灰</w:t>
            </w:r>
            <w:r>
              <w:rPr>
                <w:rFonts w:hint="eastAsia"/>
                <w:color w:val="auto"/>
                <w:sz w:val="24"/>
                <w:szCs w:val="24"/>
              </w:rPr>
              <w:t>产生量为2t/a，委托有资质单位处置。</w:t>
            </w:r>
          </w:p>
          <w:p w14:paraId="786586C7">
            <w:pPr>
              <w:spacing w:line="360" w:lineRule="auto"/>
              <w:ind w:firstLine="480" w:firstLineChars="200"/>
              <w:rPr>
                <w:rFonts w:hint="eastAsia"/>
                <w:color w:val="auto"/>
                <w:sz w:val="24"/>
                <w:szCs w:val="24"/>
                <w:lang w:val="en-US" w:eastAsia="zh-CN"/>
              </w:rPr>
            </w:pPr>
            <w:r>
              <w:rPr>
                <w:rFonts w:hint="eastAsia"/>
                <w:color w:val="auto"/>
                <w:sz w:val="24"/>
                <w:szCs w:val="24"/>
              </w:rPr>
              <w:t>⑫</w:t>
            </w:r>
            <w:r>
              <w:rPr>
                <w:rFonts w:hint="eastAsia"/>
                <w:color w:val="auto"/>
                <w:sz w:val="24"/>
                <w:szCs w:val="24"/>
                <w:lang w:val="en-US" w:eastAsia="zh-CN"/>
              </w:rPr>
              <w:t>废包装袋：根据企业提供的经验数据，废包装袋产生量为0.2t/a，外售综合利用。</w:t>
            </w:r>
          </w:p>
          <w:p w14:paraId="06092503">
            <w:pPr>
              <w:spacing w:line="360" w:lineRule="auto"/>
              <w:ind w:firstLine="480" w:firstLineChars="200"/>
              <w:rPr>
                <w:rFonts w:hint="default" w:eastAsia="宋体"/>
                <w:color w:val="auto"/>
                <w:sz w:val="24"/>
                <w:szCs w:val="24"/>
                <w:lang w:val="en-US" w:eastAsia="zh-CN"/>
              </w:rPr>
            </w:pPr>
            <w:r>
              <w:rPr>
                <w:rFonts w:hint="eastAsia"/>
                <w:color w:val="auto"/>
                <w:sz w:val="24"/>
                <w:szCs w:val="24"/>
              </w:rPr>
              <w:t>⑬</w:t>
            </w:r>
            <w:r>
              <w:rPr>
                <w:rFonts w:hint="eastAsia"/>
                <w:color w:val="auto"/>
                <w:sz w:val="24"/>
                <w:szCs w:val="24"/>
                <w:lang w:val="en-US" w:eastAsia="zh-CN"/>
              </w:rPr>
              <w:t>废机油：项目使用机油，产生废机油约1t/a，委托有资质单位处置。</w:t>
            </w:r>
          </w:p>
          <w:p w14:paraId="4E2E63AD">
            <w:pPr>
              <w:spacing w:line="360" w:lineRule="auto"/>
              <w:ind w:firstLine="480" w:firstLineChars="200"/>
              <w:rPr>
                <w:color w:val="auto"/>
                <w:sz w:val="24"/>
                <w:szCs w:val="24"/>
              </w:rPr>
            </w:pPr>
            <w:r>
              <w:rPr>
                <w:color w:val="auto"/>
                <w:sz w:val="24"/>
                <w:szCs w:val="24"/>
              </w:rPr>
              <w:t>4.1.4固体废物分析结果汇总</w:t>
            </w:r>
          </w:p>
          <w:p w14:paraId="70E0F255">
            <w:pPr>
              <w:jc w:val="center"/>
              <w:rPr>
                <w:rFonts w:eastAsia="仿宋"/>
                <w:b/>
                <w:bCs/>
                <w:color w:val="auto"/>
                <w:kern w:val="0"/>
                <w:sz w:val="18"/>
                <w:szCs w:val="18"/>
                <w:lang w:bidi="ar"/>
              </w:rPr>
            </w:pPr>
            <w:r>
              <w:rPr>
                <w:b/>
                <w:bCs/>
                <w:color w:val="auto"/>
                <w:sz w:val="24"/>
              </w:rPr>
              <w:t>表4-2</w:t>
            </w:r>
            <w:r>
              <w:rPr>
                <w:rFonts w:hint="eastAsia"/>
                <w:b/>
                <w:bCs/>
                <w:color w:val="auto"/>
                <w:sz w:val="24"/>
              </w:rPr>
              <w:t xml:space="preserve">5  </w:t>
            </w:r>
            <w:r>
              <w:rPr>
                <w:b/>
                <w:bCs/>
                <w:color w:val="auto"/>
                <w:sz w:val="24"/>
              </w:rPr>
              <w:t>固体废物分析结果汇总</w:t>
            </w:r>
          </w:p>
          <w:tbl>
            <w:tblPr>
              <w:tblStyle w:val="23"/>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1"/>
              <w:gridCol w:w="647"/>
              <w:gridCol w:w="793"/>
              <w:gridCol w:w="643"/>
              <w:gridCol w:w="846"/>
              <w:gridCol w:w="729"/>
              <w:gridCol w:w="643"/>
              <w:gridCol w:w="846"/>
              <w:gridCol w:w="868"/>
              <w:gridCol w:w="801"/>
              <w:gridCol w:w="753"/>
            </w:tblGrid>
            <w:tr w14:paraId="1A1D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30DD3186">
                  <w:pPr>
                    <w:jc w:val="center"/>
                    <w:rPr>
                      <w:b/>
                      <w:bCs/>
                      <w:color w:val="auto"/>
                    </w:rPr>
                  </w:pPr>
                  <w:r>
                    <w:rPr>
                      <w:b/>
                      <w:bCs/>
                      <w:color w:val="auto"/>
                    </w:rPr>
                    <w:t>编号</w:t>
                  </w:r>
                </w:p>
              </w:tc>
              <w:tc>
                <w:tcPr>
                  <w:tcW w:w="751" w:type="dxa"/>
                  <w:vAlign w:val="center"/>
                </w:tcPr>
                <w:p w14:paraId="4F9DF60C">
                  <w:pPr>
                    <w:jc w:val="center"/>
                    <w:rPr>
                      <w:b/>
                      <w:bCs/>
                      <w:color w:val="auto"/>
                    </w:rPr>
                  </w:pPr>
                  <w:r>
                    <w:rPr>
                      <w:b/>
                      <w:bCs/>
                      <w:color w:val="auto"/>
                    </w:rPr>
                    <w:t>固废名称</w:t>
                  </w:r>
                </w:p>
              </w:tc>
              <w:tc>
                <w:tcPr>
                  <w:tcW w:w="647" w:type="dxa"/>
                  <w:vAlign w:val="center"/>
                </w:tcPr>
                <w:p w14:paraId="6A0421C3">
                  <w:pPr>
                    <w:jc w:val="center"/>
                    <w:rPr>
                      <w:b/>
                      <w:bCs/>
                      <w:color w:val="auto"/>
                    </w:rPr>
                  </w:pPr>
                  <w:r>
                    <w:rPr>
                      <w:b/>
                      <w:bCs/>
                      <w:color w:val="auto"/>
                    </w:rPr>
                    <w:t>属性</w:t>
                  </w:r>
                </w:p>
              </w:tc>
              <w:tc>
                <w:tcPr>
                  <w:tcW w:w="793" w:type="dxa"/>
                  <w:vAlign w:val="center"/>
                </w:tcPr>
                <w:p w14:paraId="4911F4AF">
                  <w:pPr>
                    <w:jc w:val="center"/>
                    <w:rPr>
                      <w:b/>
                      <w:bCs/>
                      <w:color w:val="auto"/>
                    </w:rPr>
                  </w:pPr>
                  <w:r>
                    <w:rPr>
                      <w:b/>
                      <w:bCs/>
                      <w:color w:val="auto"/>
                    </w:rPr>
                    <w:t>产生工序</w:t>
                  </w:r>
                </w:p>
              </w:tc>
              <w:tc>
                <w:tcPr>
                  <w:tcW w:w="643" w:type="dxa"/>
                  <w:vAlign w:val="center"/>
                </w:tcPr>
                <w:p w14:paraId="2D8793A3">
                  <w:pPr>
                    <w:jc w:val="center"/>
                    <w:rPr>
                      <w:b/>
                      <w:bCs/>
                      <w:color w:val="auto"/>
                    </w:rPr>
                  </w:pPr>
                  <w:r>
                    <w:rPr>
                      <w:b/>
                      <w:bCs/>
                      <w:color w:val="auto"/>
                    </w:rPr>
                    <w:t>形态</w:t>
                  </w:r>
                </w:p>
              </w:tc>
              <w:tc>
                <w:tcPr>
                  <w:tcW w:w="846" w:type="dxa"/>
                  <w:vAlign w:val="center"/>
                </w:tcPr>
                <w:p w14:paraId="602B37BF">
                  <w:pPr>
                    <w:jc w:val="center"/>
                    <w:rPr>
                      <w:b/>
                      <w:bCs/>
                      <w:color w:val="auto"/>
                    </w:rPr>
                  </w:pPr>
                  <w:r>
                    <w:rPr>
                      <w:b/>
                      <w:bCs/>
                      <w:color w:val="auto"/>
                    </w:rPr>
                    <w:t>主要成分</w:t>
                  </w:r>
                </w:p>
              </w:tc>
              <w:tc>
                <w:tcPr>
                  <w:tcW w:w="729" w:type="dxa"/>
                  <w:vAlign w:val="center"/>
                </w:tcPr>
                <w:p w14:paraId="58545993">
                  <w:pPr>
                    <w:jc w:val="center"/>
                    <w:rPr>
                      <w:b/>
                      <w:bCs/>
                      <w:color w:val="auto"/>
                    </w:rPr>
                  </w:pPr>
                  <w:r>
                    <w:rPr>
                      <w:b/>
                      <w:bCs/>
                      <w:color w:val="auto"/>
                    </w:rPr>
                    <w:t>危险特性鉴别方法</w:t>
                  </w:r>
                </w:p>
              </w:tc>
              <w:tc>
                <w:tcPr>
                  <w:tcW w:w="643" w:type="dxa"/>
                  <w:vAlign w:val="center"/>
                </w:tcPr>
                <w:p w14:paraId="7BAA989E">
                  <w:pPr>
                    <w:jc w:val="center"/>
                    <w:rPr>
                      <w:b/>
                      <w:bCs/>
                      <w:color w:val="auto"/>
                    </w:rPr>
                  </w:pPr>
                  <w:r>
                    <w:rPr>
                      <w:b/>
                      <w:bCs/>
                      <w:color w:val="auto"/>
                    </w:rPr>
                    <w:t>危险特性</w:t>
                  </w:r>
                </w:p>
              </w:tc>
              <w:tc>
                <w:tcPr>
                  <w:tcW w:w="846" w:type="dxa"/>
                  <w:vAlign w:val="center"/>
                </w:tcPr>
                <w:p w14:paraId="5CA3E5B5">
                  <w:pPr>
                    <w:jc w:val="center"/>
                    <w:rPr>
                      <w:b/>
                      <w:bCs/>
                      <w:color w:val="auto"/>
                    </w:rPr>
                  </w:pPr>
                  <w:r>
                    <w:rPr>
                      <w:b/>
                      <w:bCs/>
                      <w:color w:val="auto"/>
                    </w:rPr>
                    <w:t>废物类别</w:t>
                  </w:r>
                </w:p>
              </w:tc>
              <w:tc>
                <w:tcPr>
                  <w:tcW w:w="868" w:type="dxa"/>
                  <w:vAlign w:val="center"/>
                </w:tcPr>
                <w:p w14:paraId="4742B1F8">
                  <w:pPr>
                    <w:jc w:val="center"/>
                    <w:rPr>
                      <w:b/>
                      <w:bCs/>
                      <w:color w:val="auto"/>
                    </w:rPr>
                  </w:pPr>
                  <w:r>
                    <w:rPr>
                      <w:b/>
                      <w:bCs/>
                      <w:color w:val="auto"/>
                    </w:rPr>
                    <w:t>废物代码</w:t>
                  </w:r>
                </w:p>
              </w:tc>
              <w:tc>
                <w:tcPr>
                  <w:tcW w:w="801" w:type="dxa"/>
                  <w:vAlign w:val="center"/>
                </w:tcPr>
                <w:p w14:paraId="382810B9">
                  <w:pPr>
                    <w:jc w:val="center"/>
                    <w:rPr>
                      <w:b/>
                      <w:bCs/>
                      <w:color w:val="auto"/>
                    </w:rPr>
                  </w:pPr>
                  <w:r>
                    <w:rPr>
                      <w:b/>
                      <w:bCs/>
                      <w:color w:val="auto"/>
                    </w:rPr>
                    <w:t>估算产生量</w:t>
                  </w:r>
                  <w:r>
                    <w:rPr>
                      <w:rFonts w:hint="eastAsia"/>
                      <w:b/>
                      <w:bCs/>
                      <w:color w:val="auto"/>
                    </w:rPr>
                    <w:t>（t/a）</w:t>
                  </w:r>
                </w:p>
              </w:tc>
              <w:tc>
                <w:tcPr>
                  <w:tcW w:w="753" w:type="dxa"/>
                  <w:vAlign w:val="center"/>
                </w:tcPr>
                <w:p w14:paraId="7FD90804">
                  <w:pPr>
                    <w:jc w:val="center"/>
                    <w:rPr>
                      <w:b/>
                      <w:bCs/>
                      <w:color w:val="auto"/>
                    </w:rPr>
                  </w:pPr>
                  <w:r>
                    <w:rPr>
                      <w:b/>
                      <w:bCs/>
                      <w:color w:val="auto"/>
                    </w:rPr>
                    <w:t>利用处置方式</w:t>
                  </w:r>
                </w:p>
              </w:tc>
            </w:tr>
            <w:tr w14:paraId="5A6B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4F167134">
                  <w:pPr>
                    <w:jc w:val="center"/>
                    <w:rPr>
                      <w:color w:val="auto"/>
                      <w:kern w:val="0"/>
                    </w:rPr>
                  </w:pPr>
                  <w:r>
                    <w:rPr>
                      <w:color w:val="auto"/>
                    </w:rPr>
                    <w:t>S1、S6、S</w:t>
                  </w:r>
                  <w:r>
                    <w:rPr>
                      <w:rFonts w:hint="eastAsia"/>
                      <w:color w:val="auto"/>
                    </w:rPr>
                    <w:t>7</w:t>
                  </w:r>
                </w:p>
              </w:tc>
              <w:tc>
                <w:tcPr>
                  <w:tcW w:w="751" w:type="dxa"/>
                  <w:vAlign w:val="center"/>
                </w:tcPr>
                <w:p w14:paraId="7B6FFD9F">
                  <w:pPr>
                    <w:spacing w:line="0" w:lineRule="atLeast"/>
                    <w:jc w:val="center"/>
                    <w:rPr>
                      <w:color w:val="auto"/>
                      <w:kern w:val="0"/>
                    </w:rPr>
                  </w:pPr>
                  <w:r>
                    <w:rPr>
                      <w:color w:val="auto"/>
                      <w:kern w:val="0"/>
                    </w:rPr>
                    <w:t>边角料</w:t>
                  </w:r>
                </w:p>
              </w:tc>
              <w:tc>
                <w:tcPr>
                  <w:tcW w:w="647" w:type="dxa"/>
                  <w:vMerge w:val="restart"/>
                  <w:vAlign w:val="center"/>
                </w:tcPr>
                <w:p w14:paraId="3BBBE908">
                  <w:pPr>
                    <w:spacing w:line="0" w:lineRule="atLeast"/>
                    <w:jc w:val="center"/>
                    <w:rPr>
                      <w:color w:val="auto"/>
                      <w:kern w:val="0"/>
                    </w:rPr>
                  </w:pPr>
                  <w:r>
                    <w:rPr>
                      <w:color w:val="auto"/>
                      <w:kern w:val="0"/>
                    </w:rPr>
                    <w:t>一般固废</w:t>
                  </w:r>
                </w:p>
              </w:tc>
              <w:tc>
                <w:tcPr>
                  <w:tcW w:w="793" w:type="dxa"/>
                  <w:vAlign w:val="center"/>
                </w:tcPr>
                <w:p w14:paraId="3977A4C0">
                  <w:pPr>
                    <w:widowControl/>
                    <w:jc w:val="center"/>
                    <w:textAlignment w:val="center"/>
                    <w:rPr>
                      <w:rFonts w:hint="default" w:eastAsia="宋体"/>
                      <w:color w:val="auto"/>
                      <w:kern w:val="0"/>
                      <w:lang w:val="en-US" w:eastAsia="zh-CN"/>
                    </w:rPr>
                  </w:pPr>
                  <w:r>
                    <w:rPr>
                      <w:rFonts w:hint="eastAsia" w:ascii="宋体" w:hAnsi="宋体" w:cs="宋体"/>
                      <w:color w:val="auto"/>
                      <w:kern w:val="0"/>
                      <w:lang w:bidi="ar"/>
                    </w:rPr>
                    <w:t>下料、铰孔</w:t>
                  </w:r>
                  <w:r>
                    <w:rPr>
                      <w:rFonts w:hint="eastAsia" w:ascii="宋体" w:hAnsi="宋体" w:cs="宋体"/>
                      <w:color w:val="auto"/>
                      <w:kern w:val="0"/>
                      <w:lang w:eastAsia="zh-CN" w:bidi="ar"/>
                    </w:rPr>
                    <w:t>、</w:t>
                  </w:r>
                  <w:r>
                    <w:rPr>
                      <w:rFonts w:hint="eastAsia" w:ascii="宋体" w:hAnsi="宋体" w:cs="宋体"/>
                      <w:color w:val="auto"/>
                      <w:kern w:val="0"/>
                      <w:lang w:val="en-US" w:eastAsia="zh-CN" w:bidi="ar"/>
                    </w:rPr>
                    <w:t>刻字</w:t>
                  </w:r>
                </w:p>
              </w:tc>
              <w:tc>
                <w:tcPr>
                  <w:tcW w:w="643" w:type="dxa"/>
                  <w:vAlign w:val="center"/>
                </w:tcPr>
                <w:p w14:paraId="42185E34">
                  <w:pPr>
                    <w:jc w:val="center"/>
                    <w:rPr>
                      <w:color w:val="auto"/>
                      <w:kern w:val="0"/>
                    </w:rPr>
                  </w:pPr>
                  <w:r>
                    <w:rPr>
                      <w:color w:val="auto"/>
                    </w:rPr>
                    <w:t>固态</w:t>
                  </w:r>
                </w:p>
              </w:tc>
              <w:tc>
                <w:tcPr>
                  <w:tcW w:w="846" w:type="dxa"/>
                  <w:vAlign w:val="center"/>
                </w:tcPr>
                <w:p w14:paraId="77A10A58">
                  <w:pPr>
                    <w:jc w:val="center"/>
                    <w:rPr>
                      <w:color w:val="auto"/>
                      <w:kern w:val="0"/>
                    </w:rPr>
                  </w:pPr>
                  <w:r>
                    <w:rPr>
                      <w:rFonts w:hint="eastAsia"/>
                      <w:color w:val="auto"/>
                    </w:rPr>
                    <w:t>金属</w:t>
                  </w:r>
                </w:p>
              </w:tc>
              <w:tc>
                <w:tcPr>
                  <w:tcW w:w="729" w:type="dxa"/>
                  <w:vMerge w:val="restart"/>
                  <w:vAlign w:val="center"/>
                </w:tcPr>
                <w:p w14:paraId="20B935F3">
                  <w:pPr>
                    <w:spacing w:line="0" w:lineRule="atLeast"/>
                    <w:jc w:val="center"/>
                    <w:rPr>
                      <w:color w:val="auto"/>
                      <w:kern w:val="0"/>
                    </w:rPr>
                  </w:pPr>
                  <w:r>
                    <w:rPr>
                      <w:rFonts w:hint="eastAsia"/>
                      <w:color w:val="auto"/>
                      <w:kern w:val="0"/>
                    </w:rPr>
                    <w:t>/</w:t>
                  </w:r>
                </w:p>
              </w:tc>
              <w:tc>
                <w:tcPr>
                  <w:tcW w:w="643" w:type="dxa"/>
                  <w:vMerge w:val="restart"/>
                  <w:vAlign w:val="center"/>
                </w:tcPr>
                <w:p w14:paraId="007CA052">
                  <w:pPr>
                    <w:spacing w:line="0" w:lineRule="atLeast"/>
                    <w:jc w:val="center"/>
                    <w:rPr>
                      <w:color w:val="auto"/>
                      <w:kern w:val="0"/>
                    </w:rPr>
                  </w:pPr>
                  <w:r>
                    <w:rPr>
                      <w:color w:val="auto"/>
                      <w:kern w:val="0"/>
                    </w:rPr>
                    <w:t>/</w:t>
                  </w:r>
                </w:p>
              </w:tc>
              <w:tc>
                <w:tcPr>
                  <w:tcW w:w="846" w:type="dxa"/>
                  <w:vAlign w:val="center"/>
                </w:tcPr>
                <w:p w14:paraId="4074FF2A">
                  <w:pPr>
                    <w:spacing w:line="0" w:lineRule="atLeast"/>
                    <w:jc w:val="center"/>
                    <w:rPr>
                      <w:color w:val="auto"/>
                      <w:kern w:val="0"/>
                    </w:rPr>
                  </w:pPr>
                  <w:r>
                    <w:rPr>
                      <w:rFonts w:hint="eastAsia"/>
                      <w:color w:val="auto"/>
                      <w:kern w:val="0"/>
                    </w:rPr>
                    <w:t>SW17</w:t>
                  </w:r>
                </w:p>
              </w:tc>
              <w:tc>
                <w:tcPr>
                  <w:tcW w:w="868" w:type="dxa"/>
                  <w:vAlign w:val="center"/>
                </w:tcPr>
                <w:p w14:paraId="4D09806B">
                  <w:pPr>
                    <w:spacing w:line="0" w:lineRule="atLeast"/>
                    <w:jc w:val="center"/>
                    <w:rPr>
                      <w:color w:val="auto"/>
                      <w:kern w:val="0"/>
                    </w:rPr>
                  </w:pPr>
                  <w:r>
                    <w:rPr>
                      <w:rFonts w:hint="eastAsia"/>
                      <w:color w:val="auto"/>
                      <w:kern w:val="0"/>
                    </w:rPr>
                    <w:t>900-001-S17</w:t>
                  </w:r>
                </w:p>
              </w:tc>
              <w:tc>
                <w:tcPr>
                  <w:tcW w:w="801" w:type="dxa"/>
                  <w:vAlign w:val="center"/>
                </w:tcPr>
                <w:p w14:paraId="01FB8F83">
                  <w:pPr>
                    <w:spacing w:line="0" w:lineRule="atLeast"/>
                    <w:jc w:val="center"/>
                    <w:rPr>
                      <w:color w:val="auto"/>
                      <w:kern w:val="0"/>
                    </w:rPr>
                  </w:pPr>
                  <w:r>
                    <w:rPr>
                      <w:rFonts w:hint="eastAsia"/>
                      <w:color w:val="auto"/>
                      <w:kern w:val="0"/>
                    </w:rPr>
                    <w:t>65</w:t>
                  </w:r>
                </w:p>
              </w:tc>
              <w:tc>
                <w:tcPr>
                  <w:tcW w:w="753" w:type="dxa"/>
                  <w:vMerge w:val="restart"/>
                  <w:vAlign w:val="center"/>
                </w:tcPr>
                <w:p w14:paraId="371E7959">
                  <w:pPr>
                    <w:spacing w:line="0" w:lineRule="atLeast"/>
                    <w:jc w:val="center"/>
                    <w:rPr>
                      <w:color w:val="auto"/>
                      <w:kern w:val="0"/>
                    </w:rPr>
                  </w:pPr>
                  <w:r>
                    <w:rPr>
                      <w:rFonts w:hint="eastAsia"/>
                      <w:color w:val="auto"/>
                      <w:kern w:val="0"/>
                    </w:rPr>
                    <w:t>外售综合利用</w:t>
                  </w:r>
                </w:p>
              </w:tc>
            </w:tr>
            <w:tr w14:paraId="2F96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51" w:type="dxa"/>
                  <w:vAlign w:val="center"/>
                </w:tcPr>
                <w:p w14:paraId="68D8433E">
                  <w:pPr>
                    <w:jc w:val="center"/>
                    <w:rPr>
                      <w:color w:val="auto"/>
                      <w:kern w:val="0"/>
                    </w:rPr>
                  </w:pPr>
                  <w:r>
                    <w:rPr>
                      <w:color w:val="auto"/>
                    </w:rPr>
                    <w:t>S4</w:t>
                  </w:r>
                </w:p>
              </w:tc>
              <w:tc>
                <w:tcPr>
                  <w:tcW w:w="751" w:type="dxa"/>
                  <w:vAlign w:val="center"/>
                </w:tcPr>
                <w:p w14:paraId="45ECA089">
                  <w:pPr>
                    <w:spacing w:line="0" w:lineRule="atLeast"/>
                    <w:jc w:val="center"/>
                    <w:rPr>
                      <w:color w:val="auto"/>
                      <w:kern w:val="0"/>
                    </w:rPr>
                  </w:pPr>
                  <w:r>
                    <w:rPr>
                      <w:color w:val="auto"/>
                    </w:rPr>
                    <w:t>焊渣</w:t>
                  </w:r>
                </w:p>
              </w:tc>
              <w:tc>
                <w:tcPr>
                  <w:tcW w:w="647" w:type="dxa"/>
                  <w:vMerge w:val="continue"/>
                  <w:vAlign w:val="center"/>
                </w:tcPr>
                <w:p w14:paraId="537FEC06">
                  <w:pPr>
                    <w:spacing w:line="0" w:lineRule="atLeast"/>
                    <w:jc w:val="center"/>
                    <w:rPr>
                      <w:color w:val="auto"/>
                      <w:kern w:val="0"/>
                    </w:rPr>
                  </w:pPr>
                </w:p>
              </w:tc>
              <w:tc>
                <w:tcPr>
                  <w:tcW w:w="793" w:type="dxa"/>
                  <w:vAlign w:val="center"/>
                </w:tcPr>
                <w:p w14:paraId="5A2781C1">
                  <w:pPr>
                    <w:widowControl/>
                    <w:jc w:val="center"/>
                    <w:textAlignment w:val="center"/>
                    <w:rPr>
                      <w:color w:val="auto"/>
                      <w:kern w:val="0"/>
                    </w:rPr>
                  </w:pPr>
                  <w:r>
                    <w:rPr>
                      <w:rFonts w:hint="eastAsia" w:ascii="宋体" w:hAnsi="宋体" w:cs="宋体"/>
                      <w:color w:val="auto"/>
                      <w:kern w:val="0"/>
                      <w:lang w:bidi="ar"/>
                    </w:rPr>
                    <w:t>焊接</w:t>
                  </w:r>
                </w:p>
              </w:tc>
              <w:tc>
                <w:tcPr>
                  <w:tcW w:w="643" w:type="dxa"/>
                  <w:vAlign w:val="center"/>
                </w:tcPr>
                <w:p w14:paraId="54A9E4D7">
                  <w:pPr>
                    <w:jc w:val="center"/>
                    <w:rPr>
                      <w:color w:val="auto"/>
                      <w:kern w:val="0"/>
                    </w:rPr>
                  </w:pPr>
                  <w:r>
                    <w:rPr>
                      <w:color w:val="auto"/>
                    </w:rPr>
                    <w:t>固态</w:t>
                  </w:r>
                </w:p>
              </w:tc>
              <w:tc>
                <w:tcPr>
                  <w:tcW w:w="846" w:type="dxa"/>
                  <w:vAlign w:val="center"/>
                </w:tcPr>
                <w:p w14:paraId="32FDFDEA">
                  <w:pPr>
                    <w:jc w:val="center"/>
                    <w:rPr>
                      <w:color w:val="auto"/>
                      <w:kern w:val="0"/>
                    </w:rPr>
                  </w:pPr>
                  <w:r>
                    <w:rPr>
                      <w:rFonts w:hint="eastAsia"/>
                      <w:color w:val="auto"/>
                    </w:rPr>
                    <w:t>无铅焊渣</w:t>
                  </w:r>
                </w:p>
              </w:tc>
              <w:tc>
                <w:tcPr>
                  <w:tcW w:w="729" w:type="dxa"/>
                  <w:vMerge w:val="continue"/>
                  <w:vAlign w:val="center"/>
                </w:tcPr>
                <w:p w14:paraId="3A303ECB">
                  <w:pPr>
                    <w:spacing w:line="0" w:lineRule="atLeast"/>
                    <w:jc w:val="center"/>
                    <w:rPr>
                      <w:color w:val="auto"/>
                      <w:kern w:val="0"/>
                    </w:rPr>
                  </w:pPr>
                </w:p>
              </w:tc>
              <w:tc>
                <w:tcPr>
                  <w:tcW w:w="643" w:type="dxa"/>
                  <w:vMerge w:val="continue"/>
                  <w:vAlign w:val="center"/>
                </w:tcPr>
                <w:p w14:paraId="1CF608DB">
                  <w:pPr>
                    <w:spacing w:line="0" w:lineRule="atLeast"/>
                    <w:jc w:val="center"/>
                    <w:rPr>
                      <w:color w:val="auto"/>
                      <w:kern w:val="0"/>
                    </w:rPr>
                  </w:pPr>
                </w:p>
              </w:tc>
              <w:tc>
                <w:tcPr>
                  <w:tcW w:w="846" w:type="dxa"/>
                  <w:vAlign w:val="center"/>
                </w:tcPr>
                <w:p w14:paraId="35DF1577">
                  <w:pPr>
                    <w:spacing w:line="0" w:lineRule="atLeast"/>
                    <w:jc w:val="center"/>
                    <w:rPr>
                      <w:color w:val="auto"/>
                      <w:kern w:val="0"/>
                    </w:rPr>
                  </w:pPr>
                  <w:r>
                    <w:rPr>
                      <w:rFonts w:hint="eastAsia"/>
                      <w:color w:val="auto"/>
                      <w:kern w:val="0"/>
                    </w:rPr>
                    <w:t>SW17</w:t>
                  </w:r>
                </w:p>
              </w:tc>
              <w:tc>
                <w:tcPr>
                  <w:tcW w:w="868" w:type="dxa"/>
                  <w:vAlign w:val="center"/>
                </w:tcPr>
                <w:p w14:paraId="04B4F475">
                  <w:pPr>
                    <w:spacing w:line="0" w:lineRule="atLeast"/>
                    <w:jc w:val="center"/>
                    <w:rPr>
                      <w:color w:val="auto"/>
                      <w:kern w:val="0"/>
                    </w:rPr>
                  </w:pPr>
                  <w:r>
                    <w:rPr>
                      <w:rFonts w:hint="eastAsia"/>
                      <w:color w:val="auto"/>
                      <w:kern w:val="0"/>
                    </w:rPr>
                    <w:t>900-009-S17</w:t>
                  </w:r>
                </w:p>
              </w:tc>
              <w:tc>
                <w:tcPr>
                  <w:tcW w:w="801" w:type="dxa"/>
                  <w:vAlign w:val="center"/>
                </w:tcPr>
                <w:p w14:paraId="1329515D">
                  <w:pPr>
                    <w:spacing w:line="0" w:lineRule="atLeast"/>
                    <w:jc w:val="center"/>
                    <w:rPr>
                      <w:color w:val="auto"/>
                      <w:kern w:val="0"/>
                    </w:rPr>
                  </w:pPr>
                  <w:r>
                    <w:rPr>
                      <w:rFonts w:hint="eastAsia"/>
                      <w:color w:val="auto"/>
                      <w:kern w:val="0"/>
                    </w:rPr>
                    <w:t>0.01</w:t>
                  </w:r>
                </w:p>
              </w:tc>
              <w:tc>
                <w:tcPr>
                  <w:tcW w:w="753" w:type="dxa"/>
                  <w:vMerge w:val="continue"/>
                  <w:vAlign w:val="center"/>
                </w:tcPr>
                <w:p w14:paraId="1E8ED8FA">
                  <w:pPr>
                    <w:spacing w:line="0" w:lineRule="atLeast"/>
                    <w:jc w:val="center"/>
                    <w:rPr>
                      <w:color w:val="auto"/>
                      <w:kern w:val="0"/>
                    </w:rPr>
                  </w:pPr>
                </w:p>
              </w:tc>
            </w:tr>
            <w:tr w14:paraId="7E20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2FAE1B06">
                  <w:pPr>
                    <w:jc w:val="center"/>
                    <w:rPr>
                      <w:color w:val="auto"/>
                      <w:kern w:val="0"/>
                    </w:rPr>
                  </w:pPr>
                  <w:r>
                    <w:rPr>
                      <w:color w:val="auto"/>
                    </w:rPr>
                    <w:t>S</w:t>
                  </w:r>
                  <w:r>
                    <w:rPr>
                      <w:rFonts w:hint="eastAsia"/>
                      <w:color w:val="auto"/>
                    </w:rPr>
                    <w:t>8</w:t>
                  </w:r>
                </w:p>
              </w:tc>
              <w:tc>
                <w:tcPr>
                  <w:tcW w:w="751" w:type="dxa"/>
                  <w:vAlign w:val="center"/>
                </w:tcPr>
                <w:p w14:paraId="04B00754">
                  <w:pPr>
                    <w:spacing w:line="0" w:lineRule="atLeast"/>
                    <w:jc w:val="center"/>
                    <w:rPr>
                      <w:color w:val="auto"/>
                      <w:kern w:val="0"/>
                    </w:rPr>
                  </w:pPr>
                  <w:r>
                    <w:rPr>
                      <w:rFonts w:hint="eastAsia"/>
                      <w:color w:val="auto"/>
                      <w:kern w:val="0"/>
                    </w:rPr>
                    <w:t>不合格品</w:t>
                  </w:r>
                </w:p>
              </w:tc>
              <w:tc>
                <w:tcPr>
                  <w:tcW w:w="647" w:type="dxa"/>
                  <w:vMerge w:val="continue"/>
                  <w:vAlign w:val="center"/>
                </w:tcPr>
                <w:p w14:paraId="20F4A726">
                  <w:pPr>
                    <w:spacing w:line="0" w:lineRule="atLeast"/>
                    <w:jc w:val="center"/>
                    <w:rPr>
                      <w:color w:val="auto"/>
                      <w:kern w:val="0"/>
                    </w:rPr>
                  </w:pPr>
                </w:p>
              </w:tc>
              <w:tc>
                <w:tcPr>
                  <w:tcW w:w="793" w:type="dxa"/>
                  <w:vAlign w:val="center"/>
                </w:tcPr>
                <w:p w14:paraId="7CBA76D3">
                  <w:pPr>
                    <w:widowControl/>
                    <w:jc w:val="center"/>
                    <w:textAlignment w:val="center"/>
                    <w:rPr>
                      <w:color w:val="auto"/>
                      <w:kern w:val="0"/>
                    </w:rPr>
                  </w:pPr>
                  <w:r>
                    <w:rPr>
                      <w:rFonts w:hint="eastAsia" w:ascii="宋体" w:hAnsi="宋体" w:cs="宋体"/>
                      <w:color w:val="auto"/>
                      <w:kern w:val="0"/>
                      <w:lang w:bidi="ar"/>
                    </w:rPr>
                    <w:t>检验</w:t>
                  </w:r>
                </w:p>
              </w:tc>
              <w:tc>
                <w:tcPr>
                  <w:tcW w:w="643" w:type="dxa"/>
                  <w:vAlign w:val="center"/>
                </w:tcPr>
                <w:p w14:paraId="79479595">
                  <w:pPr>
                    <w:jc w:val="center"/>
                    <w:rPr>
                      <w:color w:val="auto"/>
                      <w:kern w:val="0"/>
                    </w:rPr>
                  </w:pPr>
                  <w:r>
                    <w:rPr>
                      <w:color w:val="auto"/>
                    </w:rPr>
                    <w:t>固态</w:t>
                  </w:r>
                </w:p>
              </w:tc>
              <w:tc>
                <w:tcPr>
                  <w:tcW w:w="846" w:type="dxa"/>
                  <w:vAlign w:val="center"/>
                </w:tcPr>
                <w:p w14:paraId="4D1B4007">
                  <w:pPr>
                    <w:jc w:val="center"/>
                    <w:rPr>
                      <w:color w:val="auto"/>
                      <w:kern w:val="0"/>
                    </w:rPr>
                  </w:pPr>
                  <w:r>
                    <w:rPr>
                      <w:rFonts w:hint="eastAsia"/>
                      <w:color w:val="auto"/>
                    </w:rPr>
                    <w:t>金属</w:t>
                  </w:r>
                </w:p>
              </w:tc>
              <w:tc>
                <w:tcPr>
                  <w:tcW w:w="729" w:type="dxa"/>
                  <w:vMerge w:val="continue"/>
                  <w:vAlign w:val="center"/>
                </w:tcPr>
                <w:p w14:paraId="2CF3550E">
                  <w:pPr>
                    <w:spacing w:line="0" w:lineRule="atLeast"/>
                    <w:jc w:val="center"/>
                    <w:rPr>
                      <w:color w:val="auto"/>
                      <w:kern w:val="0"/>
                    </w:rPr>
                  </w:pPr>
                </w:p>
              </w:tc>
              <w:tc>
                <w:tcPr>
                  <w:tcW w:w="643" w:type="dxa"/>
                  <w:vMerge w:val="continue"/>
                  <w:vAlign w:val="center"/>
                </w:tcPr>
                <w:p w14:paraId="21ACEA25">
                  <w:pPr>
                    <w:spacing w:line="0" w:lineRule="atLeast"/>
                    <w:jc w:val="center"/>
                    <w:rPr>
                      <w:color w:val="auto"/>
                      <w:kern w:val="0"/>
                    </w:rPr>
                  </w:pPr>
                </w:p>
              </w:tc>
              <w:tc>
                <w:tcPr>
                  <w:tcW w:w="846" w:type="dxa"/>
                  <w:vAlign w:val="center"/>
                </w:tcPr>
                <w:p w14:paraId="1567F5BD">
                  <w:pPr>
                    <w:spacing w:line="0" w:lineRule="atLeast"/>
                    <w:jc w:val="center"/>
                    <w:rPr>
                      <w:color w:val="auto"/>
                      <w:kern w:val="0"/>
                    </w:rPr>
                  </w:pPr>
                  <w:r>
                    <w:rPr>
                      <w:rFonts w:hint="eastAsia"/>
                      <w:color w:val="auto"/>
                      <w:kern w:val="0"/>
                    </w:rPr>
                    <w:t>SW17</w:t>
                  </w:r>
                </w:p>
              </w:tc>
              <w:tc>
                <w:tcPr>
                  <w:tcW w:w="868" w:type="dxa"/>
                  <w:vAlign w:val="center"/>
                </w:tcPr>
                <w:p w14:paraId="734D647B">
                  <w:pPr>
                    <w:spacing w:line="0" w:lineRule="atLeast"/>
                    <w:jc w:val="center"/>
                    <w:rPr>
                      <w:color w:val="auto"/>
                      <w:kern w:val="0"/>
                    </w:rPr>
                  </w:pPr>
                  <w:r>
                    <w:rPr>
                      <w:rFonts w:hint="eastAsia"/>
                      <w:color w:val="auto"/>
                      <w:kern w:val="0"/>
                    </w:rPr>
                    <w:t>900-001-S17</w:t>
                  </w:r>
                </w:p>
              </w:tc>
              <w:tc>
                <w:tcPr>
                  <w:tcW w:w="801" w:type="dxa"/>
                  <w:vAlign w:val="center"/>
                </w:tcPr>
                <w:p w14:paraId="5651720F">
                  <w:pPr>
                    <w:spacing w:line="0" w:lineRule="atLeast"/>
                    <w:jc w:val="center"/>
                    <w:rPr>
                      <w:color w:val="auto"/>
                      <w:kern w:val="0"/>
                    </w:rPr>
                  </w:pPr>
                  <w:r>
                    <w:rPr>
                      <w:rFonts w:hint="eastAsia"/>
                      <w:color w:val="auto"/>
                      <w:kern w:val="0"/>
                    </w:rPr>
                    <w:t>30</w:t>
                  </w:r>
                </w:p>
              </w:tc>
              <w:tc>
                <w:tcPr>
                  <w:tcW w:w="753" w:type="dxa"/>
                  <w:vMerge w:val="continue"/>
                  <w:vAlign w:val="center"/>
                </w:tcPr>
                <w:p w14:paraId="0284AF4B">
                  <w:pPr>
                    <w:spacing w:line="0" w:lineRule="atLeast"/>
                    <w:jc w:val="center"/>
                    <w:rPr>
                      <w:color w:val="auto"/>
                      <w:kern w:val="0"/>
                    </w:rPr>
                  </w:pPr>
                </w:p>
              </w:tc>
            </w:tr>
            <w:tr w14:paraId="66CC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46F8AD91">
                  <w:pPr>
                    <w:jc w:val="center"/>
                    <w:rPr>
                      <w:color w:val="auto"/>
                      <w:kern w:val="0"/>
                    </w:rPr>
                  </w:pPr>
                  <w:r>
                    <w:rPr>
                      <w:rFonts w:hint="eastAsia"/>
                      <w:color w:val="auto"/>
                      <w:kern w:val="0"/>
                    </w:rPr>
                    <w:t>/</w:t>
                  </w:r>
                </w:p>
              </w:tc>
              <w:tc>
                <w:tcPr>
                  <w:tcW w:w="751" w:type="dxa"/>
                  <w:vAlign w:val="center"/>
                </w:tcPr>
                <w:p w14:paraId="131BD3B1">
                  <w:pPr>
                    <w:spacing w:line="0" w:lineRule="atLeast"/>
                    <w:jc w:val="center"/>
                    <w:rPr>
                      <w:color w:val="auto"/>
                      <w:kern w:val="0"/>
                    </w:rPr>
                  </w:pPr>
                  <w:r>
                    <w:rPr>
                      <w:rFonts w:hint="eastAsia"/>
                      <w:color w:val="auto"/>
                      <w:kern w:val="0"/>
                    </w:rPr>
                    <w:t>废滤芯</w:t>
                  </w:r>
                </w:p>
              </w:tc>
              <w:tc>
                <w:tcPr>
                  <w:tcW w:w="647" w:type="dxa"/>
                  <w:vMerge w:val="continue"/>
                  <w:vAlign w:val="center"/>
                </w:tcPr>
                <w:p w14:paraId="7F2FD67A">
                  <w:pPr>
                    <w:spacing w:line="0" w:lineRule="atLeast"/>
                    <w:jc w:val="center"/>
                    <w:rPr>
                      <w:color w:val="auto"/>
                      <w:kern w:val="0"/>
                    </w:rPr>
                  </w:pPr>
                </w:p>
              </w:tc>
              <w:tc>
                <w:tcPr>
                  <w:tcW w:w="793" w:type="dxa"/>
                  <w:vAlign w:val="center"/>
                </w:tcPr>
                <w:p w14:paraId="13C6EFA3">
                  <w:pPr>
                    <w:widowControl/>
                    <w:jc w:val="center"/>
                    <w:textAlignment w:val="center"/>
                    <w:rPr>
                      <w:color w:val="auto"/>
                      <w:kern w:val="0"/>
                    </w:rPr>
                  </w:pPr>
                  <w:r>
                    <w:rPr>
                      <w:rFonts w:hint="eastAsia" w:ascii="宋体" w:hAnsi="宋体" w:cs="宋体"/>
                      <w:color w:val="auto"/>
                      <w:kern w:val="0"/>
                      <w:lang w:bidi="ar"/>
                    </w:rPr>
                    <w:t>废气处理</w:t>
                  </w:r>
                </w:p>
              </w:tc>
              <w:tc>
                <w:tcPr>
                  <w:tcW w:w="643" w:type="dxa"/>
                  <w:vAlign w:val="center"/>
                </w:tcPr>
                <w:p w14:paraId="0250D06B">
                  <w:pPr>
                    <w:jc w:val="center"/>
                    <w:rPr>
                      <w:color w:val="auto"/>
                      <w:kern w:val="0"/>
                    </w:rPr>
                  </w:pPr>
                  <w:r>
                    <w:rPr>
                      <w:color w:val="auto"/>
                    </w:rPr>
                    <w:t>固态</w:t>
                  </w:r>
                </w:p>
              </w:tc>
              <w:tc>
                <w:tcPr>
                  <w:tcW w:w="846" w:type="dxa"/>
                  <w:vAlign w:val="center"/>
                </w:tcPr>
                <w:p w14:paraId="3ECD764C">
                  <w:pPr>
                    <w:widowControl/>
                    <w:jc w:val="center"/>
                    <w:textAlignment w:val="center"/>
                    <w:rPr>
                      <w:color w:val="auto"/>
                      <w:kern w:val="0"/>
                    </w:rPr>
                  </w:pPr>
                  <w:r>
                    <w:rPr>
                      <w:rFonts w:hint="eastAsia" w:ascii="宋体" w:hAnsi="宋体" w:cs="宋体"/>
                      <w:color w:val="auto"/>
                      <w:kern w:val="0"/>
                      <w:lang w:bidi="ar"/>
                    </w:rPr>
                    <w:t>吸附颗粒物的废滤芯</w:t>
                  </w:r>
                </w:p>
              </w:tc>
              <w:tc>
                <w:tcPr>
                  <w:tcW w:w="729" w:type="dxa"/>
                  <w:vMerge w:val="continue"/>
                  <w:vAlign w:val="center"/>
                </w:tcPr>
                <w:p w14:paraId="34C52726">
                  <w:pPr>
                    <w:spacing w:line="0" w:lineRule="atLeast"/>
                    <w:jc w:val="center"/>
                    <w:rPr>
                      <w:color w:val="auto"/>
                      <w:kern w:val="0"/>
                    </w:rPr>
                  </w:pPr>
                </w:p>
              </w:tc>
              <w:tc>
                <w:tcPr>
                  <w:tcW w:w="643" w:type="dxa"/>
                  <w:vMerge w:val="continue"/>
                  <w:vAlign w:val="center"/>
                </w:tcPr>
                <w:p w14:paraId="76BCCB62">
                  <w:pPr>
                    <w:spacing w:line="0" w:lineRule="atLeast"/>
                    <w:jc w:val="center"/>
                    <w:rPr>
                      <w:color w:val="auto"/>
                      <w:kern w:val="0"/>
                    </w:rPr>
                  </w:pPr>
                </w:p>
              </w:tc>
              <w:tc>
                <w:tcPr>
                  <w:tcW w:w="846" w:type="dxa"/>
                  <w:vAlign w:val="center"/>
                </w:tcPr>
                <w:p w14:paraId="215B13C9">
                  <w:pPr>
                    <w:spacing w:line="0" w:lineRule="atLeast"/>
                    <w:jc w:val="center"/>
                    <w:rPr>
                      <w:color w:val="auto"/>
                      <w:kern w:val="0"/>
                    </w:rPr>
                  </w:pPr>
                  <w:r>
                    <w:rPr>
                      <w:rFonts w:hint="eastAsia"/>
                      <w:color w:val="auto"/>
                      <w:kern w:val="0"/>
                    </w:rPr>
                    <w:t>SW59</w:t>
                  </w:r>
                </w:p>
              </w:tc>
              <w:tc>
                <w:tcPr>
                  <w:tcW w:w="868" w:type="dxa"/>
                  <w:vAlign w:val="center"/>
                </w:tcPr>
                <w:p w14:paraId="7398CBC6">
                  <w:pPr>
                    <w:spacing w:line="0" w:lineRule="atLeast"/>
                    <w:jc w:val="center"/>
                    <w:rPr>
                      <w:color w:val="auto"/>
                      <w:kern w:val="0"/>
                    </w:rPr>
                  </w:pPr>
                  <w:r>
                    <w:rPr>
                      <w:rFonts w:hint="eastAsia"/>
                      <w:color w:val="auto"/>
                      <w:kern w:val="0"/>
                    </w:rPr>
                    <w:t>900-059-S59</w:t>
                  </w:r>
                </w:p>
              </w:tc>
              <w:tc>
                <w:tcPr>
                  <w:tcW w:w="801" w:type="dxa"/>
                  <w:vAlign w:val="center"/>
                </w:tcPr>
                <w:p w14:paraId="7909D13E">
                  <w:pPr>
                    <w:spacing w:line="0" w:lineRule="atLeast"/>
                    <w:jc w:val="center"/>
                    <w:rPr>
                      <w:color w:val="auto"/>
                      <w:kern w:val="0"/>
                    </w:rPr>
                  </w:pPr>
                  <w:r>
                    <w:rPr>
                      <w:rFonts w:hint="eastAsia"/>
                      <w:color w:val="auto"/>
                      <w:kern w:val="0"/>
                    </w:rPr>
                    <w:t>0.053</w:t>
                  </w:r>
                </w:p>
              </w:tc>
              <w:tc>
                <w:tcPr>
                  <w:tcW w:w="753" w:type="dxa"/>
                  <w:vMerge w:val="continue"/>
                  <w:vAlign w:val="center"/>
                </w:tcPr>
                <w:p w14:paraId="534D7AA1">
                  <w:pPr>
                    <w:spacing w:line="0" w:lineRule="atLeast"/>
                    <w:jc w:val="center"/>
                    <w:rPr>
                      <w:color w:val="auto"/>
                      <w:kern w:val="0"/>
                    </w:rPr>
                  </w:pPr>
                </w:p>
              </w:tc>
            </w:tr>
            <w:tr w14:paraId="2773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10E84530">
                  <w:pPr>
                    <w:jc w:val="center"/>
                    <w:rPr>
                      <w:rFonts w:hint="eastAsia"/>
                      <w:color w:val="auto"/>
                      <w:kern w:val="0"/>
                    </w:rPr>
                  </w:pPr>
                  <w:r>
                    <w:rPr>
                      <w:rFonts w:hint="eastAsia"/>
                      <w:color w:val="auto"/>
                      <w:kern w:val="0"/>
                    </w:rPr>
                    <w:t>/</w:t>
                  </w:r>
                </w:p>
              </w:tc>
              <w:tc>
                <w:tcPr>
                  <w:tcW w:w="751" w:type="dxa"/>
                  <w:vAlign w:val="center"/>
                </w:tcPr>
                <w:p w14:paraId="5F6FACE3">
                  <w:pPr>
                    <w:jc w:val="center"/>
                    <w:rPr>
                      <w:rFonts w:hint="eastAsia"/>
                      <w:color w:val="auto"/>
                      <w:kern w:val="0"/>
                    </w:rPr>
                  </w:pPr>
                  <w:r>
                    <w:rPr>
                      <w:rFonts w:hint="eastAsia"/>
                      <w:color w:val="auto"/>
                    </w:rPr>
                    <w:t>废油</w:t>
                  </w:r>
                </w:p>
              </w:tc>
              <w:tc>
                <w:tcPr>
                  <w:tcW w:w="647" w:type="dxa"/>
                  <w:vMerge w:val="continue"/>
                  <w:vAlign w:val="center"/>
                </w:tcPr>
                <w:p w14:paraId="2A87BDC8">
                  <w:pPr>
                    <w:spacing w:line="0" w:lineRule="atLeast"/>
                    <w:jc w:val="center"/>
                    <w:rPr>
                      <w:color w:val="auto"/>
                      <w:kern w:val="0"/>
                    </w:rPr>
                  </w:pPr>
                </w:p>
              </w:tc>
              <w:tc>
                <w:tcPr>
                  <w:tcW w:w="793" w:type="dxa"/>
                  <w:vAlign w:val="center"/>
                </w:tcPr>
                <w:p w14:paraId="62347BD2">
                  <w:pPr>
                    <w:widowControl/>
                    <w:jc w:val="center"/>
                    <w:textAlignment w:val="center"/>
                    <w:rPr>
                      <w:rFonts w:hint="eastAsia" w:ascii="宋体" w:hAnsi="宋体" w:cs="宋体"/>
                      <w:color w:val="auto"/>
                      <w:kern w:val="0"/>
                      <w:lang w:bidi="ar"/>
                    </w:rPr>
                  </w:pPr>
                  <w:r>
                    <w:rPr>
                      <w:rFonts w:hint="eastAsia" w:ascii="宋体" w:hAnsi="宋体" w:cs="宋体"/>
                      <w:color w:val="auto"/>
                      <w:kern w:val="0"/>
                      <w:lang w:bidi="ar"/>
                    </w:rPr>
                    <w:t>隔油池</w:t>
                  </w:r>
                </w:p>
              </w:tc>
              <w:tc>
                <w:tcPr>
                  <w:tcW w:w="643" w:type="dxa"/>
                  <w:vAlign w:val="center"/>
                </w:tcPr>
                <w:p w14:paraId="0EB64337">
                  <w:pPr>
                    <w:jc w:val="center"/>
                    <w:rPr>
                      <w:color w:val="auto"/>
                    </w:rPr>
                  </w:pPr>
                  <w:r>
                    <w:rPr>
                      <w:rFonts w:hint="eastAsia"/>
                      <w:color w:val="auto"/>
                    </w:rPr>
                    <w:t>液态</w:t>
                  </w:r>
                </w:p>
              </w:tc>
              <w:tc>
                <w:tcPr>
                  <w:tcW w:w="846" w:type="dxa"/>
                  <w:vAlign w:val="center"/>
                </w:tcPr>
                <w:p w14:paraId="0623220F">
                  <w:pPr>
                    <w:jc w:val="center"/>
                    <w:rPr>
                      <w:rFonts w:hint="eastAsia" w:ascii="宋体" w:hAnsi="宋体" w:cs="宋体"/>
                      <w:color w:val="auto"/>
                      <w:kern w:val="0"/>
                      <w:lang w:bidi="ar"/>
                    </w:rPr>
                  </w:pPr>
                  <w:r>
                    <w:rPr>
                      <w:rFonts w:hint="eastAsia"/>
                      <w:color w:val="auto"/>
                    </w:rPr>
                    <w:t>废油</w:t>
                  </w:r>
                </w:p>
              </w:tc>
              <w:tc>
                <w:tcPr>
                  <w:tcW w:w="729" w:type="dxa"/>
                  <w:vMerge w:val="continue"/>
                  <w:vAlign w:val="center"/>
                </w:tcPr>
                <w:p w14:paraId="035AC327">
                  <w:pPr>
                    <w:spacing w:line="0" w:lineRule="atLeast"/>
                    <w:jc w:val="center"/>
                    <w:rPr>
                      <w:color w:val="auto"/>
                      <w:kern w:val="0"/>
                    </w:rPr>
                  </w:pPr>
                </w:p>
              </w:tc>
              <w:tc>
                <w:tcPr>
                  <w:tcW w:w="643" w:type="dxa"/>
                  <w:vMerge w:val="continue"/>
                  <w:vAlign w:val="center"/>
                </w:tcPr>
                <w:p w14:paraId="1247375A">
                  <w:pPr>
                    <w:spacing w:line="0" w:lineRule="atLeast"/>
                    <w:jc w:val="center"/>
                    <w:rPr>
                      <w:color w:val="auto"/>
                      <w:kern w:val="0"/>
                    </w:rPr>
                  </w:pPr>
                </w:p>
              </w:tc>
              <w:tc>
                <w:tcPr>
                  <w:tcW w:w="846" w:type="dxa"/>
                  <w:vAlign w:val="center"/>
                </w:tcPr>
                <w:p w14:paraId="6ECDFE30">
                  <w:pPr>
                    <w:spacing w:line="0" w:lineRule="atLeast"/>
                    <w:jc w:val="center"/>
                    <w:rPr>
                      <w:rFonts w:hint="default" w:eastAsia="宋体"/>
                      <w:color w:val="auto"/>
                      <w:kern w:val="0"/>
                      <w:lang w:val="en-US" w:eastAsia="zh-CN"/>
                    </w:rPr>
                  </w:pPr>
                  <w:r>
                    <w:rPr>
                      <w:rFonts w:hint="eastAsia"/>
                      <w:color w:val="auto"/>
                      <w:kern w:val="0"/>
                      <w:lang w:val="en-US" w:eastAsia="zh-CN"/>
                    </w:rPr>
                    <w:t>SW61</w:t>
                  </w:r>
                </w:p>
              </w:tc>
              <w:tc>
                <w:tcPr>
                  <w:tcW w:w="868" w:type="dxa"/>
                  <w:vAlign w:val="center"/>
                </w:tcPr>
                <w:p w14:paraId="09F798EE">
                  <w:pPr>
                    <w:spacing w:line="0" w:lineRule="atLeast"/>
                    <w:jc w:val="center"/>
                    <w:rPr>
                      <w:rFonts w:hint="default" w:eastAsia="宋体"/>
                      <w:color w:val="auto"/>
                      <w:kern w:val="0"/>
                      <w:lang w:val="en-US" w:eastAsia="zh-CN"/>
                    </w:rPr>
                  </w:pPr>
                  <w:r>
                    <w:rPr>
                      <w:rFonts w:hint="eastAsia"/>
                      <w:color w:val="auto"/>
                      <w:kern w:val="0"/>
                      <w:lang w:val="en-US" w:eastAsia="zh-CN"/>
                    </w:rPr>
                    <w:t>900-002-S61</w:t>
                  </w:r>
                </w:p>
              </w:tc>
              <w:tc>
                <w:tcPr>
                  <w:tcW w:w="801" w:type="dxa"/>
                  <w:vAlign w:val="center"/>
                </w:tcPr>
                <w:p w14:paraId="4E78D961">
                  <w:pPr>
                    <w:spacing w:line="0" w:lineRule="atLeast"/>
                    <w:jc w:val="center"/>
                    <w:rPr>
                      <w:rFonts w:hint="default" w:eastAsia="宋体"/>
                      <w:color w:val="auto"/>
                      <w:kern w:val="0"/>
                      <w:lang w:val="en-US" w:eastAsia="zh-CN"/>
                    </w:rPr>
                  </w:pPr>
                  <w:r>
                    <w:rPr>
                      <w:rFonts w:hint="eastAsia"/>
                      <w:color w:val="auto"/>
                      <w:kern w:val="0"/>
                      <w:lang w:val="en-US" w:eastAsia="zh-CN"/>
                    </w:rPr>
                    <w:t>0.15</w:t>
                  </w:r>
                </w:p>
              </w:tc>
              <w:tc>
                <w:tcPr>
                  <w:tcW w:w="753" w:type="dxa"/>
                  <w:vAlign w:val="center"/>
                </w:tcPr>
                <w:p w14:paraId="0E71FBF2">
                  <w:pPr>
                    <w:spacing w:line="0" w:lineRule="atLeast"/>
                    <w:jc w:val="center"/>
                    <w:rPr>
                      <w:rFonts w:hint="default" w:eastAsia="宋体"/>
                      <w:color w:val="auto"/>
                      <w:kern w:val="0"/>
                      <w:lang w:val="en-US" w:eastAsia="zh-CN"/>
                    </w:rPr>
                  </w:pPr>
                  <w:r>
                    <w:rPr>
                      <w:rFonts w:hint="eastAsia"/>
                      <w:color w:val="auto"/>
                      <w:kern w:val="0"/>
                      <w:lang w:val="en-US" w:eastAsia="zh-CN"/>
                    </w:rPr>
                    <w:t>委托专业单位处理</w:t>
                  </w:r>
                </w:p>
              </w:tc>
            </w:tr>
            <w:tr w14:paraId="4AF0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78BEF8F0">
                  <w:pPr>
                    <w:jc w:val="center"/>
                    <w:rPr>
                      <w:rFonts w:hint="eastAsia"/>
                      <w:color w:val="auto"/>
                      <w:kern w:val="0"/>
                    </w:rPr>
                  </w:pPr>
                  <w:r>
                    <w:rPr>
                      <w:rFonts w:hint="eastAsia"/>
                      <w:color w:val="auto"/>
                      <w:kern w:val="0"/>
                    </w:rPr>
                    <w:t>/</w:t>
                  </w:r>
                </w:p>
              </w:tc>
              <w:tc>
                <w:tcPr>
                  <w:tcW w:w="751" w:type="dxa"/>
                  <w:vAlign w:val="center"/>
                </w:tcPr>
                <w:p w14:paraId="66A8583B">
                  <w:pPr>
                    <w:jc w:val="center"/>
                    <w:rPr>
                      <w:rFonts w:hint="eastAsia" w:eastAsia="宋体"/>
                      <w:color w:val="auto"/>
                      <w:lang w:val="en-US" w:eastAsia="zh-CN"/>
                    </w:rPr>
                  </w:pPr>
                  <w:r>
                    <w:rPr>
                      <w:rFonts w:hint="eastAsia"/>
                      <w:color w:val="auto"/>
                      <w:lang w:val="en-US" w:eastAsia="zh-CN"/>
                    </w:rPr>
                    <w:t>废包装袋</w:t>
                  </w:r>
                </w:p>
              </w:tc>
              <w:tc>
                <w:tcPr>
                  <w:tcW w:w="647" w:type="dxa"/>
                  <w:vMerge w:val="continue"/>
                  <w:vAlign w:val="center"/>
                </w:tcPr>
                <w:p w14:paraId="0BF973C2">
                  <w:pPr>
                    <w:spacing w:line="0" w:lineRule="atLeast"/>
                    <w:jc w:val="center"/>
                    <w:rPr>
                      <w:color w:val="auto"/>
                      <w:kern w:val="0"/>
                    </w:rPr>
                  </w:pPr>
                </w:p>
              </w:tc>
              <w:tc>
                <w:tcPr>
                  <w:tcW w:w="793" w:type="dxa"/>
                  <w:vAlign w:val="center"/>
                </w:tcPr>
                <w:p w14:paraId="7B3AC751">
                  <w:pPr>
                    <w:widowControl/>
                    <w:jc w:val="center"/>
                    <w:textAlignment w:val="center"/>
                    <w:rPr>
                      <w:rFonts w:hint="default" w:ascii="宋体" w:hAnsi="宋体" w:eastAsia="宋体" w:cs="宋体"/>
                      <w:color w:val="auto"/>
                      <w:kern w:val="0"/>
                      <w:lang w:val="en-US" w:eastAsia="zh-CN" w:bidi="ar"/>
                    </w:rPr>
                  </w:pPr>
                  <w:r>
                    <w:rPr>
                      <w:rFonts w:hint="eastAsia" w:ascii="宋体" w:hAnsi="宋体" w:cs="宋体"/>
                      <w:color w:val="auto"/>
                      <w:kern w:val="0"/>
                      <w:lang w:val="en-US" w:eastAsia="zh-CN" w:bidi="ar"/>
                    </w:rPr>
                    <w:t>原料包装</w:t>
                  </w:r>
                </w:p>
              </w:tc>
              <w:tc>
                <w:tcPr>
                  <w:tcW w:w="643" w:type="dxa"/>
                  <w:vAlign w:val="center"/>
                </w:tcPr>
                <w:p w14:paraId="63360124">
                  <w:pPr>
                    <w:jc w:val="center"/>
                    <w:rPr>
                      <w:rFonts w:hint="eastAsia" w:eastAsia="宋体"/>
                      <w:color w:val="auto"/>
                      <w:lang w:val="en-US" w:eastAsia="zh-CN"/>
                    </w:rPr>
                  </w:pPr>
                  <w:r>
                    <w:rPr>
                      <w:rFonts w:hint="eastAsia"/>
                      <w:color w:val="auto"/>
                      <w:lang w:val="en-US" w:eastAsia="zh-CN"/>
                    </w:rPr>
                    <w:t>固态</w:t>
                  </w:r>
                </w:p>
              </w:tc>
              <w:tc>
                <w:tcPr>
                  <w:tcW w:w="846" w:type="dxa"/>
                  <w:vAlign w:val="center"/>
                </w:tcPr>
                <w:p w14:paraId="217F9E06">
                  <w:pPr>
                    <w:jc w:val="center"/>
                    <w:rPr>
                      <w:rFonts w:hint="eastAsia" w:eastAsia="宋体"/>
                      <w:color w:val="auto"/>
                      <w:lang w:val="en-US" w:eastAsia="zh-CN"/>
                    </w:rPr>
                  </w:pPr>
                  <w:r>
                    <w:rPr>
                      <w:rFonts w:hint="eastAsia"/>
                      <w:color w:val="auto"/>
                      <w:lang w:val="en-US" w:eastAsia="zh-CN"/>
                    </w:rPr>
                    <w:t>废包装袋</w:t>
                  </w:r>
                </w:p>
              </w:tc>
              <w:tc>
                <w:tcPr>
                  <w:tcW w:w="729" w:type="dxa"/>
                  <w:vMerge w:val="continue"/>
                  <w:vAlign w:val="center"/>
                </w:tcPr>
                <w:p w14:paraId="0C1E6C05">
                  <w:pPr>
                    <w:spacing w:line="0" w:lineRule="atLeast"/>
                    <w:jc w:val="center"/>
                    <w:rPr>
                      <w:color w:val="auto"/>
                      <w:kern w:val="0"/>
                    </w:rPr>
                  </w:pPr>
                </w:p>
              </w:tc>
              <w:tc>
                <w:tcPr>
                  <w:tcW w:w="643" w:type="dxa"/>
                  <w:vMerge w:val="continue"/>
                  <w:vAlign w:val="center"/>
                </w:tcPr>
                <w:p w14:paraId="1902DDE3">
                  <w:pPr>
                    <w:spacing w:line="0" w:lineRule="atLeast"/>
                    <w:jc w:val="center"/>
                    <w:rPr>
                      <w:color w:val="auto"/>
                      <w:kern w:val="0"/>
                    </w:rPr>
                  </w:pPr>
                </w:p>
              </w:tc>
              <w:tc>
                <w:tcPr>
                  <w:tcW w:w="846" w:type="dxa"/>
                  <w:vAlign w:val="center"/>
                </w:tcPr>
                <w:p w14:paraId="07480919">
                  <w:pPr>
                    <w:spacing w:line="0" w:lineRule="atLeast"/>
                    <w:jc w:val="center"/>
                    <w:rPr>
                      <w:color w:val="auto"/>
                      <w:kern w:val="0"/>
                    </w:rPr>
                  </w:pPr>
                  <w:r>
                    <w:rPr>
                      <w:rFonts w:hint="eastAsia"/>
                      <w:color w:val="auto"/>
                      <w:kern w:val="0"/>
                    </w:rPr>
                    <w:t>SW59</w:t>
                  </w:r>
                </w:p>
              </w:tc>
              <w:tc>
                <w:tcPr>
                  <w:tcW w:w="868" w:type="dxa"/>
                  <w:vAlign w:val="center"/>
                </w:tcPr>
                <w:p w14:paraId="64AB58F4">
                  <w:pPr>
                    <w:spacing w:line="0" w:lineRule="atLeast"/>
                    <w:jc w:val="center"/>
                    <w:rPr>
                      <w:color w:val="auto"/>
                      <w:kern w:val="0"/>
                    </w:rPr>
                  </w:pPr>
                  <w:r>
                    <w:rPr>
                      <w:rFonts w:hint="eastAsia"/>
                      <w:color w:val="auto"/>
                      <w:kern w:val="0"/>
                    </w:rPr>
                    <w:t>900-0</w:t>
                  </w:r>
                  <w:r>
                    <w:rPr>
                      <w:rFonts w:hint="eastAsia"/>
                      <w:color w:val="auto"/>
                      <w:kern w:val="0"/>
                      <w:lang w:val="en-US" w:eastAsia="zh-CN"/>
                    </w:rPr>
                    <w:t>9</w:t>
                  </w:r>
                  <w:r>
                    <w:rPr>
                      <w:rFonts w:hint="eastAsia"/>
                      <w:color w:val="auto"/>
                      <w:kern w:val="0"/>
                    </w:rPr>
                    <w:t>9-S59</w:t>
                  </w:r>
                </w:p>
              </w:tc>
              <w:tc>
                <w:tcPr>
                  <w:tcW w:w="801" w:type="dxa"/>
                  <w:vAlign w:val="center"/>
                </w:tcPr>
                <w:p w14:paraId="0601808C">
                  <w:pPr>
                    <w:spacing w:line="0" w:lineRule="atLeast"/>
                    <w:jc w:val="center"/>
                    <w:rPr>
                      <w:rFonts w:hint="default"/>
                      <w:color w:val="auto"/>
                      <w:kern w:val="0"/>
                      <w:lang w:val="en-US" w:eastAsia="zh-CN"/>
                    </w:rPr>
                  </w:pPr>
                  <w:r>
                    <w:rPr>
                      <w:rFonts w:hint="eastAsia"/>
                      <w:color w:val="auto"/>
                      <w:kern w:val="0"/>
                      <w:lang w:val="en-US" w:eastAsia="zh-CN"/>
                    </w:rPr>
                    <w:t>0.2</w:t>
                  </w:r>
                </w:p>
              </w:tc>
              <w:tc>
                <w:tcPr>
                  <w:tcW w:w="753" w:type="dxa"/>
                  <w:vAlign w:val="center"/>
                </w:tcPr>
                <w:p w14:paraId="0CEF2B11">
                  <w:pPr>
                    <w:spacing w:line="0" w:lineRule="atLeast"/>
                    <w:jc w:val="center"/>
                    <w:rPr>
                      <w:rFonts w:hint="eastAsia"/>
                      <w:color w:val="auto"/>
                      <w:kern w:val="0"/>
                      <w:lang w:val="en-US" w:eastAsia="zh-CN"/>
                    </w:rPr>
                  </w:pPr>
                  <w:r>
                    <w:rPr>
                      <w:rFonts w:hint="eastAsia"/>
                      <w:color w:val="auto"/>
                      <w:kern w:val="0"/>
                    </w:rPr>
                    <w:t>外售综合利用</w:t>
                  </w:r>
                </w:p>
              </w:tc>
            </w:tr>
            <w:tr w14:paraId="6BCF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29903312">
                  <w:pPr>
                    <w:spacing w:line="0" w:lineRule="atLeast"/>
                    <w:jc w:val="center"/>
                    <w:rPr>
                      <w:color w:val="auto"/>
                      <w:kern w:val="0"/>
                    </w:rPr>
                  </w:pPr>
                  <w:r>
                    <w:rPr>
                      <w:color w:val="auto"/>
                    </w:rPr>
                    <w:t>S3</w:t>
                  </w:r>
                </w:p>
              </w:tc>
              <w:tc>
                <w:tcPr>
                  <w:tcW w:w="751" w:type="dxa"/>
                  <w:vAlign w:val="center"/>
                </w:tcPr>
                <w:p w14:paraId="119533EE">
                  <w:pPr>
                    <w:jc w:val="center"/>
                    <w:rPr>
                      <w:color w:val="auto"/>
                      <w:kern w:val="0"/>
                    </w:rPr>
                  </w:pPr>
                  <w:r>
                    <w:rPr>
                      <w:rFonts w:hint="eastAsia"/>
                      <w:color w:val="auto"/>
                    </w:rPr>
                    <w:t>废油泥</w:t>
                  </w:r>
                </w:p>
              </w:tc>
              <w:tc>
                <w:tcPr>
                  <w:tcW w:w="647" w:type="dxa"/>
                  <w:vMerge w:val="restart"/>
                  <w:vAlign w:val="center"/>
                </w:tcPr>
                <w:p w14:paraId="396697DD">
                  <w:pPr>
                    <w:spacing w:line="0" w:lineRule="atLeast"/>
                    <w:jc w:val="center"/>
                    <w:rPr>
                      <w:color w:val="auto"/>
                      <w:kern w:val="0"/>
                    </w:rPr>
                  </w:pPr>
                  <w:r>
                    <w:rPr>
                      <w:color w:val="auto"/>
                      <w:kern w:val="0"/>
                    </w:rPr>
                    <w:t>危险废物</w:t>
                  </w:r>
                </w:p>
              </w:tc>
              <w:tc>
                <w:tcPr>
                  <w:tcW w:w="793" w:type="dxa"/>
                  <w:vAlign w:val="center"/>
                </w:tcPr>
                <w:p w14:paraId="52B2CA35">
                  <w:pPr>
                    <w:widowControl/>
                    <w:jc w:val="center"/>
                    <w:textAlignment w:val="center"/>
                    <w:rPr>
                      <w:color w:val="auto"/>
                      <w:kern w:val="0"/>
                    </w:rPr>
                  </w:pPr>
                  <w:r>
                    <w:rPr>
                      <w:rFonts w:hint="eastAsia"/>
                      <w:color w:val="auto"/>
                    </w:rPr>
                    <w:t>机加工</w:t>
                  </w:r>
                </w:p>
              </w:tc>
              <w:tc>
                <w:tcPr>
                  <w:tcW w:w="643" w:type="dxa"/>
                  <w:vAlign w:val="center"/>
                </w:tcPr>
                <w:p w14:paraId="78B61A6F">
                  <w:pPr>
                    <w:jc w:val="center"/>
                    <w:rPr>
                      <w:color w:val="auto"/>
                      <w:kern w:val="0"/>
                    </w:rPr>
                  </w:pPr>
                  <w:r>
                    <w:rPr>
                      <w:rFonts w:hint="eastAsia"/>
                      <w:color w:val="auto"/>
                    </w:rPr>
                    <w:t>半固态</w:t>
                  </w:r>
                </w:p>
              </w:tc>
              <w:tc>
                <w:tcPr>
                  <w:tcW w:w="846" w:type="dxa"/>
                  <w:vAlign w:val="center"/>
                </w:tcPr>
                <w:p w14:paraId="57289446">
                  <w:pPr>
                    <w:widowControl/>
                    <w:jc w:val="center"/>
                    <w:textAlignment w:val="center"/>
                    <w:rPr>
                      <w:color w:val="auto"/>
                      <w:kern w:val="0"/>
                    </w:rPr>
                  </w:pPr>
                  <w:r>
                    <w:rPr>
                      <w:rFonts w:hint="eastAsia"/>
                      <w:color w:val="auto"/>
                      <w:kern w:val="0"/>
                    </w:rPr>
                    <w:t>矿物油等</w:t>
                  </w:r>
                </w:p>
              </w:tc>
              <w:tc>
                <w:tcPr>
                  <w:tcW w:w="729" w:type="dxa"/>
                  <w:vMerge w:val="restart"/>
                  <w:vAlign w:val="center"/>
                </w:tcPr>
                <w:p w14:paraId="3005EA8B">
                  <w:pPr>
                    <w:spacing w:line="0" w:lineRule="atLeast"/>
                    <w:jc w:val="center"/>
                    <w:rPr>
                      <w:color w:val="auto"/>
                      <w:kern w:val="0"/>
                    </w:rPr>
                  </w:pPr>
                  <w:r>
                    <w:rPr>
                      <w:color w:val="auto"/>
                      <w:kern w:val="0"/>
                    </w:rPr>
                    <w:t>《国家危险废物名录》、危险废物鉴别标准</w:t>
                  </w:r>
                </w:p>
              </w:tc>
              <w:tc>
                <w:tcPr>
                  <w:tcW w:w="643" w:type="dxa"/>
                  <w:vAlign w:val="center"/>
                </w:tcPr>
                <w:p w14:paraId="4C032296">
                  <w:pPr>
                    <w:jc w:val="center"/>
                    <w:rPr>
                      <w:color w:val="auto"/>
                      <w:kern w:val="0"/>
                    </w:rPr>
                  </w:pPr>
                  <w:r>
                    <w:rPr>
                      <w:color w:val="auto"/>
                    </w:rPr>
                    <w:t>T</w:t>
                  </w:r>
                  <w:r>
                    <w:rPr>
                      <w:rFonts w:hint="eastAsia"/>
                      <w:color w:val="auto"/>
                    </w:rPr>
                    <w:t>，I</w:t>
                  </w:r>
                </w:p>
              </w:tc>
              <w:tc>
                <w:tcPr>
                  <w:tcW w:w="846" w:type="dxa"/>
                  <w:vAlign w:val="center"/>
                </w:tcPr>
                <w:p w14:paraId="6B6222DB">
                  <w:pPr>
                    <w:jc w:val="center"/>
                    <w:rPr>
                      <w:color w:val="auto"/>
                      <w:kern w:val="0"/>
                    </w:rPr>
                  </w:pPr>
                  <w:r>
                    <w:rPr>
                      <w:color w:val="auto"/>
                    </w:rPr>
                    <w:t>HW0</w:t>
                  </w:r>
                  <w:r>
                    <w:rPr>
                      <w:rFonts w:hint="eastAsia"/>
                      <w:color w:val="auto"/>
                    </w:rPr>
                    <w:t>8</w:t>
                  </w:r>
                </w:p>
              </w:tc>
              <w:tc>
                <w:tcPr>
                  <w:tcW w:w="868" w:type="dxa"/>
                  <w:vAlign w:val="center"/>
                </w:tcPr>
                <w:p w14:paraId="71DF1AC9">
                  <w:pPr>
                    <w:jc w:val="center"/>
                    <w:rPr>
                      <w:color w:val="auto"/>
                      <w:kern w:val="0"/>
                    </w:rPr>
                  </w:pPr>
                  <w:r>
                    <w:rPr>
                      <w:color w:val="auto"/>
                    </w:rPr>
                    <w:t>900-</w:t>
                  </w:r>
                  <w:r>
                    <w:rPr>
                      <w:rFonts w:hint="eastAsia"/>
                      <w:color w:val="auto"/>
                    </w:rPr>
                    <w:t>2</w:t>
                  </w:r>
                  <w:r>
                    <w:rPr>
                      <w:rFonts w:hint="eastAsia"/>
                      <w:color w:val="auto"/>
                      <w:lang w:val="en-US" w:eastAsia="zh-CN"/>
                    </w:rPr>
                    <w:t>0</w:t>
                  </w:r>
                  <w:r>
                    <w:rPr>
                      <w:rFonts w:hint="eastAsia"/>
                      <w:color w:val="auto"/>
                    </w:rPr>
                    <w:t>0</w:t>
                  </w:r>
                  <w:r>
                    <w:rPr>
                      <w:color w:val="auto"/>
                    </w:rPr>
                    <w:t>-0</w:t>
                  </w:r>
                  <w:r>
                    <w:rPr>
                      <w:rFonts w:hint="eastAsia"/>
                      <w:color w:val="auto"/>
                    </w:rPr>
                    <w:t>8</w:t>
                  </w:r>
                </w:p>
              </w:tc>
              <w:tc>
                <w:tcPr>
                  <w:tcW w:w="801" w:type="dxa"/>
                  <w:vAlign w:val="center"/>
                </w:tcPr>
                <w:p w14:paraId="3B9F3B5E">
                  <w:pPr>
                    <w:spacing w:line="0" w:lineRule="atLeast"/>
                    <w:jc w:val="center"/>
                    <w:rPr>
                      <w:color w:val="auto"/>
                      <w:kern w:val="0"/>
                    </w:rPr>
                  </w:pPr>
                  <w:r>
                    <w:rPr>
                      <w:rFonts w:hint="eastAsia"/>
                      <w:color w:val="auto"/>
                      <w:kern w:val="0"/>
                    </w:rPr>
                    <w:t>3</w:t>
                  </w:r>
                </w:p>
              </w:tc>
              <w:tc>
                <w:tcPr>
                  <w:tcW w:w="753" w:type="dxa"/>
                  <w:vMerge w:val="restart"/>
                  <w:vAlign w:val="center"/>
                </w:tcPr>
                <w:p w14:paraId="3EEA0D0B">
                  <w:pPr>
                    <w:spacing w:line="0" w:lineRule="atLeast"/>
                    <w:jc w:val="center"/>
                    <w:rPr>
                      <w:color w:val="auto"/>
                      <w:kern w:val="0"/>
                    </w:rPr>
                  </w:pPr>
                  <w:r>
                    <w:rPr>
                      <w:rFonts w:hint="eastAsia"/>
                      <w:color w:val="auto"/>
                      <w:kern w:val="0"/>
                    </w:rPr>
                    <w:t>委托有资质单位处置</w:t>
                  </w:r>
                </w:p>
              </w:tc>
            </w:tr>
            <w:tr w14:paraId="3BCD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34F7A89C">
                  <w:pPr>
                    <w:spacing w:line="0" w:lineRule="atLeast"/>
                    <w:jc w:val="center"/>
                    <w:rPr>
                      <w:color w:val="auto"/>
                      <w:kern w:val="0"/>
                    </w:rPr>
                  </w:pPr>
                  <w:r>
                    <w:rPr>
                      <w:color w:val="auto"/>
                    </w:rPr>
                    <w:t>S</w:t>
                  </w:r>
                  <w:r>
                    <w:rPr>
                      <w:rFonts w:hint="eastAsia"/>
                      <w:color w:val="auto"/>
                    </w:rPr>
                    <w:t>5</w:t>
                  </w:r>
                </w:p>
              </w:tc>
              <w:tc>
                <w:tcPr>
                  <w:tcW w:w="751" w:type="dxa"/>
                  <w:vAlign w:val="center"/>
                </w:tcPr>
                <w:p w14:paraId="77A641DA">
                  <w:pPr>
                    <w:jc w:val="center"/>
                    <w:rPr>
                      <w:color w:val="auto"/>
                      <w:kern w:val="0"/>
                    </w:rPr>
                  </w:pPr>
                  <w:r>
                    <w:rPr>
                      <w:color w:val="auto"/>
                    </w:rPr>
                    <w:t>清洗废液</w:t>
                  </w:r>
                </w:p>
              </w:tc>
              <w:tc>
                <w:tcPr>
                  <w:tcW w:w="647" w:type="dxa"/>
                  <w:vMerge w:val="continue"/>
                  <w:vAlign w:val="center"/>
                </w:tcPr>
                <w:p w14:paraId="7291C9AE">
                  <w:pPr>
                    <w:spacing w:line="0" w:lineRule="atLeast"/>
                    <w:jc w:val="center"/>
                    <w:rPr>
                      <w:color w:val="auto"/>
                      <w:kern w:val="0"/>
                    </w:rPr>
                  </w:pPr>
                </w:p>
              </w:tc>
              <w:tc>
                <w:tcPr>
                  <w:tcW w:w="793" w:type="dxa"/>
                  <w:vAlign w:val="center"/>
                </w:tcPr>
                <w:p w14:paraId="0E5266D7">
                  <w:pPr>
                    <w:widowControl/>
                    <w:jc w:val="center"/>
                    <w:textAlignment w:val="center"/>
                    <w:rPr>
                      <w:color w:val="auto"/>
                      <w:kern w:val="0"/>
                    </w:rPr>
                  </w:pPr>
                  <w:r>
                    <w:rPr>
                      <w:rFonts w:hint="eastAsia" w:ascii="宋体" w:hAnsi="宋体" w:cs="宋体"/>
                      <w:color w:val="auto"/>
                      <w:kern w:val="0"/>
                      <w:lang w:bidi="ar"/>
                    </w:rPr>
                    <w:t>清洗</w:t>
                  </w:r>
                </w:p>
              </w:tc>
              <w:tc>
                <w:tcPr>
                  <w:tcW w:w="643" w:type="dxa"/>
                  <w:vAlign w:val="center"/>
                </w:tcPr>
                <w:p w14:paraId="3FAD36B0">
                  <w:pPr>
                    <w:jc w:val="center"/>
                    <w:rPr>
                      <w:color w:val="auto"/>
                      <w:kern w:val="0"/>
                    </w:rPr>
                  </w:pPr>
                  <w:r>
                    <w:rPr>
                      <w:rFonts w:hint="eastAsia"/>
                      <w:color w:val="auto"/>
                    </w:rPr>
                    <w:t>液</w:t>
                  </w:r>
                  <w:r>
                    <w:rPr>
                      <w:color w:val="auto"/>
                    </w:rPr>
                    <w:t>态</w:t>
                  </w:r>
                </w:p>
              </w:tc>
              <w:tc>
                <w:tcPr>
                  <w:tcW w:w="846" w:type="dxa"/>
                  <w:vAlign w:val="center"/>
                </w:tcPr>
                <w:p w14:paraId="4FB6EFD5">
                  <w:pPr>
                    <w:widowControl/>
                    <w:jc w:val="center"/>
                    <w:textAlignment w:val="center"/>
                    <w:rPr>
                      <w:color w:val="auto"/>
                      <w:kern w:val="0"/>
                    </w:rPr>
                  </w:pPr>
                  <w:r>
                    <w:rPr>
                      <w:rFonts w:hint="eastAsia" w:ascii="宋体" w:hAnsi="宋体" w:cs="宋体"/>
                      <w:color w:val="auto"/>
                      <w:kern w:val="0"/>
                      <w:lang w:bidi="ar"/>
                    </w:rPr>
                    <w:t>白油</w:t>
                  </w:r>
                </w:p>
              </w:tc>
              <w:tc>
                <w:tcPr>
                  <w:tcW w:w="729" w:type="dxa"/>
                  <w:vMerge w:val="continue"/>
                  <w:vAlign w:val="center"/>
                </w:tcPr>
                <w:p w14:paraId="2C454A55">
                  <w:pPr>
                    <w:spacing w:line="0" w:lineRule="atLeast"/>
                    <w:jc w:val="center"/>
                    <w:rPr>
                      <w:color w:val="auto"/>
                      <w:kern w:val="0"/>
                    </w:rPr>
                  </w:pPr>
                </w:p>
              </w:tc>
              <w:tc>
                <w:tcPr>
                  <w:tcW w:w="643" w:type="dxa"/>
                  <w:vAlign w:val="center"/>
                </w:tcPr>
                <w:p w14:paraId="163F5584">
                  <w:pPr>
                    <w:jc w:val="center"/>
                    <w:rPr>
                      <w:color w:val="auto"/>
                      <w:kern w:val="0"/>
                    </w:rPr>
                  </w:pPr>
                  <w:r>
                    <w:rPr>
                      <w:color w:val="auto"/>
                      <w:kern w:val="0"/>
                    </w:rPr>
                    <w:t>T</w:t>
                  </w:r>
                  <w:r>
                    <w:rPr>
                      <w:rFonts w:hint="eastAsia"/>
                      <w:color w:val="auto"/>
                      <w:kern w:val="0"/>
                      <w:lang w:eastAsia="zh-CN"/>
                    </w:rPr>
                    <w:t>，</w:t>
                  </w:r>
                  <w:r>
                    <w:rPr>
                      <w:color w:val="auto"/>
                      <w:kern w:val="0"/>
                    </w:rPr>
                    <w:t>I</w:t>
                  </w:r>
                </w:p>
              </w:tc>
              <w:tc>
                <w:tcPr>
                  <w:tcW w:w="846" w:type="dxa"/>
                  <w:vAlign w:val="center"/>
                </w:tcPr>
                <w:p w14:paraId="3388316D">
                  <w:pPr>
                    <w:jc w:val="center"/>
                    <w:rPr>
                      <w:rFonts w:hint="eastAsia" w:eastAsia="宋体"/>
                      <w:color w:val="auto"/>
                      <w:kern w:val="0"/>
                      <w:lang w:eastAsia="zh-CN"/>
                    </w:rPr>
                  </w:pPr>
                  <w:r>
                    <w:rPr>
                      <w:color w:val="auto"/>
                    </w:rPr>
                    <w:t>HW0</w:t>
                  </w:r>
                  <w:r>
                    <w:rPr>
                      <w:rFonts w:hint="eastAsia"/>
                      <w:color w:val="auto"/>
                      <w:lang w:val="en-US" w:eastAsia="zh-CN"/>
                    </w:rPr>
                    <w:t>8</w:t>
                  </w:r>
                </w:p>
              </w:tc>
              <w:tc>
                <w:tcPr>
                  <w:tcW w:w="868" w:type="dxa"/>
                  <w:vAlign w:val="center"/>
                </w:tcPr>
                <w:p w14:paraId="179B9A56">
                  <w:pPr>
                    <w:jc w:val="center"/>
                    <w:rPr>
                      <w:rFonts w:hint="eastAsia" w:eastAsia="宋体"/>
                      <w:color w:val="auto"/>
                      <w:kern w:val="0"/>
                      <w:lang w:eastAsia="zh-CN"/>
                    </w:rPr>
                  </w:pPr>
                  <w:r>
                    <w:rPr>
                      <w:color w:val="auto"/>
                    </w:rPr>
                    <w:t>900-</w:t>
                  </w:r>
                  <w:r>
                    <w:rPr>
                      <w:rFonts w:hint="eastAsia"/>
                      <w:color w:val="auto"/>
                      <w:lang w:val="en-US" w:eastAsia="zh-CN"/>
                    </w:rPr>
                    <w:t>201</w:t>
                  </w:r>
                  <w:r>
                    <w:rPr>
                      <w:color w:val="auto"/>
                    </w:rPr>
                    <w:t>-0</w:t>
                  </w:r>
                  <w:r>
                    <w:rPr>
                      <w:rFonts w:hint="eastAsia"/>
                      <w:color w:val="auto"/>
                      <w:lang w:val="en-US" w:eastAsia="zh-CN"/>
                    </w:rPr>
                    <w:t>8</w:t>
                  </w:r>
                </w:p>
              </w:tc>
              <w:tc>
                <w:tcPr>
                  <w:tcW w:w="801" w:type="dxa"/>
                  <w:vAlign w:val="center"/>
                </w:tcPr>
                <w:p w14:paraId="0DB67D44">
                  <w:pPr>
                    <w:spacing w:line="0" w:lineRule="atLeast"/>
                    <w:jc w:val="center"/>
                    <w:rPr>
                      <w:color w:val="auto"/>
                      <w:kern w:val="0"/>
                    </w:rPr>
                  </w:pPr>
                  <w:r>
                    <w:rPr>
                      <w:rFonts w:hint="eastAsia"/>
                      <w:color w:val="auto"/>
                      <w:kern w:val="0"/>
                    </w:rPr>
                    <w:t>0.5</w:t>
                  </w:r>
                </w:p>
              </w:tc>
              <w:tc>
                <w:tcPr>
                  <w:tcW w:w="753" w:type="dxa"/>
                  <w:vMerge w:val="continue"/>
                  <w:vAlign w:val="center"/>
                </w:tcPr>
                <w:p w14:paraId="6EA5DF38">
                  <w:pPr>
                    <w:spacing w:line="0" w:lineRule="atLeast"/>
                    <w:jc w:val="center"/>
                    <w:rPr>
                      <w:color w:val="auto"/>
                      <w:kern w:val="0"/>
                    </w:rPr>
                  </w:pPr>
                </w:p>
              </w:tc>
            </w:tr>
            <w:tr w14:paraId="75AE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7EE6D508">
                  <w:pPr>
                    <w:spacing w:line="0" w:lineRule="atLeast"/>
                    <w:jc w:val="center"/>
                    <w:rPr>
                      <w:color w:val="auto"/>
                      <w:kern w:val="0"/>
                    </w:rPr>
                  </w:pPr>
                  <w:r>
                    <w:rPr>
                      <w:rFonts w:hint="eastAsia"/>
                      <w:color w:val="auto"/>
                      <w:kern w:val="0"/>
                    </w:rPr>
                    <w:t>/</w:t>
                  </w:r>
                </w:p>
              </w:tc>
              <w:tc>
                <w:tcPr>
                  <w:tcW w:w="751" w:type="dxa"/>
                  <w:vAlign w:val="center"/>
                </w:tcPr>
                <w:p w14:paraId="37D5A6F5">
                  <w:pPr>
                    <w:jc w:val="center"/>
                    <w:rPr>
                      <w:color w:val="auto"/>
                      <w:kern w:val="0"/>
                    </w:rPr>
                  </w:pPr>
                  <w:r>
                    <w:rPr>
                      <w:color w:val="auto"/>
                    </w:rPr>
                    <w:t>废包装桶</w:t>
                  </w:r>
                </w:p>
              </w:tc>
              <w:tc>
                <w:tcPr>
                  <w:tcW w:w="647" w:type="dxa"/>
                  <w:vMerge w:val="continue"/>
                  <w:vAlign w:val="center"/>
                </w:tcPr>
                <w:p w14:paraId="0D981848">
                  <w:pPr>
                    <w:spacing w:line="0" w:lineRule="atLeast"/>
                    <w:jc w:val="center"/>
                    <w:rPr>
                      <w:color w:val="auto"/>
                      <w:kern w:val="0"/>
                    </w:rPr>
                  </w:pPr>
                </w:p>
              </w:tc>
              <w:tc>
                <w:tcPr>
                  <w:tcW w:w="793" w:type="dxa"/>
                  <w:vAlign w:val="center"/>
                </w:tcPr>
                <w:p w14:paraId="1977C650">
                  <w:pPr>
                    <w:widowControl/>
                    <w:jc w:val="center"/>
                    <w:textAlignment w:val="center"/>
                    <w:rPr>
                      <w:color w:val="auto"/>
                      <w:kern w:val="0"/>
                    </w:rPr>
                  </w:pPr>
                  <w:r>
                    <w:rPr>
                      <w:rFonts w:hint="eastAsia" w:ascii="宋体" w:hAnsi="宋体" w:cs="宋体"/>
                      <w:color w:val="auto"/>
                      <w:kern w:val="0"/>
                      <w:lang w:bidi="ar"/>
                    </w:rPr>
                    <w:t>原料包装</w:t>
                  </w:r>
                </w:p>
              </w:tc>
              <w:tc>
                <w:tcPr>
                  <w:tcW w:w="643" w:type="dxa"/>
                  <w:vAlign w:val="center"/>
                </w:tcPr>
                <w:p w14:paraId="4E402EF6">
                  <w:pPr>
                    <w:jc w:val="center"/>
                    <w:rPr>
                      <w:color w:val="auto"/>
                      <w:kern w:val="0"/>
                    </w:rPr>
                  </w:pPr>
                  <w:r>
                    <w:rPr>
                      <w:color w:val="auto"/>
                    </w:rPr>
                    <w:t>固态</w:t>
                  </w:r>
                </w:p>
              </w:tc>
              <w:tc>
                <w:tcPr>
                  <w:tcW w:w="846" w:type="dxa"/>
                  <w:vAlign w:val="center"/>
                </w:tcPr>
                <w:p w14:paraId="32B5D6A5">
                  <w:pPr>
                    <w:widowControl/>
                    <w:jc w:val="center"/>
                    <w:textAlignment w:val="center"/>
                    <w:rPr>
                      <w:color w:val="auto"/>
                      <w:kern w:val="0"/>
                    </w:rPr>
                  </w:pPr>
                  <w:r>
                    <w:rPr>
                      <w:rFonts w:hint="eastAsia" w:ascii="宋体" w:hAnsi="宋体" w:cs="宋体"/>
                      <w:color w:val="auto"/>
                      <w:kern w:val="0"/>
                      <w:lang w:bidi="ar"/>
                    </w:rPr>
                    <w:t>沾白油等包装桶</w:t>
                  </w:r>
                </w:p>
              </w:tc>
              <w:tc>
                <w:tcPr>
                  <w:tcW w:w="729" w:type="dxa"/>
                  <w:vMerge w:val="continue"/>
                  <w:vAlign w:val="center"/>
                </w:tcPr>
                <w:p w14:paraId="17094157">
                  <w:pPr>
                    <w:spacing w:line="0" w:lineRule="atLeast"/>
                    <w:jc w:val="center"/>
                    <w:rPr>
                      <w:color w:val="auto"/>
                      <w:kern w:val="0"/>
                    </w:rPr>
                  </w:pPr>
                </w:p>
              </w:tc>
              <w:tc>
                <w:tcPr>
                  <w:tcW w:w="643" w:type="dxa"/>
                  <w:vAlign w:val="center"/>
                </w:tcPr>
                <w:p w14:paraId="387B2C29">
                  <w:pPr>
                    <w:spacing w:line="0" w:lineRule="atLeast"/>
                    <w:jc w:val="center"/>
                    <w:rPr>
                      <w:color w:val="auto"/>
                      <w:kern w:val="0"/>
                    </w:rPr>
                  </w:pPr>
                  <w:r>
                    <w:rPr>
                      <w:color w:val="auto"/>
                      <w:kern w:val="0"/>
                    </w:rPr>
                    <w:t>T</w:t>
                  </w:r>
                  <w:r>
                    <w:rPr>
                      <w:rFonts w:hint="eastAsia"/>
                      <w:color w:val="auto"/>
                      <w:kern w:val="0"/>
                      <w:lang w:eastAsia="zh-CN"/>
                    </w:rPr>
                    <w:t>，</w:t>
                  </w:r>
                  <w:r>
                    <w:rPr>
                      <w:color w:val="auto"/>
                      <w:kern w:val="0"/>
                    </w:rPr>
                    <w:t>I</w:t>
                  </w:r>
                </w:p>
              </w:tc>
              <w:tc>
                <w:tcPr>
                  <w:tcW w:w="846" w:type="dxa"/>
                  <w:vAlign w:val="center"/>
                </w:tcPr>
                <w:p w14:paraId="7737B46E">
                  <w:pPr>
                    <w:autoSpaceDE w:val="0"/>
                    <w:autoSpaceDN w:val="0"/>
                    <w:spacing w:line="0" w:lineRule="atLeast"/>
                    <w:jc w:val="center"/>
                    <w:rPr>
                      <w:rFonts w:hint="default" w:eastAsia="宋体"/>
                      <w:color w:val="auto"/>
                      <w:kern w:val="0"/>
                      <w:lang w:val="en-US" w:eastAsia="zh-CN"/>
                    </w:rPr>
                  </w:pPr>
                  <w:r>
                    <w:rPr>
                      <w:color w:val="auto"/>
                      <w:kern w:val="0"/>
                    </w:rPr>
                    <w:t>HW</w:t>
                  </w:r>
                  <w:r>
                    <w:rPr>
                      <w:rFonts w:hint="eastAsia"/>
                      <w:color w:val="auto"/>
                      <w:kern w:val="0"/>
                      <w:lang w:val="en-US" w:eastAsia="zh-CN"/>
                    </w:rPr>
                    <w:t>08</w:t>
                  </w:r>
                </w:p>
              </w:tc>
              <w:tc>
                <w:tcPr>
                  <w:tcW w:w="868" w:type="dxa"/>
                  <w:vAlign w:val="center"/>
                </w:tcPr>
                <w:p w14:paraId="5A26BF9D">
                  <w:pPr>
                    <w:spacing w:line="0" w:lineRule="atLeast"/>
                    <w:jc w:val="center"/>
                    <w:rPr>
                      <w:rFonts w:hint="default" w:eastAsia="宋体"/>
                      <w:color w:val="auto"/>
                      <w:kern w:val="0"/>
                      <w:lang w:val="en-US" w:eastAsia="zh-CN"/>
                    </w:rPr>
                  </w:pPr>
                  <w:r>
                    <w:rPr>
                      <w:color w:val="auto"/>
                      <w:kern w:val="0"/>
                    </w:rPr>
                    <w:t>900-</w:t>
                  </w:r>
                  <w:r>
                    <w:rPr>
                      <w:rFonts w:hint="eastAsia"/>
                      <w:color w:val="auto"/>
                      <w:kern w:val="0"/>
                      <w:lang w:val="en-US" w:eastAsia="zh-CN"/>
                    </w:rPr>
                    <w:t>249</w:t>
                  </w:r>
                  <w:r>
                    <w:rPr>
                      <w:color w:val="auto"/>
                      <w:kern w:val="0"/>
                    </w:rPr>
                    <w:t>-</w:t>
                  </w:r>
                  <w:r>
                    <w:rPr>
                      <w:rFonts w:hint="eastAsia"/>
                      <w:color w:val="auto"/>
                      <w:kern w:val="0"/>
                      <w:lang w:val="en-US" w:eastAsia="zh-CN"/>
                    </w:rPr>
                    <w:t>08</w:t>
                  </w:r>
                </w:p>
              </w:tc>
              <w:tc>
                <w:tcPr>
                  <w:tcW w:w="801" w:type="dxa"/>
                  <w:vAlign w:val="center"/>
                </w:tcPr>
                <w:p w14:paraId="0A5D0829">
                  <w:pPr>
                    <w:spacing w:line="0" w:lineRule="atLeast"/>
                    <w:jc w:val="center"/>
                    <w:rPr>
                      <w:rFonts w:hint="default" w:eastAsia="宋体"/>
                      <w:color w:val="auto"/>
                      <w:kern w:val="0"/>
                      <w:lang w:val="en-US" w:eastAsia="zh-CN"/>
                    </w:rPr>
                  </w:pPr>
                  <w:r>
                    <w:rPr>
                      <w:rFonts w:hint="eastAsia"/>
                      <w:color w:val="auto"/>
                      <w:kern w:val="0"/>
                      <w:lang w:val="en-US" w:eastAsia="zh-CN"/>
                    </w:rPr>
                    <w:t>1.89</w:t>
                  </w:r>
                </w:p>
              </w:tc>
              <w:tc>
                <w:tcPr>
                  <w:tcW w:w="753" w:type="dxa"/>
                  <w:vMerge w:val="continue"/>
                  <w:vAlign w:val="center"/>
                </w:tcPr>
                <w:p w14:paraId="6B354761">
                  <w:pPr>
                    <w:spacing w:line="0" w:lineRule="atLeast"/>
                    <w:jc w:val="center"/>
                    <w:rPr>
                      <w:color w:val="auto"/>
                      <w:kern w:val="0"/>
                    </w:rPr>
                  </w:pPr>
                </w:p>
              </w:tc>
            </w:tr>
            <w:tr w14:paraId="62CE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051881E0">
                  <w:pPr>
                    <w:spacing w:line="0" w:lineRule="atLeast"/>
                    <w:jc w:val="center"/>
                    <w:rPr>
                      <w:color w:val="auto"/>
                      <w:kern w:val="0"/>
                    </w:rPr>
                  </w:pPr>
                  <w:r>
                    <w:rPr>
                      <w:rFonts w:hint="eastAsia"/>
                      <w:color w:val="auto"/>
                      <w:kern w:val="0"/>
                    </w:rPr>
                    <w:t>/</w:t>
                  </w:r>
                </w:p>
              </w:tc>
              <w:tc>
                <w:tcPr>
                  <w:tcW w:w="751" w:type="dxa"/>
                  <w:vAlign w:val="center"/>
                </w:tcPr>
                <w:p w14:paraId="725B1542">
                  <w:pPr>
                    <w:jc w:val="center"/>
                    <w:rPr>
                      <w:color w:val="auto"/>
                      <w:kern w:val="0"/>
                    </w:rPr>
                  </w:pPr>
                  <w:r>
                    <w:rPr>
                      <w:color w:val="auto"/>
                    </w:rPr>
                    <w:t>废活性炭</w:t>
                  </w:r>
                </w:p>
              </w:tc>
              <w:tc>
                <w:tcPr>
                  <w:tcW w:w="647" w:type="dxa"/>
                  <w:vMerge w:val="continue"/>
                  <w:vAlign w:val="center"/>
                </w:tcPr>
                <w:p w14:paraId="0F1EF273">
                  <w:pPr>
                    <w:spacing w:line="0" w:lineRule="atLeast"/>
                    <w:jc w:val="center"/>
                    <w:rPr>
                      <w:color w:val="auto"/>
                      <w:kern w:val="0"/>
                    </w:rPr>
                  </w:pPr>
                </w:p>
              </w:tc>
              <w:tc>
                <w:tcPr>
                  <w:tcW w:w="793" w:type="dxa"/>
                  <w:vAlign w:val="center"/>
                </w:tcPr>
                <w:p w14:paraId="1DD697BD">
                  <w:pPr>
                    <w:widowControl/>
                    <w:jc w:val="center"/>
                    <w:textAlignment w:val="center"/>
                    <w:rPr>
                      <w:color w:val="auto"/>
                      <w:kern w:val="0"/>
                    </w:rPr>
                  </w:pPr>
                  <w:r>
                    <w:rPr>
                      <w:rFonts w:hint="eastAsia" w:ascii="宋体" w:hAnsi="宋体" w:cs="宋体"/>
                      <w:color w:val="auto"/>
                      <w:kern w:val="0"/>
                      <w:lang w:bidi="ar"/>
                    </w:rPr>
                    <w:t>废气处理</w:t>
                  </w:r>
                </w:p>
              </w:tc>
              <w:tc>
                <w:tcPr>
                  <w:tcW w:w="643" w:type="dxa"/>
                  <w:vAlign w:val="center"/>
                </w:tcPr>
                <w:p w14:paraId="57887135">
                  <w:pPr>
                    <w:jc w:val="center"/>
                    <w:rPr>
                      <w:color w:val="auto"/>
                      <w:kern w:val="0"/>
                    </w:rPr>
                  </w:pPr>
                  <w:r>
                    <w:rPr>
                      <w:color w:val="auto"/>
                    </w:rPr>
                    <w:t>固态</w:t>
                  </w:r>
                </w:p>
              </w:tc>
              <w:tc>
                <w:tcPr>
                  <w:tcW w:w="846" w:type="dxa"/>
                  <w:vAlign w:val="center"/>
                </w:tcPr>
                <w:p w14:paraId="4ED3D2BB">
                  <w:pPr>
                    <w:widowControl/>
                    <w:jc w:val="center"/>
                    <w:textAlignment w:val="center"/>
                    <w:rPr>
                      <w:color w:val="auto"/>
                      <w:kern w:val="0"/>
                    </w:rPr>
                  </w:pPr>
                  <w:r>
                    <w:rPr>
                      <w:rFonts w:hint="eastAsia" w:ascii="宋体" w:hAnsi="宋体" w:cs="宋体"/>
                      <w:color w:val="auto"/>
                      <w:kern w:val="0"/>
                      <w:lang w:bidi="ar"/>
                    </w:rPr>
                    <w:t>活性炭、有机物</w:t>
                  </w:r>
                </w:p>
              </w:tc>
              <w:tc>
                <w:tcPr>
                  <w:tcW w:w="729" w:type="dxa"/>
                  <w:vMerge w:val="continue"/>
                  <w:vAlign w:val="center"/>
                </w:tcPr>
                <w:p w14:paraId="79B24D00">
                  <w:pPr>
                    <w:spacing w:line="0" w:lineRule="atLeast"/>
                    <w:jc w:val="center"/>
                    <w:rPr>
                      <w:color w:val="auto"/>
                      <w:kern w:val="0"/>
                    </w:rPr>
                  </w:pPr>
                </w:p>
              </w:tc>
              <w:tc>
                <w:tcPr>
                  <w:tcW w:w="643" w:type="dxa"/>
                  <w:vAlign w:val="center"/>
                </w:tcPr>
                <w:p w14:paraId="755F4D65">
                  <w:pPr>
                    <w:spacing w:line="0" w:lineRule="atLeast"/>
                    <w:jc w:val="center"/>
                    <w:rPr>
                      <w:color w:val="auto"/>
                      <w:kern w:val="0"/>
                    </w:rPr>
                  </w:pPr>
                  <w:r>
                    <w:rPr>
                      <w:color w:val="auto"/>
                      <w:kern w:val="0"/>
                    </w:rPr>
                    <w:t>T</w:t>
                  </w:r>
                </w:p>
              </w:tc>
              <w:tc>
                <w:tcPr>
                  <w:tcW w:w="846" w:type="dxa"/>
                  <w:vAlign w:val="center"/>
                </w:tcPr>
                <w:p w14:paraId="5E8383B7">
                  <w:pPr>
                    <w:autoSpaceDE w:val="0"/>
                    <w:autoSpaceDN w:val="0"/>
                    <w:spacing w:line="0" w:lineRule="atLeast"/>
                    <w:jc w:val="center"/>
                    <w:rPr>
                      <w:color w:val="auto"/>
                      <w:kern w:val="0"/>
                    </w:rPr>
                  </w:pPr>
                  <w:r>
                    <w:rPr>
                      <w:color w:val="auto"/>
                      <w:kern w:val="0"/>
                    </w:rPr>
                    <w:t>HW49</w:t>
                  </w:r>
                </w:p>
              </w:tc>
              <w:tc>
                <w:tcPr>
                  <w:tcW w:w="868" w:type="dxa"/>
                  <w:vAlign w:val="center"/>
                </w:tcPr>
                <w:p w14:paraId="47D2BCB6">
                  <w:pPr>
                    <w:spacing w:line="0" w:lineRule="atLeast"/>
                    <w:jc w:val="center"/>
                    <w:rPr>
                      <w:color w:val="auto"/>
                      <w:kern w:val="0"/>
                    </w:rPr>
                  </w:pPr>
                  <w:r>
                    <w:rPr>
                      <w:color w:val="auto"/>
                      <w:kern w:val="0"/>
                    </w:rPr>
                    <w:t>900-039-49</w:t>
                  </w:r>
                </w:p>
              </w:tc>
              <w:tc>
                <w:tcPr>
                  <w:tcW w:w="801" w:type="dxa"/>
                  <w:vAlign w:val="center"/>
                </w:tcPr>
                <w:p w14:paraId="4D4293BE">
                  <w:pPr>
                    <w:spacing w:line="0" w:lineRule="atLeast"/>
                    <w:jc w:val="center"/>
                    <w:rPr>
                      <w:rFonts w:hint="default" w:eastAsia="宋体"/>
                      <w:color w:val="auto"/>
                      <w:kern w:val="0"/>
                      <w:lang w:val="en-US" w:eastAsia="zh-CN"/>
                    </w:rPr>
                  </w:pPr>
                  <w:r>
                    <w:rPr>
                      <w:rFonts w:hint="eastAsia"/>
                      <w:color w:val="auto"/>
                      <w:kern w:val="0"/>
                      <w:lang w:val="en-US" w:eastAsia="zh-CN"/>
                    </w:rPr>
                    <w:t>8.82</w:t>
                  </w:r>
                </w:p>
              </w:tc>
              <w:tc>
                <w:tcPr>
                  <w:tcW w:w="753" w:type="dxa"/>
                  <w:vMerge w:val="continue"/>
                  <w:vAlign w:val="center"/>
                </w:tcPr>
                <w:p w14:paraId="356A9A7B">
                  <w:pPr>
                    <w:spacing w:line="0" w:lineRule="atLeast"/>
                    <w:jc w:val="center"/>
                    <w:rPr>
                      <w:color w:val="auto"/>
                      <w:kern w:val="0"/>
                    </w:rPr>
                  </w:pPr>
                </w:p>
              </w:tc>
            </w:tr>
            <w:tr w14:paraId="55A5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440E636F">
                  <w:pPr>
                    <w:spacing w:line="0" w:lineRule="atLeast"/>
                    <w:jc w:val="center"/>
                    <w:rPr>
                      <w:color w:val="auto"/>
                      <w:kern w:val="0"/>
                    </w:rPr>
                  </w:pPr>
                  <w:r>
                    <w:rPr>
                      <w:rFonts w:hint="eastAsia"/>
                      <w:color w:val="auto"/>
                      <w:kern w:val="0"/>
                    </w:rPr>
                    <w:t>/</w:t>
                  </w:r>
                </w:p>
              </w:tc>
              <w:tc>
                <w:tcPr>
                  <w:tcW w:w="751" w:type="dxa"/>
                  <w:vAlign w:val="center"/>
                </w:tcPr>
                <w:p w14:paraId="0F6E2082">
                  <w:pPr>
                    <w:jc w:val="center"/>
                    <w:rPr>
                      <w:rFonts w:hint="eastAsia" w:eastAsia="宋体"/>
                      <w:color w:val="auto"/>
                      <w:lang w:eastAsia="zh-CN"/>
                    </w:rPr>
                  </w:pPr>
                  <w:r>
                    <w:rPr>
                      <w:rFonts w:hint="eastAsia"/>
                      <w:color w:val="auto"/>
                      <w:lang w:eastAsia="zh-CN"/>
                    </w:rPr>
                    <w:t>磨削灰</w:t>
                  </w:r>
                </w:p>
              </w:tc>
              <w:tc>
                <w:tcPr>
                  <w:tcW w:w="647" w:type="dxa"/>
                  <w:vMerge w:val="continue"/>
                  <w:vAlign w:val="center"/>
                </w:tcPr>
                <w:p w14:paraId="524E0BEA">
                  <w:pPr>
                    <w:spacing w:line="0" w:lineRule="atLeast"/>
                    <w:jc w:val="center"/>
                    <w:rPr>
                      <w:color w:val="auto"/>
                      <w:kern w:val="0"/>
                    </w:rPr>
                  </w:pPr>
                </w:p>
              </w:tc>
              <w:tc>
                <w:tcPr>
                  <w:tcW w:w="793" w:type="dxa"/>
                  <w:vAlign w:val="center"/>
                </w:tcPr>
                <w:p w14:paraId="14CB20D2">
                  <w:pPr>
                    <w:widowControl/>
                    <w:jc w:val="center"/>
                    <w:textAlignment w:val="center"/>
                    <w:rPr>
                      <w:rFonts w:ascii="宋体" w:hAnsi="宋体" w:cs="宋体"/>
                      <w:color w:val="auto"/>
                      <w:kern w:val="0"/>
                      <w:lang w:bidi="ar"/>
                    </w:rPr>
                  </w:pPr>
                  <w:r>
                    <w:rPr>
                      <w:rFonts w:hint="eastAsia" w:ascii="宋体" w:hAnsi="宋体" w:cs="宋体"/>
                      <w:color w:val="auto"/>
                      <w:kern w:val="0"/>
                      <w:lang w:bidi="ar"/>
                    </w:rPr>
                    <w:t>机加工</w:t>
                  </w:r>
                </w:p>
              </w:tc>
              <w:tc>
                <w:tcPr>
                  <w:tcW w:w="643" w:type="dxa"/>
                  <w:vAlign w:val="center"/>
                </w:tcPr>
                <w:p w14:paraId="316BCBC7">
                  <w:pPr>
                    <w:jc w:val="center"/>
                    <w:rPr>
                      <w:color w:val="auto"/>
                    </w:rPr>
                  </w:pPr>
                  <w:r>
                    <w:rPr>
                      <w:color w:val="auto"/>
                    </w:rPr>
                    <w:t>固态</w:t>
                  </w:r>
                </w:p>
              </w:tc>
              <w:tc>
                <w:tcPr>
                  <w:tcW w:w="846" w:type="dxa"/>
                  <w:vAlign w:val="center"/>
                </w:tcPr>
                <w:p w14:paraId="23A70CA5">
                  <w:pPr>
                    <w:jc w:val="center"/>
                    <w:rPr>
                      <w:rFonts w:ascii="宋体" w:hAnsi="宋体" w:cs="宋体"/>
                      <w:color w:val="auto"/>
                      <w:kern w:val="0"/>
                      <w:lang w:bidi="ar"/>
                    </w:rPr>
                  </w:pPr>
                  <w:r>
                    <w:rPr>
                      <w:rFonts w:hint="eastAsia" w:ascii="宋体" w:hAnsi="宋体" w:cs="宋体"/>
                      <w:color w:val="auto"/>
                      <w:kern w:val="0"/>
                      <w:lang w:bidi="ar"/>
                    </w:rPr>
                    <w:t>含油金属边角料与砂轮灰混合物</w:t>
                  </w:r>
                </w:p>
              </w:tc>
              <w:tc>
                <w:tcPr>
                  <w:tcW w:w="729" w:type="dxa"/>
                  <w:vMerge w:val="continue"/>
                  <w:vAlign w:val="center"/>
                </w:tcPr>
                <w:p w14:paraId="389DAD3F">
                  <w:pPr>
                    <w:spacing w:line="0" w:lineRule="atLeast"/>
                    <w:jc w:val="center"/>
                    <w:rPr>
                      <w:color w:val="auto"/>
                      <w:kern w:val="0"/>
                    </w:rPr>
                  </w:pPr>
                </w:p>
              </w:tc>
              <w:tc>
                <w:tcPr>
                  <w:tcW w:w="643" w:type="dxa"/>
                  <w:vAlign w:val="center"/>
                </w:tcPr>
                <w:p w14:paraId="44A242EA">
                  <w:pPr>
                    <w:spacing w:line="0" w:lineRule="atLeast"/>
                    <w:jc w:val="center"/>
                    <w:rPr>
                      <w:color w:val="auto"/>
                      <w:kern w:val="0"/>
                    </w:rPr>
                  </w:pPr>
                  <w:r>
                    <w:rPr>
                      <w:color w:val="auto"/>
                      <w:kern w:val="0"/>
                    </w:rPr>
                    <w:t>T/I</w:t>
                  </w:r>
                </w:p>
              </w:tc>
              <w:tc>
                <w:tcPr>
                  <w:tcW w:w="846" w:type="dxa"/>
                  <w:vAlign w:val="center"/>
                </w:tcPr>
                <w:p w14:paraId="70515B15">
                  <w:pPr>
                    <w:autoSpaceDE w:val="0"/>
                    <w:autoSpaceDN w:val="0"/>
                    <w:spacing w:line="0" w:lineRule="atLeast"/>
                    <w:jc w:val="center"/>
                    <w:rPr>
                      <w:color w:val="auto"/>
                      <w:kern w:val="0"/>
                    </w:rPr>
                  </w:pPr>
                  <w:r>
                    <w:rPr>
                      <w:color w:val="auto"/>
                      <w:kern w:val="0"/>
                    </w:rPr>
                    <w:t>HW49</w:t>
                  </w:r>
                </w:p>
              </w:tc>
              <w:tc>
                <w:tcPr>
                  <w:tcW w:w="868" w:type="dxa"/>
                  <w:vAlign w:val="center"/>
                </w:tcPr>
                <w:p w14:paraId="107B1ADF">
                  <w:pPr>
                    <w:spacing w:line="0" w:lineRule="atLeast"/>
                    <w:jc w:val="center"/>
                    <w:rPr>
                      <w:color w:val="auto"/>
                      <w:kern w:val="0"/>
                    </w:rPr>
                  </w:pPr>
                  <w:r>
                    <w:rPr>
                      <w:color w:val="auto"/>
                      <w:kern w:val="0"/>
                    </w:rPr>
                    <w:t>900-041-49</w:t>
                  </w:r>
                </w:p>
              </w:tc>
              <w:tc>
                <w:tcPr>
                  <w:tcW w:w="801" w:type="dxa"/>
                  <w:vAlign w:val="center"/>
                </w:tcPr>
                <w:p w14:paraId="047BA4C1">
                  <w:pPr>
                    <w:spacing w:line="0" w:lineRule="atLeast"/>
                    <w:jc w:val="center"/>
                    <w:rPr>
                      <w:color w:val="auto"/>
                      <w:kern w:val="0"/>
                    </w:rPr>
                  </w:pPr>
                  <w:r>
                    <w:rPr>
                      <w:rFonts w:hint="eastAsia"/>
                      <w:color w:val="auto"/>
                      <w:kern w:val="0"/>
                    </w:rPr>
                    <w:t>2</w:t>
                  </w:r>
                </w:p>
              </w:tc>
              <w:tc>
                <w:tcPr>
                  <w:tcW w:w="753" w:type="dxa"/>
                  <w:vMerge w:val="continue"/>
                  <w:vAlign w:val="center"/>
                </w:tcPr>
                <w:p w14:paraId="3A4EEF4A">
                  <w:pPr>
                    <w:spacing w:line="0" w:lineRule="atLeast"/>
                    <w:jc w:val="center"/>
                    <w:rPr>
                      <w:color w:val="auto"/>
                      <w:kern w:val="0"/>
                    </w:rPr>
                  </w:pPr>
                </w:p>
              </w:tc>
            </w:tr>
            <w:tr w14:paraId="412F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56734F4B">
                  <w:pPr>
                    <w:spacing w:line="0" w:lineRule="atLeast"/>
                    <w:jc w:val="center"/>
                    <w:rPr>
                      <w:rFonts w:hint="eastAsia"/>
                      <w:color w:val="auto"/>
                      <w:kern w:val="0"/>
                    </w:rPr>
                  </w:pPr>
                  <w:r>
                    <w:rPr>
                      <w:rFonts w:hint="eastAsia"/>
                      <w:color w:val="auto"/>
                      <w:kern w:val="0"/>
                    </w:rPr>
                    <w:t>/</w:t>
                  </w:r>
                </w:p>
              </w:tc>
              <w:tc>
                <w:tcPr>
                  <w:tcW w:w="751" w:type="dxa"/>
                  <w:vAlign w:val="center"/>
                </w:tcPr>
                <w:p w14:paraId="7E9BCD1D">
                  <w:pPr>
                    <w:jc w:val="center"/>
                    <w:rPr>
                      <w:rFonts w:hint="default"/>
                      <w:color w:val="auto"/>
                      <w:lang w:val="en-US" w:eastAsia="zh-CN"/>
                    </w:rPr>
                  </w:pPr>
                  <w:r>
                    <w:rPr>
                      <w:rFonts w:hint="eastAsia"/>
                      <w:color w:val="auto"/>
                      <w:lang w:val="en-US" w:eastAsia="zh-CN"/>
                    </w:rPr>
                    <w:t>废机油</w:t>
                  </w:r>
                </w:p>
              </w:tc>
              <w:tc>
                <w:tcPr>
                  <w:tcW w:w="647" w:type="dxa"/>
                  <w:vMerge w:val="continue"/>
                  <w:vAlign w:val="center"/>
                </w:tcPr>
                <w:p w14:paraId="4A056AF7">
                  <w:pPr>
                    <w:spacing w:line="0" w:lineRule="atLeast"/>
                    <w:jc w:val="center"/>
                    <w:rPr>
                      <w:color w:val="auto"/>
                      <w:kern w:val="0"/>
                    </w:rPr>
                  </w:pPr>
                </w:p>
              </w:tc>
              <w:tc>
                <w:tcPr>
                  <w:tcW w:w="793" w:type="dxa"/>
                  <w:vAlign w:val="center"/>
                </w:tcPr>
                <w:p w14:paraId="3A282BF9">
                  <w:pPr>
                    <w:widowControl/>
                    <w:jc w:val="center"/>
                    <w:textAlignment w:val="center"/>
                    <w:rPr>
                      <w:rFonts w:hint="default" w:ascii="宋体" w:hAnsi="宋体" w:eastAsia="宋体" w:cs="宋体"/>
                      <w:color w:val="auto"/>
                      <w:kern w:val="0"/>
                      <w:lang w:val="en-US" w:eastAsia="zh-CN" w:bidi="ar"/>
                    </w:rPr>
                  </w:pPr>
                  <w:r>
                    <w:rPr>
                      <w:rFonts w:hint="eastAsia" w:ascii="宋体" w:hAnsi="宋体" w:cs="宋体"/>
                      <w:color w:val="auto"/>
                      <w:kern w:val="0"/>
                      <w:lang w:val="en-US" w:eastAsia="zh-CN" w:bidi="ar"/>
                    </w:rPr>
                    <w:t>设备维护</w:t>
                  </w:r>
                </w:p>
              </w:tc>
              <w:tc>
                <w:tcPr>
                  <w:tcW w:w="643" w:type="dxa"/>
                  <w:vAlign w:val="center"/>
                </w:tcPr>
                <w:p w14:paraId="1879378D">
                  <w:pPr>
                    <w:jc w:val="center"/>
                    <w:rPr>
                      <w:rFonts w:hint="eastAsia" w:eastAsia="宋体"/>
                      <w:color w:val="auto"/>
                      <w:lang w:val="en-US" w:eastAsia="zh-CN"/>
                    </w:rPr>
                  </w:pPr>
                  <w:r>
                    <w:rPr>
                      <w:rFonts w:hint="eastAsia"/>
                      <w:color w:val="auto"/>
                      <w:lang w:val="en-US" w:eastAsia="zh-CN"/>
                    </w:rPr>
                    <w:t>液态</w:t>
                  </w:r>
                </w:p>
              </w:tc>
              <w:tc>
                <w:tcPr>
                  <w:tcW w:w="846" w:type="dxa"/>
                  <w:vAlign w:val="center"/>
                </w:tcPr>
                <w:p w14:paraId="5F35E036">
                  <w:pPr>
                    <w:jc w:val="center"/>
                    <w:rPr>
                      <w:rFonts w:hint="default" w:ascii="宋体" w:hAnsi="宋体" w:eastAsia="宋体" w:cs="宋体"/>
                      <w:color w:val="auto"/>
                      <w:kern w:val="0"/>
                      <w:lang w:val="en-US" w:eastAsia="zh-CN" w:bidi="ar"/>
                    </w:rPr>
                  </w:pPr>
                  <w:r>
                    <w:rPr>
                      <w:rFonts w:hint="eastAsia" w:ascii="宋体" w:hAnsi="宋体" w:cs="宋体"/>
                      <w:color w:val="auto"/>
                      <w:kern w:val="0"/>
                      <w:lang w:val="en-US" w:eastAsia="zh-CN" w:bidi="ar"/>
                    </w:rPr>
                    <w:t>矿物油</w:t>
                  </w:r>
                </w:p>
              </w:tc>
              <w:tc>
                <w:tcPr>
                  <w:tcW w:w="729" w:type="dxa"/>
                  <w:vMerge w:val="continue"/>
                  <w:vAlign w:val="center"/>
                </w:tcPr>
                <w:p w14:paraId="378A426F">
                  <w:pPr>
                    <w:spacing w:line="0" w:lineRule="atLeast"/>
                    <w:jc w:val="center"/>
                    <w:rPr>
                      <w:color w:val="auto"/>
                      <w:kern w:val="0"/>
                    </w:rPr>
                  </w:pPr>
                </w:p>
              </w:tc>
              <w:tc>
                <w:tcPr>
                  <w:tcW w:w="643" w:type="dxa"/>
                  <w:vAlign w:val="center"/>
                </w:tcPr>
                <w:p w14:paraId="35ABBEC4">
                  <w:pPr>
                    <w:spacing w:line="0" w:lineRule="atLeast"/>
                    <w:jc w:val="center"/>
                    <w:rPr>
                      <w:rFonts w:hint="default" w:eastAsia="宋体"/>
                      <w:color w:val="auto"/>
                      <w:kern w:val="0"/>
                      <w:lang w:val="en-US" w:eastAsia="zh-CN"/>
                    </w:rPr>
                  </w:pPr>
                  <w:r>
                    <w:rPr>
                      <w:rFonts w:hint="eastAsia"/>
                      <w:color w:val="auto"/>
                      <w:kern w:val="0"/>
                      <w:lang w:val="en-US" w:eastAsia="zh-CN"/>
                    </w:rPr>
                    <w:t>T，I</w:t>
                  </w:r>
                </w:p>
              </w:tc>
              <w:tc>
                <w:tcPr>
                  <w:tcW w:w="846" w:type="dxa"/>
                  <w:vAlign w:val="center"/>
                </w:tcPr>
                <w:p w14:paraId="090134CC">
                  <w:pPr>
                    <w:jc w:val="center"/>
                    <w:rPr>
                      <w:color w:val="auto"/>
                      <w:kern w:val="0"/>
                    </w:rPr>
                  </w:pPr>
                  <w:r>
                    <w:rPr>
                      <w:color w:val="auto"/>
                    </w:rPr>
                    <w:t>HW0</w:t>
                  </w:r>
                  <w:r>
                    <w:rPr>
                      <w:rFonts w:hint="eastAsia"/>
                      <w:color w:val="auto"/>
                      <w:lang w:val="en-US" w:eastAsia="zh-CN"/>
                    </w:rPr>
                    <w:t>8</w:t>
                  </w:r>
                </w:p>
              </w:tc>
              <w:tc>
                <w:tcPr>
                  <w:tcW w:w="868" w:type="dxa"/>
                  <w:vAlign w:val="center"/>
                </w:tcPr>
                <w:p w14:paraId="106B9C49">
                  <w:pPr>
                    <w:jc w:val="center"/>
                    <w:rPr>
                      <w:color w:val="auto"/>
                      <w:kern w:val="0"/>
                    </w:rPr>
                  </w:pPr>
                  <w:r>
                    <w:rPr>
                      <w:color w:val="auto"/>
                    </w:rPr>
                    <w:t>900-</w:t>
                  </w:r>
                  <w:r>
                    <w:rPr>
                      <w:rFonts w:hint="eastAsia"/>
                      <w:color w:val="auto"/>
                      <w:lang w:val="en-US" w:eastAsia="zh-CN"/>
                    </w:rPr>
                    <w:t>214</w:t>
                  </w:r>
                  <w:r>
                    <w:rPr>
                      <w:color w:val="auto"/>
                    </w:rPr>
                    <w:t>-0</w:t>
                  </w:r>
                  <w:r>
                    <w:rPr>
                      <w:rFonts w:hint="eastAsia"/>
                      <w:color w:val="auto"/>
                      <w:lang w:val="en-US" w:eastAsia="zh-CN"/>
                    </w:rPr>
                    <w:t>8</w:t>
                  </w:r>
                </w:p>
              </w:tc>
              <w:tc>
                <w:tcPr>
                  <w:tcW w:w="801" w:type="dxa"/>
                  <w:vAlign w:val="center"/>
                </w:tcPr>
                <w:p w14:paraId="3E3A6D1B">
                  <w:pPr>
                    <w:spacing w:line="0" w:lineRule="atLeast"/>
                    <w:jc w:val="center"/>
                    <w:rPr>
                      <w:rFonts w:hint="eastAsia" w:eastAsia="宋体"/>
                      <w:color w:val="auto"/>
                      <w:kern w:val="0"/>
                      <w:lang w:val="en-US" w:eastAsia="zh-CN"/>
                    </w:rPr>
                  </w:pPr>
                  <w:r>
                    <w:rPr>
                      <w:rFonts w:hint="eastAsia"/>
                      <w:color w:val="auto"/>
                      <w:kern w:val="0"/>
                      <w:lang w:val="en-US" w:eastAsia="zh-CN"/>
                    </w:rPr>
                    <w:t>1</w:t>
                  </w:r>
                </w:p>
              </w:tc>
              <w:tc>
                <w:tcPr>
                  <w:tcW w:w="753" w:type="dxa"/>
                  <w:vMerge w:val="continue"/>
                  <w:vAlign w:val="center"/>
                </w:tcPr>
                <w:p w14:paraId="24E6C15C">
                  <w:pPr>
                    <w:spacing w:line="0" w:lineRule="atLeast"/>
                    <w:jc w:val="center"/>
                    <w:rPr>
                      <w:color w:val="auto"/>
                      <w:kern w:val="0"/>
                    </w:rPr>
                  </w:pPr>
                </w:p>
              </w:tc>
            </w:tr>
            <w:tr w14:paraId="3142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747A21BE">
                  <w:pPr>
                    <w:spacing w:line="0" w:lineRule="atLeast"/>
                    <w:jc w:val="center"/>
                    <w:rPr>
                      <w:color w:val="auto"/>
                      <w:kern w:val="0"/>
                    </w:rPr>
                  </w:pPr>
                  <w:r>
                    <w:rPr>
                      <w:rFonts w:hint="eastAsia"/>
                      <w:color w:val="auto"/>
                      <w:kern w:val="0"/>
                    </w:rPr>
                    <w:t>/</w:t>
                  </w:r>
                </w:p>
              </w:tc>
              <w:tc>
                <w:tcPr>
                  <w:tcW w:w="751" w:type="dxa"/>
                  <w:vAlign w:val="center"/>
                </w:tcPr>
                <w:p w14:paraId="4F52707E">
                  <w:pPr>
                    <w:jc w:val="center"/>
                    <w:rPr>
                      <w:color w:val="auto"/>
                    </w:rPr>
                  </w:pPr>
                  <w:r>
                    <w:rPr>
                      <w:rFonts w:hint="eastAsia"/>
                      <w:color w:val="auto"/>
                    </w:rPr>
                    <w:t>生活垃圾</w:t>
                  </w:r>
                </w:p>
              </w:tc>
              <w:tc>
                <w:tcPr>
                  <w:tcW w:w="647" w:type="dxa"/>
                  <w:vAlign w:val="center"/>
                </w:tcPr>
                <w:p w14:paraId="17E11A01">
                  <w:pPr>
                    <w:spacing w:line="0" w:lineRule="atLeast"/>
                    <w:jc w:val="center"/>
                    <w:rPr>
                      <w:color w:val="auto"/>
                      <w:kern w:val="0"/>
                    </w:rPr>
                  </w:pPr>
                  <w:r>
                    <w:rPr>
                      <w:rFonts w:hint="eastAsia"/>
                      <w:color w:val="auto"/>
                      <w:kern w:val="0"/>
                    </w:rPr>
                    <w:t>/</w:t>
                  </w:r>
                </w:p>
              </w:tc>
              <w:tc>
                <w:tcPr>
                  <w:tcW w:w="793" w:type="dxa"/>
                  <w:vAlign w:val="center"/>
                </w:tcPr>
                <w:p w14:paraId="6D540DCC">
                  <w:pPr>
                    <w:widowControl/>
                    <w:jc w:val="center"/>
                    <w:textAlignment w:val="center"/>
                    <w:rPr>
                      <w:color w:val="auto"/>
                      <w:kern w:val="0"/>
                    </w:rPr>
                  </w:pPr>
                  <w:r>
                    <w:rPr>
                      <w:rFonts w:hint="eastAsia" w:ascii="宋体" w:hAnsi="宋体" w:cs="宋体"/>
                      <w:color w:val="auto"/>
                      <w:kern w:val="0"/>
                      <w:lang w:bidi="ar"/>
                    </w:rPr>
                    <w:t>办公生活</w:t>
                  </w:r>
                </w:p>
              </w:tc>
              <w:tc>
                <w:tcPr>
                  <w:tcW w:w="643" w:type="dxa"/>
                  <w:vAlign w:val="center"/>
                </w:tcPr>
                <w:p w14:paraId="24F4D9E6">
                  <w:pPr>
                    <w:jc w:val="center"/>
                    <w:rPr>
                      <w:color w:val="auto"/>
                      <w:kern w:val="0"/>
                    </w:rPr>
                  </w:pPr>
                  <w:r>
                    <w:rPr>
                      <w:rFonts w:hint="eastAsia"/>
                      <w:color w:val="auto"/>
                    </w:rPr>
                    <w:t>半固</w:t>
                  </w:r>
                </w:p>
              </w:tc>
              <w:tc>
                <w:tcPr>
                  <w:tcW w:w="846" w:type="dxa"/>
                  <w:vAlign w:val="center"/>
                </w:tcPr>
                <w:p w14:paraId="5C41CD81">
                  <w:pPr>
                    <w:jc w:val="center"/>
                    <w:rPr>
                      <w:color w:val="auto"/>
                      <w:kern w:val="0"/>
                    </w:rPr>
                  </w:pPr>
                  <w:r>
                    <w:rPr>
                      <w:rFonts w:hint="eastAsia"/>
                      <w:color w:val="auto"/>
                    </w:rPr>
                    <w:t>生活垃圾</w:t>
                  </w:r>
                </w:p>
              </w:tc>
              <w:tc>
                <w:tcPr>
                  <w:tcW w:w="729" w:type="dxa"/>
                  <w:vAlign w:val="center"/>
                </w:tcPr>
                <w:p w14:paraId="127040F8">
                  <w:pPr>
                    <w:spacing w:line="0" w:lineRule="atLeast"/>
                    <w:jc w:val="center"/>
                    <w:rPr>
                      <w:color w:val="auto"/>
                      <w:kern w:val="0"/>
                    </w:rPr>
                  </w:pPr>
                  <w:r>
                    <w:rPr>
                      <w:rFonts w:hint="eastAsia"/>
                      <w:color w:val="auto"/>
                      <w:kern w:val="0"/>
                    </w:rPr>
                    <w:t>/</w:t>
                  </w:r>
                </w:p>
              </w:tc>
              <w:tc>
                <w:tcPr>
                  <w:tcW w:w="643" w:type="dxa"/>
                  <w:vAlign w:val="center"/>
                </w:tcPr>
                <w:p w14:paraId="46FCD533">
                  <w:pPr>
                    <w:spacing w:line="0" w:lineRule="atLeast"/>
                    <w:jc w:val="center"/>
                    <w:rPr>
                      <w:color w:val="auto"/>
                      <w:kern w:val="0"/>
                    </w:rPr>
                  </w:pPr>
                  <w:r>
                    <w:rPr>
                      <w:rFonts w:hint="eastAsia"/>
                      <w:color w:val="auto"/>
                      <w:kern w:val="0"/>
                    </w:rPr>
                    <w:t>/</w:t>
                  </w:r>
                </w:p>
              </w:tc>
              <w:tc>
                <w:tcPr>
                  <w:tcW w:w="846" w:type="dxa"/>
                  <w:vAlign w:val="center"/>
                </w:tcPr>
                <w:p w14:paraId="1A40A850">
                  <w:pPr>
                    <w:autoSpaceDE w:val="0"/>
                    <w:autoSpaceDN w:val="0"/>
                    <w:spacing w:line="0" w:lineRule="atLeast"/>
                    <w:jc w:val="center"/>
                    <w:rPr>
                      <w:color w:val="auto"/>
                      <w:kern w:val="0"/>
                    </w:rPr>
                  </w:pPr>
                  <w:r>
                    <w:rPr>
                      <w:rFonts w:hint="eastAsia"/>
                      <w:color w:val="auto"/>
                      <w:kern w:val="0"/>
                    </w:rPr>
                    <w:t>/</w:t>
                  </w:r>
                </w:p>
              </w:tc>
              <w:tc>
                <w:tcPr>
                  <w:tcW w:w="868" w:type="dxa"/>
                  <w:vAlign w:val="center"/>
                </w:tcPr>
                <w:p w14:paraId="48E629FA">
                  <w:pPr>
                    <w:spacing w:line="0" w:lineRule="atLeast"/>
                    <w:jc w:val="center"/>
                    <w:rPr>
                      <w:color w:val="auto"/>
                      <w:kern w:val="0"/>
                    </w:rPr>
                  </w:pPr>
                  <w:r>
                    <w:rPr>
                      <w:rFonts w:hint="eastAsia"/>
                      <w:color w:val="auto"/>
                      <w:kern w:val="0"/>
                    </w:rPr>
                    <w:t>/</w:t>
                  </w:r>
                </w:p>
              </w:tc>
              <w:tc>
                <w:tcPr>
                  <w:tcW w:w="801" w:type="dxa"/>
                  <w:vAlign w:val="center"/>
                </w:tcPr>
                <w:p w14:paraId="668164D2">
                  <w:pPr>
                    <w:spacing w:line="0" w:lineRule="atLeast"/>
                    <w:jc w:val="center"/>
                    <w:rPr>
                      <w:color w:val="auto"/>
                      <w:kern w:val="0"/>
                    </w:rPr>
                  </w:pPr>
                  <w:r>
                    <w:rPr>
                      <w:rFonts w:hint="eastAsia"/>
                      <w:color w:val="auto"/>
                      <w:kern w:val="0"/>
                    </w:rPr>
                    <w:t>39</w:t>
                  </w:r>
                </w:p>
              </w:tc>
              <w:tc>
                <w:tcPr>
                  <w:tcW w:w="753" w:type="dxa"/>
                  <w:vAlign w:val="center"/>
                </w:tcPr>
                <w:p w14:paraId="3FF9CC3E">
                  <w:pPr>
                    <w:spacing w:line="0" w:lineRule="atLeast"/>
                    <w:jc w:val="center"/>
                    <w:rPr>
                      <w:color w:val="auto"/>
                      <w:kern w:val="0"/>
                    </w:rPr>
                  </w:pPr>
                  <w:r>
                    <w:rPr>
                      <w:rFonts w:hint="eastAsia"/>
                      <w:color w:val="auto"/>
                      <w:kern w:val="0"/>
                    </w:rPr>
                    <w:t>环卫清运</w:t>
                  </w:r>
                </w:p>
              </w:tc>
            </w:tr>
          </w:tbl>
          <w:p w14:paraId="6BE1ADC6">
            <w:pPr>
              <w:jc w:val="center"/>
              <w:rPr>
                <w:b/>
                <w:bCs/>
                <w:color w:val="auto"/>
                <w:sz w:val="24"/>
              </w:rPr>
            </w:pPr>
            <w:r>
              <w:rPr>
                <w:rFonts w:hint="eastAsia"/>
                <w:b/>
                <w:bCs/>
                <w:color w:val="auto"/>
                <w:sz w:val="24"/>
              </w:rPr>
              <w:t xml:space="preserve">表4-26  </w:t>
            </w:r>
            <w:r>
              <w:rPr>
                <w:b/>
                <w:bCs/>
                <w:color w:val="auto"/>
                <w:sz w:val="24"/>
              </w:rPr>
              <w:t>危险废物汇总表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97"/>
              <w:gridCol w:w="697"/>
              <w:gridCol w:w="697"/>
              <w:gridCol w:w="697"/>
              <w:gridCol w:w="698"/>
              <w:gridCol w:w="698"/>
              <w:gridCol w:w="698"/>
              <w:gridCol w:w="698"/>
              <w:gridCol w:w="698"/>
              <w:gridCol w:w="698"/>
              <w:gridCol w:w="699"/>
              <w:gridCol w:w="699"/>
            </w:tblGrid>
            <w:tr w14:paraId="58CF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97" w:type="dxa"/>
                  <w:vMerge w:val="restart"/>
                  <w:vAlign w:val="center"/>
                </w:tcPr>
                <w:p w14:paraId="6E641B7B">
                  <w:pPr>
                    <w:jc w:val="center"/>
                    <w:rPr>
                      <w:b/>
                      <w:bCs/>
                      <w:color w:val="auto"/>
                    </w:rPr>
                  </w:pPr>
                  <w:r>
                    <w:rPr>
                      <w:b/>
                      <w:bCs/>
                      <w:color w:val="auto"/>
                    </w:rPr>
                    <w:t>编号</w:t>
                  </w:r>
                </w:p>
              </w:tc>
              <w:tc>
                <w:tcPr>
                  <w:tcW w:w="697" w:type="dxa"/>
                  <w:vMerge w:val="restart"/>
                  <w:vAlign w:val="center"/>
                </w:tcPr>
                <w:p w14:paraId="41CB9287">
                  <w:pPr>
                    <w:jc w:val="center"/>
                    <w:rPr>
                      <w:b/>
                      <w:bCs/>
                      <w:color w:val="auto"/>
                    </w:rPr>
                  </w:pPr>
                  <w:r>
                    <w:rPr>
                      <w:b/>
                      <w:bCs/>
                      <w:color w:val="auto"/>
                    </w:rPr>
                    <w:t>危险废物名称</w:t>
                  </w:r>
                </w:p>
              </w:tc>
              <w:tc>
                <w:tcPr>
                  <w:tcW w:w="697" w:type="dxa"/>
                  <w:vMerge w:val="restart"/>
                  <w:vAlign w:val="center"/>
                </w:tcPr>
                <w:p w14:paraId="4680DF1B">
                  <w:pPr>
                    <w:jc w:val="center"/>
                    <w:rPr>
                      <w:b/>
                      <w:bCs/>
                      <w:color w:val="auto"/>
                    </w:rPr>
                  </w:pPr>
                  <w:r>
                    <w:rPr>
                      <w:b/>
                      <w:bCs/>
                      <w:color w:val="auto"/>
                    </w:rPr>
                    <w:t>危险废物类别</w:t>
                  </w:r>
                </w:p>
              </w:tc>
              <w:tc>
                <w:tcPr>
                  <w:tcW w:w="697" w:type="dxa"/>
                  <w:vMerge w:val="restart"/>
                  <w:vAlign w:val="center"/>
                </w:tcPr>
                <w:p w14:paraId="26C0B597">
                  <w:pPr>
                    <w:jc w:val="center"/>
                    <w:rPr>
                      <w:b/>
                      <w:bCs/>
                      <w:color w:val="auto"/>
                    </w:rPr>
                  </w:pPr>
                  <w:r>
                    <w:rPr>
                      <w:b/>
                      <w:bCs/>
                      <w:color w:val="auto"/>
                    </w:rPr>
                    <w:t>危险废物代码</w:t>
                  </w:r>
                </w:p>
              </w:tc>
              <w:tc>
                <w:tcPr>
                  <w:tcW w:w="697" w:type="dxa"/>
                  <w:vMerge w:val="restart"/>
                  <w:vAlign w:val="center"/>
                </w:tcPr>
                <w:p w14:paraId="0932C4EC">
                  <w:pPr>
                    <w:jc w:val="center"/>
                    <w:rPr>
                      <w:b/>
                      <w:bCs/>
                      <w:color w:val="auto"/>
                    </w:rPr>
                  </w:pPr>
                  <w:r>
                    <w:rPr>
                      <w:b/>
                      <w:bCs/>
                      <w:color w:val="auto"/>
                    </w:rPr>
                    <w:t>产生量</w:t>
                  </w:r>
                  <w:r>
                    <w:rPr>
                      <w:rFonts w:hint="eastAsia"/>
                      <w:b/>
                      <w:bCs/>
                      <w:color w:val="auto"/>
                    </w:rPr>
                    <w:t>（t/a）</w:t>
                  </w:r>
                </w:p>
              </w:tc>
              <w:tc>
                <w:tcPr>
                  <w:tcW w:w="698" w:type="dxa"/>
                  <w:vMerge w:val="restart"/>
                  <w:vAlign w:val="center"/>
                </w:tcPr>
                <w:p w14:paraId="1B1BFCD4">
                  <w:pPr>
                    <w:jc w:val="center"/>
                    <w:rPr>
                      <w:b/>
                      <w:bCs/>
                      <w:color w:val="auto"/>
                    </w:rPr>
                  </w:pPr>
                  <w:r>
                    <w:rPr>
                      <w:b/>
                      <w:bCs/>
                      <w:color w:val="auto"/>
                    </w:rPr>
                    <w:t>产生工序及装置</w:t>
                  </w:r>
                </w:p>
              </w:tc>
              <w:tc>
                <w:tcPr>
                  <w:tcW w:w="698" w:type="dxa"/>
                  <w:vMerge w:val="restart"/>
                  <w:vAlign w:val="center"/>
                </w:tcPr>
                <w:p w14:paraId="6E635D7F">
                  <w:pPr>
                    <w:jc w:val="center"/>
                    <w:rPr>
                      <w:b/>
                      <w:bCs/>
                      <w:color w:val="auto"/>
                    </w:rPr>
                  </w:pPr>
                  <w:r>
                    <w:rPr>
                      <w:b/>
                      <w:bCs/>
                      <w:color w:val="auto"/>
                    </w:rPr>
                    <w:t>形态</w:t>
                  </w:r>
                </w:p>
              </w:tc>
              <w:tc>
                <w:tcPr>
                  <w:tcW w:w="698" w:type="dxa"/>
                  <w:vMerge w:val="restart"/>
                  <w:vAlign w:val="center"/>
                </w:tcPr>
                <w:p w14:paraId="6D380FDD">
                  <w:pPr>
                    <w:jc w:val="center"/>
                    <w:rPr>
                      <w:b/>
                      <w:bCs/>
                      <w:color w:val="auto"/>
                    </w:rPr>
                  </w:pPr>
                  <w:r>
                    <w:rPr>
                      <w:b/>
                      <w:bCs/>
                      <w:color w:val="auto"/>
                    </w:rPr>
                    <w:t>主要成分</w:t>
                  </w:r>
                </w:p>
              </w:tc>
              <w:tc>
                <w:tcPr>
                  <w:tcW w:w="698" w:type="dxa"/>
                  <w:vMerge w:val="restart"/>
                  <w:vAlign w:val="center"/>
                </w:tcPr>
                <w:p w14:paraId="5245C85D">
                  <w:pPr>
                    <w:jc w:val="center"/>
                    <w:rPr>
                      <w:b/>
                      <w:bCs/>
                      <w:color w:val="auto"/>
                    </w:rPr>
                  </w:pPr>
                  <w:r>
                    <w:rPr>
                      <w:b/>
                      <w:bCs/>
                      <w:color w:val="auto"/>
                    </w:rPr>
                    <w:t>有害成分</w:t>
                  </w:r>
                </w:p>
              </w:tc>
              <w:tc>
                <w:tcPr>
                  <w:tcW w:w="698" w:type="dxa"/>
                  <w:vMerge w:val="restart"/>
                  <w:vAlign w:val="center"/>
                </w:tcPr>
                <w:p w14:paraId="2DC9E57D">
                  <w:pPr>
                    <w:jc w:val="center"/>
                    <w:rPr>
                      <w:b/>
                      <w:bCs/>
                      <w:color w:val="auto"/>
                    </w:rPr>
                  </w:pPr>
                  <w:r>
                    <w:rPr>
                      <w:b/>
                      <w:bCs/>
                      <w:color w:val="auto"/>
                    </w:rPr>
                    <w:t>产废周期</w:t>
                  </w:r>
                </w:p>
              </w:tc>
              <w:tc>
                <w:tcPr>
                  <w:tcW w:w="698" w:type="dxa"/>
                  <w:vMerge w:val="restart"/>
                  <w:vAlign w:val="center"/>
                </w:tcPr>
                <w:p w14:paraId="393C6236">
                  <w:pPr>
                    <w:jc w:val="center"/>
                    <w:rPr>
                      <w:b/>
                      <w:bCs/>
                      <w:color w:val="auto"/>
                    </w:rPr>
                  </w:pPr>
                  <w:r>
                    <w:rPr>
                      <w:b/>
                      <w:bCs/>
                      <w:color w:val="auto"/>
                    </w:rPr>
                    <w:t>危险特性</w:t>
                  </w:r>
                </w:p>
              </w:tc>
              <w:tc>
                <w:tcPr>
                  <w:tcW w:w="1398" w:type="dxa"/>
                  <w:gridSpan w:val="2"/>
                  <w:vAlign w:val="center"/>
                </w:tcPr>
                <w:p w14:paraId="144BEEAA">
                  <w:pPr>
                    <w:jc w:val="center"/>
                    <w:rPr>
                      <w:b/>
                      <w:bCs/>
                      <w:color w:val="auto"/>
                    </w:rPr>
                  </w:pPr>
                  <w:r>
                    <w:rPr>
                      <w:b/>
                      <w:bCs/>
                      <w:color w:val="auto"/>
                    </w:rPr>
                    <w:t>污染防治措施</w:t>
                  </w:r>
                </w:p>
              </w:tc>
            </w:tr>
            <w:tr w14:paraId="0727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97" w:type="dxa"/>
                  <w:vMerge w:val="continue"/>
                  <w:vAlign w:val="center"/>
                </w:tcPr>
                <w:p w14:paraId="21FEC5EE">
                  <w:pPr>
                    <w:jc w:val="center"/>
                    <w:rPr>
                      <w:b/>
                      <w:bCs/>
                      <w:color w:val="auto"/>
                    </w:rPr>
                  </w:pPr>
                </w:p>
              </w:tc>
              <w:tc>
                <w:tcPr>
                  <w:tcW w:w="697" w:type="dxa"/>
                  <w:vMerge w:val="continue"/>
                  <w:vAlign w:val="center"/>
                </w:tcPr>
                <w:p w14:paraId="5BF61F56">
                  <w:pPr>
                    <w:jc w:val="center"/>
                    <w:rPr>
                      <w:b/>
                      <w:bCs/>
                      <w:color w:val="auto"/>
                    </w:rPr>
                  </w:pPr>
                </w:p>
              </w:tc>
              <w:tc>
                <w:tcPr>
                  <w:tcW w:w="697" w:type="dxa"/>
                  <w:vMerge w:val="continue"/>
                  <w:vAlign w:val="center"/>
                </w:tcPr>
                <w:p w14:paraId="74A6A8C5">
                  <w:pPr>
                    <w:jc w:val="center"/>
                    <w:rPr>
                      <w:b/>
                      <w:bCs/>
                      <w:color w:val="auto"/>
                    </w:rPr>
                  </w:pPr>
                </w:p>
              </w:tc>
              <w:tc>
                <w:tcPr>
                  <w:tcW w:w="697" w:type="dxa"/>
                  <w:vMerge w:val="continue"/>
                  <w:vAlign w:val="center"/>
                </w:tcPr>
                <w:p w14:paraId="4E9B02AC">
                  <w:pPr>
                    <w:jc w:val="center"/>
                    <w:rPr>
                      <w:b/>
                      <w:bCs/>
                      <w:color w:val="auto"/>
                    </w:rPr>
                  </w:pPr>
                </w:p>
              </w:tc>
              <w:tc>
                <w:tcPr>
                  <w:tcW w:w="697" w:type="dxa"/>
                  <w:vMerge w:val="continue"/>
                  <w:vAlign w:val="center"/>
                </w:tcPr>
                <w:p w14:paraId="449D5D47">
                  <w:pPr>
                    <w:jc w:val="center"/>
                    <w:rPr>
                      <w:b/>
                      <w:bCs/>
                      <w:color w:val="auto"/>
                    </w:rPr>
                  </w:pPr>
                </w:p>
              </w:tc>
              <w:tc>
                <w:tcPr>
                  <w:tcW w:w="698" w:type="dxa"/>
                  <w:vMerge w:val="continue"/>
                  <w:vAlign w:val="center"/>
                </w:tcPr>
                <w:p w14:paraId="1EE33EBA">
                  <w:pPr>
                    <w:jc w:val="center"/>
                    <w:rPr>
                      <w:b/>
                      <w:bCs/>
                      <w:color w:val="auto"/>
                    </w:rPr>
                  </w:pPr>
                </w:p>
              </w:tc>
              <w:tc>
                <w:tcPr>
                  <w:tcW w:w="698" w:type="dxa"/>
                  <w:vMerge w:val="continue"/>
                  <w:vAlign w:val="center"/>
                </w:tcPr>
                <w:p w14:paraId="024264AE">
                  <w:pPr>
                    <w:jc w:val="center"/>
                    <w:rPr>
                      <w:b/>
                      <w:bCs/>
                      <w:color w:val="auto"/>
                    </w:rPr>
                  </w:pPr>
                </w:p>
              </w:tc>
              <w:tc>
                <w:tcPr>
                  <w:tcW w:w="698" w:type="dxa"/>
                  <w:vMerge w:val="continue"/>
                  <w:vAlign w:val="center"/>
                </w:tcPr>
                <w:p w14:paraId="61F93AC9">
                  <w:pPr>
                    <w:jc w:val="center"/>
                    <w:rPr>
                      <w:b/>
                      <w:bCs/>
                      <w:color w:val="auto"/>
                    </w:rPr>
                  </w:pPr>
                </w:p>
              </w:tc>
              <w:tc>
                <w:tcPr>
                  <w:tcW w:w="698" w:type="dxa"/>
                  <w:vMerge w:val="continue"/>
                  <w:vAlign w:val="center"/>
                </w:tcPr>
                <w:p w14:paraId="5E4D97DF">
                  <w:pPr>
                    <w:jc w:val="center"/>
                    <w:rPr>
                      <w:b/>
                      <w:bCs/>
                      <w:color w:val="auto"/>
                    </w:rPr>
                  </w:pPr>
                </w:p>
              </w:tc>
              <w:tc>
                <w:tcPr>
                  <w:tcW w:w="698" w:type="dxa"/>
                  <w:vMerge w:val="continue"/>
                  <w:vAlign w:val="center"/>
                </w:tcPr>
                <w:p w14:paraId="684E4BC0">
                  <w:pPr>
                    <w:jc w:val="center"/>
                    <w:rPr>
                      <w:b/>
                      <w:bCs/>
                      <w:color w:val="auto"/>
                    </w:rPr>
                  </w:pPr>
                </w:p>
              </w:tc>
              <w:tc>
                <w:tcPr>
                  <w:tcW w:w="698" w:type="dxa"/>
                  <w:vMerge w:val="continue"/>
                  <w:vAlign w:val="center"/>
                </w:tcPr>
                <w:p w14:paraId="13B561B4">
                  <w:pPr>
                    <w:jc w:val="center"/>
                    <w:rPr>
                      <w:b/>
                      <w:bCs/>
                      <w:color w:val="auto"/>
                    </w:rPr>
                  </w:pPr>
                </w:p>
              </w:tc>
              <w:tc>
                <w:tcPr>
                  <w:tcW w:w="699" w:type="dxa"/>
                  <w:vAlign w:val="center"/>
                </w:tcPr>
                <w:p w14:paraId="3D99163B">
                  <w:pPr>
                    <w:jc w:val="center"/>
                    <w:rPr>
                      <w:b/>
                      <w:bCs/>
                      <w:color w:val="auto"/>
                    </w:rPr>
                  </w:pPr>
                  <w:r>
                    <w:rPr>
                      <w:b/>
                      <w:bCs/>
                      <w:color w:val="auto"/>
                    </w:rPr>
                    <w:t>贮存方式</w:t>
                  </w:r>
                </w:p>
              </w:tc>
              <w:tc>
                <w:tcPr>
                  <w:tcW w:w="699" w:type="dxa"/>
                  <w:vAlign w:val="center"/>
                </w:tcPr>
                <w:p w14:paraId="7A9813C7">
                  <w:pPr>
                    <w:jc w:val="center"/>
                    <w:rPr>
                      <w:b/>
                      <w:bCs/>
                      <w:color w:val="auto"/>
                    </w:rPr>
                  </w:pPr>
                  <w:r>
                    <w:rPr>
                      <w:b/>
                      <w:bCs/>
                      <w:color w:val="auto"/>
                    </w:rPr>
                    <w:t>处置方式</w:t>
                  </w:r>
                </w:p>
              </w:tc>
            </w:tr>
            <w:tr w14:paraId="444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082F0D06">
                  <w:pPr>
                    <w:spacing w:line="0" w:lineRule="atLeast"/>
                    <w:jc w:val="center"/>
                    <w:rPr>
                      <w:color w:val="auto"/>
                      <w:kern w:val="0"/>
                    </w:rPr>
                  </w:pPr>
                  <w:r>
                    <w:rPr>
                      <w:color w:val="auto"/>
                    </w:rPr>
                    <w:t>S3</w:t>
                  </w:r>
                </w:p>
              </w:tc>
              <w:tc>
                <w:tcPr>
                  <w:tcW w:w="697" w:type="dxa"/>
                  <w:vAlign w:val="center"/>
                </w:tcPr>
                <w:p w14:paraId="73870FC7">
                  <w:pPr>
                    <w:jc w:val="center"/>
                    <w:rPr>
                      <w:color w:val="auto"/>
                      <w:kern w:val="0"/>
                    </w:rPr>
                  </w:pPr>
                  <w:r>
                    <w:rPr>
                      <w:color w:val="auto"/>
                    </w:rPr>
                    <w:t>废</w:t>
                  </w:r>
                  <w:r>
                    <w:rPr>
                      <w:rFonts w:hint="eastAsia"/>
                      <w:color w:val="auto"/>
                    </w:rPr>
                    <w:t>油泥</w:t>
                  </w:r>
                </w:p>
              </w:tc>
              <w:tc>
                <w:tcPr>
                  <w:tcW w:w="697" w:type="dxa"/>
                  <w:vAlign w:val="center"/>
                </w:tcPr>
                <w:p w14:paraId="6245F1AD">
                  <w:pPr>
                    <w:jc w:val="center"/>
                    <w:rPr>
                      <w:color w:val="auto"/>
                      <w:kern w:val="0"/>
                    </w:rPr>
                  </w:pPr>
                  <w:r>
                    <w:rPr>
                      <w:color w:val="auto"/>
                    </w:rPr>
                    <w:t>HW0</w:t>
                  </w:r>
                  <w:r>
                    <w:rPr>
                      <w:rFonts w:hint="eastAsia"/>
                      <w:color w:val="auto"/>
                    </w:rPr>
                    <w:t>8</w:t>
                  </w:r>
                </w:p>
              </w:tc>
              <w:tc>
                <w:tcPr>
                  <w:tcW w:w="697" w:type="dxa"/>
                  <w:vAlign w:val="center"/>
                </w:tcPr>
                <w:p w14:paraId="303ECB7A">
                  <w:pPr>
                    <w:jc w:val="center"/>
                    <w:rPr>
                      <w:color w:val="auto"/>
                      <w:kern w:val="0"/>
                    </w:rPr>
                  </w:pPr>
                  <w:r>
                    <w:rPr>
                      <w:color w:val="auto"/>
                    </w:rPr>
                    <w:t>900-</w:t>
                  </w:r>
                  <w:r>
                    <w:rPr>
                      <w:rFonts w:hint="eastAsia"/>
                      <w:color w:val="auto"/>
                    </w:rPr>
                    <w:t>2</w:t>
                  </w:r>
                  <w:r>
                    <w:rPr>
                      <w:rFonts w:hint="eastAsia"/>
                      <w:color w:val="auto"/>
                      <w:lang w:val="en-US" w:eastAsia="zh-CN"/>
                    </w:rPr>
                    <w:t>0</w:t>
                  </w:r>
                  <w:r>
                    <w:rPr>
                      <w:rFonts w:hint="eastAsia"/>
                      <w:color w:val="auto"/>
                    </w:rPr>
                    <w:t>0</w:t>
                  </w:r>
                  <w:r>
                    <w:rPr>
                      <w:color w:val="auto"/>
                    </w:rPr>
                    <w:t>-0</w:t>
                  </w:r>
                  <w:r>
                    <w:rPr>
                      <w:rFonts w:hint="eastAsia"/>
                      <w:color w:val="auto"/>
                    </w:rPr>
                    <w:t>8</w:t>
                  </w:r>
                </w:p>
              </w:tc>
              <w:tc>
                <w:tcPr>
                  <w:tcW w:w="697" w:type="dxa"/>
                  <w:vAlign w:val="center"/>
                </w:tcPr>
                <w:p w14:paraId="59A4D5B8">
                  <w:pPr>
                    <w:spacing w:line="0" w:lineRule="atLeast"/>
                    <w:jc w:val="center"/>
                    <w:rPr>
                      <w:color w:val="auto"/>
                      <w:kern w:val="0"/>
                    </w:rPr>
                  </w:pPr>
                  <w:r>
                    <w:rPr>
                      <w:rFonts w:hint="eastAsia"/>
                      <w:color w:val="auto"/>
                      <w:kern w:val="0"/>
                    </w:rPr>
                    <w:t>3</w:t>
                  </w:r>
                </w:p>
              </w:tc>
              <w:tc>
                <w:tcPr>
                  <w:tcW w:w="698" w:type="dxa"/>
                  <w:vAlign w:val="center"/>
                </w:tcPr>
                <w:p w14:paraId="1F17A8F5">
                  <w:pPr>
                    <w:widowControl/>
                    <w:jc w:val="center"/>
                    <w:textAlignment w:val="center"/>
                    <w:rPr>
                      <w:color w:val="auto"/>
                      <w:kern w:val="0"/>
                    </w:rPr>
                  </w:pPr>
                  <w:r>
                    <w:rPr>
                      <w:rFonts w:hint="eastAsia"/>
                      <w:color w:val="auto"/>
                    </w:rPr>
                    <w:t>机加工</w:t>
                  </w:r>
                </w:p>
              </w:tc>
              <w:tc>
                <w:tcPr>
                  <w:tcW w:w="698" w:type="dxa"/>
                  <w:vAlign w:val="center"/>
                </w:tcPr>
                <w:p w14:paraId="2934FFCE">
                  <w:pPr>
                    <w:jc w:val="center"/>
                    <w:rPr>
                      <w:color w:val="auto"/>
                      <w:kern w:val="0"/>
                    </w:rPr>
                  </w:pPr>
                  <w:r>
                    <w:rPr>
                      <w:rFonts w:hint="eastAsia"/>
                      <w:color w:val="auto"/>
                    </w:rPr>
                    <w:t>半固态</w:t>
                  </w:r>
                </w:p>
              </w:tc>
              <w:tc>
                <w:tcPr>
                  <w:tcW w:w="698" w:type="dxa"/>
                  <w:vAlign w:val="center"/>
                </w:tcPr>
                <w:p w14:paraId="41D8D670">
                  <w:pPr>
                    <w:spacing w:line="0" w:lineRule="atLeast"/>
                    <w:jc w:val="center"/>
                    <w:rPr>
                      <w:color w:val="auto"/>
                      <w:kern w:val="0"/>
                    </w:rPr>
                  </w:pPr>
                  <w:r>
                    <w:rPr>
                      <w:color w:val="auto"/>
                      <w:kern w:val="0"/>
                    </w:rPr>
                    <w:t>矿物油</w:t>
                  </w:r>
                  <w:r>
                    <w:rPr>
                      <w:rFonts w:hint="eastAsia"/>
                      <w:color w:val="auto"/>
                      <w:kern w:val="0"/>
                    </w:rPr>
                    <w:t>等</w:t>
                  </w:r>
                </w:p>
              </w:tc>
              <w:tc>
                <w:tcPr>
                  <w:tcW w:w="698" w:type="dxa"/>
                  <w:vAlign w:val="center"/>
                </w:tcPr>
                <w:p w14:paraId="25EBAF30">
                  <w:pPr>
                    <w:spacing w:line="0" w:lineRule="atLeast"/>
                    <w:jc w:val="center"/>
                    <w:rPr>
                      <w:color w:val="auto"/>
                      <w:kern w:val="0"/>
                    </w:rPr>
                  </w:pPr>
                  <w:r>
                    <w:rPr>
                      <w:color w:val="auto"/>
                      <w:kern w:val="0"/>
                    </w:rPr>
                    <w:t>矿物油</w:t>
                  </w:r>
                </w:p>
              </w:tc>
              <w:tc>
                <w:tcPr>
                  <w:tcW w:w="698" w:type="dxa"/>
                  <w:vAlign w:val="center"/>
                </w:tcPr>
                <w:p w14:paraId="0AB39E87">
                  <w:pPr>
                    <w:spacing w:line="0" w:lineRule="atLeast"/>
                    <w:jc w:val="center"/>
                    <w:rPr>
                      <w:color w:val="auto"/>
                      <w:kern w:val="0"/>
                    </w:rPr>
                  </w:pPr>
                  <w:r>
                    <w:rPr>
                      <w:rFonts w:hint="eastAsia"/>
                      <w:color w:val="auto"/>
                      <w:kern w:val="0"/>
                    </w:rPr>
                    <w:t>每季度</w:t>
                  </w:r>
                </w:p>
              </w:tc>
              <w:tc>
                <w:tcPr>
                  <w:tcW w:w="698" w:type="dxa"/>
                  <w:vAlign w:val="center"/>
                </w:tcPr>
                <w:p w14:paraId="097820CB">
                  <w:pPr>
                    <w:jc w:val="center"/>
                    <w:rPr>
                      <w:color w:val="auto"/>
                      <w:kern w:val="0"/>
                    </w:rPr>
                  </w:pPr>
                  <w:r>
                    <w:rPr>
                      <w:color w:val="auto"/>
                    </w:rPr>
                    <w:t>T</w:t>
                  </w:r>
                  <w:r>
                    <w:rPr>
                      <w:rFonts w:hint="eastAsia"/>
                      <w:color w:val="auto"/>
                    </w:rPr>
                    <w:t>，I</w:t>
                  </w:r>
                </w:p>
              </w:tc>
              <w:tc>
                <w:tcPr>
                  <w:tcW w:w="699" w:type="dxa"/>
                  <w:vMerge w:val="restart"/>
                  <w:vAlign w:val="center"/>
                </w:tcPr>
                <w:p w14:paraId="319CF9F4">
                  <w:pPr>
                    <w:spacing w:line="0" w:lineRule="atLeast"/>
                    <w:jc w:val="center"/>
                    <w:rPr>
                      <w:color w:val="auto"/>
                      <w:kern w:val="0"/>
                    </w:rPr>
                  </w:pPr>
                  <w:r>
                    <w:rPr>
                      <w:rFonts w:hint="eastAsia"/>
                      <w:color w:val="auto"/>
                      <w:kern w:val="0"/>
                    </w:rPr>
                    <w:t>分类暂存危废库</w:t>
                  </w:r>
                </w:p>
              </w:tc>
              <w:tc>
                <w:tcPr>
                  <w:tcW w:w="699" w:type="dxa"/>
                  <w:vMerge w:val="restart"/>
                  <w:vAlign w:val="center"/>
                </w:tcPr>
                <w:p w14:paraId="6B179B50">
                  <w:pPr>
                    <w:spacing w:line="0" w:lineRule="atLeast"/>
                    <w:rPr>
                      <w:color w:val="auto"/>
                      <w:kern w:val="0"/>
                    </w:rPr>
                  </w:pPr>
                  <w:r>
                    <w:rPr>
                      <w:rFonts w:hint="eastAsia"/>
                      <w:color w:val="auto"/>
                      <w:kern w:val="0"/>
                    </w:rPr>
                    <w:t>委托有资质单位处置</w:t>
                  </w:r>
                </w:p>
              </w:tc>
            </w:tr>
            <w:tr w14:paraId="54C2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5B63AC43">
                  <w:pPr>
                    <w:spacing w:line="0" w:lineRule="atLeast"/>
                    <w:jc w:val="center"/>
                    <w:rPr>
                      <w:color w:val="auto"/>
                      <w:kern w:val="0"/>
                    </w:rPr>
                  </w:pPr>
                  <w:r>
                    <w:rPr>
                      <w:color w:val="auto"/>
                    </w:rPr>
                    <w:t>S</w:t>
                  </w:r>
                  <w:r>
                    <w:rPr>
                      <w:rFonts w:hint="eastAsia"/>
                      <w:color w:val="auto"/>
                    </w:rPr>
                    <w:t>5</w:t>
                  </w:r>
                </w:p>
              </w:tc>
              <w:tc>
                <w:tcPr>
                  <w:tcW w:w="697" w:type="dxa"/>
                  <w:vAlign w:val="center"/>
                </w:tcPr>
                <w:p w14:paraId="69E16BF6">
                  <w:pPr>
                    <w:jc w:val="center"/>
                    <w:rPr>
                      <w:color w:val="auto"/>
                      <w:kern w:val="0"/>
                    </w:rPr>
                  </w:pPr>
                  <w:r>
                    <w:rPr>
                      <w:color w:val="auto"/>
                    </w:rPr>
                    <w:t>清洗废液</w:t>
                  </w:r>
                </w:p>
              </w:tc>
              <w:tc>
                <w:tcPr>
                  <w:tcW w:w="697" w:type="dxa"/>
                  <w:vAlign w:val="center"/>
                </w:tcPr>
                <w:p w14:paraId="1D1A35F8">
                  <w:pPr>
                    <w:jc w:val="center"/>
                    <w:rPr>
                      <w:color w:val="auto"/>
                      <w:kern w:val="0"/>
                    </w:rPr>
                  </w:pPr>
                  <w:r>
                    <w:rPr>
                      <w:color w:val="auto"/>
                    </w:rPr>
                    <w:t>HW0</w:t>
                  </w:r>
                  <w:r>
                    <w:rPr>
                      <w:rFonts w:hint="eastAsia"/>
                      <w:color w:val="auto"/>
                      <w:lang w:val="en-US" w:eastAsia="zh-CN"/>
                    </w:rPr>
                    <w:t>8</w:t>
                  </w:r>
                </w:p>
              </w:tc>
              <w:tc>
                <w:tcPr>
                  <w:tcW w:w="697" w:type="dxa"/>
                  <w:vAlign w:val="center"/>
                </w:tcPr>
                <w:p w14:paraId="4C3FC88D">
                  <w:pPr>
                    <w:jc w:val="center"/>
                    <w:rPr>
                      <w:color w:val="auto"/>
                      <w:kern w:val="0"/>
                    </w:rPr>
                  </w:pPr>
                  <w:r>
                    <w:rPr>
                      <w:color w:val="auto"/>
                    </w:rPr>
                    <w:t>900-</w:t>
                  </w:r>
                  <w:r>
                    <w:rPr>
                      <w:rFonts w:hint="eastAsia"/>
                      <w:color w:val="auto"/>
                      <w:lang w:val="en-US" w:eastAsia="zh-CN"/>
                    </w:rPr>
                    <w:t>201</w:t>
                  </w:r>
                  <w:r>
                    <w:rPr>
                      <w:color w:val="auto"/>
                    </w:rPr>
                    <w:t>-0</w:t>
                  </w:r>
                  <w:r>
                    <w:rPr>
                      <w:rFonts w:hint="eastAsia"/>
                      <w:color w:val="auto"/>
                      <w:lang w:val="en-US" w:eastAsia="zh-CN"/>
                    </w:rPr>
                    <w:t>8</w:t>
                  </w:r>
                </w:p>
              </w:tc>
              <w:tc>
                <w:tcPr>
                  <w:tcW w:w="697" w:type="dxa"/>
                  <w:vAlign w:val="center"/>
                </w:tcPr>
                <w:p w14:paraId="50257036">
                  <w:pPr>
                    <w:spacing w:line="0" w:lineRule="atLeast"/>
                    <w:jc w:val="center"/>
                    <w:rPr>
                      <w:color w:val="auto"/>
                      <w:kern w:val="0"/>
                    </w:rPr>
                  </w:pPr>
                  <w:r>
                    <w:rPr>
                      <w:rFonts w:hint="eastAsia"/>
                      <w:color w:val="auto"/>
                      <w:kern w:val="0"/>
                    </w:rPr>
                    <w:t>0.5</w:t>
                  </w:r>
                </w:p>
              </w:tc>
              <w:tc>
                <w:tcPr>
                  <w:tcW w:w="698" w:type="dxa"/>
                  <w:vAlign w:val="center"/>
                </w:tcPr>
                <w:p w14:paraId="7887D710">
                  <w:pPr>
                    <w:widowControl/>
                    <w:jc w:val="center"/>
                    <w:textAlignment w:val="center"/>
                    <w:rPr>
                      <w:color w:val="auto"/>
                      <w:kern w:val="0"/>
                    </w:rPr>
                  </w:pPr>
                  <w:r>
                    <w:rPr>
                      <w:rFonts w:hint="eastAsia" w:ascii="宋体" w:hAnsi="宋体" w:cs="宋体"/>
                      <w:color w:val="auto"/>
                      <w:kern w:val="0"/>
                      <w:lang w:bidi="ar"/>
                    </w:rPr>
                    <w:t>清洗</w:t>
                  </w:r>
                </w:p>
              </w:tc>
              <w:tc>
                <w:tcPr>
                  <w:tcW w:w="698" w:type="dxa"/>
                  <w:vAlign w:val="center"/>
                </w:tcPr>
                <w:p w14:paraId="3D9C0D9A">
                  <w:pPr>
                    <w:jc w:val="center"/>
                    <w:rPr>
                      <w:color w:val="auto"/>
                      <w:kern w:val="0"/>
                    </w:rPr>
                  </w:pPr>
                  <w:r>
                    <w:rPr>
                      <w:rFonts w:hint="eastAsia"/>
                      <w:color w:val="auto"/>
                    </w:rPr>
                    <w:t>液态</w:t>
                  </w:r>
                </w:p>
              </w:tc>
              <w:tc>
                <w:tcPr>
                  <w:tcW w:w="698" w:type="dxa"/>
                  <w:vAlign w:val="center"/>
                </w:tcPr>
                <w:p w14:paraId="5594AB1D">
                  <w:pPr>
                    <w:spacing w:line="0" w:lineRule="atLeast"/>
                    <w:jc w:val="center"/>
                    <w:rPr>
                      <w:color w:val="auto"/>
                      <w:kern w:val="0"/>
                    </w:rPr>
                  </w:pPr>
                  <w:r>
                    <w:rPr>
                      <w:rFonts w:hint="eastAsia"/>
                      <w:color w:val="auto"/>
                      <w:kern w:val="0"/>
                    </w:rPr>
                    <w:t>白油</w:t>
                  </w:r>
                </w:p>
              </w:tc>
              <w:tc>
                <w:tcPr>
                  <w:tcW w:w="698" w:type="dxa"/>
                  <w:vAlign w:val="center"/>
                </w:tcPr>
                <w:p w14:paraId="69FE8A5D">
                  <w:pPr>
                    <w:spacing w:line="0" w:lineRule="atLeast"/>
                    <w:jc w:val="center"/>
                    <w:rPr>
                      <w:color w:val="auto"/>
                      <w:kern w:val="0"/>
                    </w:rPr>
                  </w:pPr>
                  <w:r>
                    <w:rPr>
                      <w:rFonts w:hint="eastAsia"/>
                      <w:color w:val="auto"/>
                      <w:kern w:val="0"/>
                    </w:rPr>
                    <w:t>白油</w:t>
                  </w:r>
                </w:p>
              </w:tc>
              <w:tc>
                <w:tcPr>
                  <w:tcW w:w="698" w:type="dxa"/>
                  <w:vAlign w:val="center"/>
                </w:tcPr>
                <w:p w14:paraId="44872824">
                  <w:pPr>
                    <w:spacing w:line="0" w:lineRule="atLeast"/>
                    <w:jc w:val="center"/>
                    <w:rPr>
                      <w:color w:val="auto"/>
                      <w:kern w:val="0"/>
                    </w:rPr>
                  </w:pPr>
                  <w:r>
                    <w:rPr>
                      <w:rFonts w:hint="eastAsia"/>
                      <w:color w:val="auto"/>
                      <w:kern w:val="0"/>
                    </w:rPr>
                    <w:t>每季度</w:t>
                  </w:r>
                </w:p>
              </w:tc>
              <w:tc>
                <w:tcPr>
                  <w:tcW w:w="698" w:type="dxa"/>
                  <w:vAlign w:val="center"/>
                </w:tcPr>
                <w:p w14:paraId="77401121">
                  <w:pPr>
                    <w:jc w:val="center"/>
                    <w:rPr>
                      <w:color w:val="auto"/>
                      <w:kern w:val="0"/>
                    </w:rPr>
                  </w:pPr>
                  <w:r>
                    <w:rPr>
                      <w:color w:val="auto"/>
                    </w:rPr>
                    <w:t>T</w:t>
                  </w:r>
                </w:p>
              </w:tc>
              <w:tc>
                <w:tcPr>
                  <w:tcW w:w="699" w:type="dxa"/>
                  <w:vMerge w:val="continue"/>
                </w:tcPr>
                <w:p w14:paraId="787F7394">
                  <w:pPr>
                    <w:spacing w:line="0" w:lineRule="atLeast"/>
                    <w:jc w:val="center"/>
                    <w:rPr>
                      <w:color w:val="auto"/>
                      <w:kern w:val="0"/>
                    </w:rPr>
                  </w:pPr>
                </w:p>
              </w:tc>
              <w:tc>
                <w:tcPr>
                  <w:tcW w:w="699" w:type="dxa"/>
                  <w:vMerge w:val="continue"/>
                </w:tcPr>
                <w:p w14:paraId="300B31B7">
                  <w:pPr>
                    <w:spacing w:line="0" w:lineRule="atLeast"/>
                    <w:jc w:val="center"/>
                    <w:rPr>
                      <w:color w:val="auto"/>
                      <w:kern w:val="0"/>
                    </w:rPr>
                  </w:pPr>
                </w:p>
              </w:tc>
            </w:tr>
            <w:tr w14:paraId="632D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4AFDEE37">
                  <w:pPr>
                    <w:spacing w:line="0" w:lineRule="atLeast"/>
                    <w:jc w:val="center"/>
                    <w:rPr>
                      <w:color w:val="auto"/>
                      <w:kern w:val="0"/>
                    </w:rPr>
                  </w:pPr>
                  <w:r>
                    <w:rPr>
                      <w:rFonts w:hint="eastAsia"/>
                      <w:color w:val="auto"/>
                      <w:kern w:val="0"/>
                    </w:rPr>
                    <w:t>/</w:t>
                  </w:r>
                </w:p>
              </w:tc>
              <w:tc>
                <w:tcPr>
                  <w:tcW w:w="697" w:type="dxa"/>
                  <w:vAlign w:val="center"/>
                </w:tcPr>
                <w:p w14:paraId="345B7097">
                  <w:pPr>
                    <w:jc w:val="center"/>
                    <w:rPr>
                      <w:color w:val="auto"/>
                      <w:kern w:val="0"/>
                    </w:rPr>
                  </w:pPr>
                  <w:r>
                    <w:rPr>
                      <w:color w:val="auto"/>
                    </w:rPr>
                    <w:t>废包装桶</w:t>
                  </w:r>
                </w:p>
              </w:tc>
              <w:tc>
                <w:tcPr>
                  <w:tcW w:w="697" w:type="dxa"/>
                  <w:vAlign w:val="center"/>
                </w:tcPr>
                <w:p w14:paraId="1ACE0E02">
                  <w:pPr>
                    <w:autoSpaceDE w:val="0"/>
                    <w:autoSpaceDN w:val="0"/>
                    <w:spacing w:line="0" w:lineRule="atLeast"/>
                    <w:jc w:val="center"/>
                    <w:rPr>
                      <w:color w:val="auto"/>
                      <w:kern w:val="0"/>
                    </w:rPr>
                  </w:pPr>
                  <w:r>
                    <w:rPr>
                      <w:color w:val="auto"/>
                      <w:kern w:val="0"/>
                    </w:rPr>
                    <w:t>HW</w:t>
                  </w:r>
                  <w:r>
                    <w:rPr>
                      <w:rFonts w:hint="eastAsia"/>
                      <w:color w:val="auto"/>
                      <w:kern w:val="0"/>
                      <w:lang w:val="en-US" w:eastAsia="zh-CN"/>
                    </w:rPr>
                    <w:t>08</w:t>
                  </w:r>
                </w:p>
              </w:tc>
              <w:tc>
                <w:tcPr>
                  <w:tcW w:w="697" w:type="dxa"/>
                  <w:vAlign w:val="center"/>
                </w:tcPr>
                <w:p w14:paraId="5A5F15A5">
                  <w:pPr>
                    <w:spacing w:line="0" w:lineRule="atLeast"/>
                    <w:jc w:val="center"/>
                    <w:rPr>
                      <w:color w:val="auto"/>
                      <w:kern w:val="0"/>
                    </w:rPr>
                  </w:pPr>
                  <w:r>
                    <w:rPr>
                      <w:color w:val="auto"/>
                      <w:kern w:val="0"/>
                    </w:rPr>
                    <w:t>900-</w:t>
                  </w:r>
                  <w:r>
                    <w:rPr>
                      <w:rFonts w:hint="eastAsia"/>
                      <w:color w:val="auto"/>
                      <w:kern w:val="0"/>
                      <w:lang w:val="en-US" w:eastAsia="zh-CN"/>
                    </w:rPr>
                    <w:t>249</w:t>
                  </w:r>
                  <w:r>
                    <w:rPr>
                      <w:color w:val="auto"/>
                      <w:kern w:val="0"/>
                    </w:rPr>
                    <w:t>-</w:t>
                  </w:r>
                  <w:r>
                    <w:rPr>
                      <w:rFonts w:hint="eastAsia"/>
                      <w:color w:val="auto"/>
                      <w:kern w:val="0"/>
                      <w:lang w:val="en-US" w:eastAsia="zh-CN"/>
                    </w:rPr>
                    <w:t>08</w:t>
                  </w:r>
                </w:p>
              </w:tc>
              <w:tc>
                <w:tcPr>
                  <w:tcW w:w="697" w:type="dxa"/>
                  <w:vAlign w:val="center"/>
                </w:tcPr>
                <w:p w14:paraId="31B4FF97">
                  <w:pPr>
                    <w:spacing w:line="0" w:lineRule="atLeast"/>
                    <w:jc w:val="center"/>
                    <w:rPr>
                      <w:rFonts w:hint="default" w:eastAsia="宋体"/>
                      <w:color w:val="auto"/>
                      <w:kern w:val="0"/>
                      <w:lang w:val="en-US" w:eastAsia="zh-CN"/>
                    </w:rPr>
                  </w:pPr>
                  <w:r>
                    <w:rPr>
                      <w:rFonts w:hint="eastAsia"/>
                      <w:color w:val="auto"/>
                      <w:kern w:val="0"/>
                    </w:rPr>
                    <w:t>0.</w:t>
                  </w:r>
                  <w:r>
                    <w:rPr>
                      <w:rFonts w:hint="eastAsia"/>
                      <w:color w:val="auto"/>
                      <w:kern w:val="0"/>
                      <w:lang w:val="en-US" w:eastAsia="zh-CN"/>
                    </w:rPr>
                    <w:t>189</w:t>
                  </w:r>
                </w:p>
              </w:tc>
              <w:tc>
                <w:tcPr>
                  <w:tcW w:w="698" w:type="dxa"/>
                  <w:vAlign w:val="center"/>
                </w:tcPr>
                <w:p w14:paraId="4AACEB7F">
                  <w:pPr>
                    <w:widowControl/>
                    <w:jc w:val="center"/>
                    <w:textAlignment w:val="center"/>
                    <w:rPr>
                      <w:color w:val="auto"/>
                      <w:kern w:val="0"/>
                    </w:rPr>
                  </w:pPr>
                  <w:r>
                    <w:rPr>
                      <w:rFonts w:hint="eastAsia" w:ascii="宋体" w:hAnsi="宋体" w:cs="宋体"/>
                      <w:color w:val="auto"/>
                      <w:kern w:val="0"/>
                      <w:lang w:bidi="ar"/>
                    </w:rPr>
                    <w:t>原料包装</w:t>
                  </w:r>
                </w:p>
              </w:tc>
              <w:tc>
                <w:tcPr>
                  <w:tcW w:w="698" w:type="dxa"/>
                  <w:vAlign w:val="center"/>
                </w:tcPr>
                <w:p w14:paraId="7D64F542">
                  <w:pPr>
                    <w:jc w:val="center"/>
                    <w:rPr>
                      <w:color w:val="auto"/>
                      <w:kern w:val="0"/>
                    </w:rPr>
                  </w:pPr>
                  <w:r>
                    <w:rPr>
                      <w:color w:val="auto"/>
                    </w:rPr>
                    <w:t>固态</w:t>
                  </w:r>
                </w:p>
              </w:tc>
              <w:tc>
                <w:tcPr>
                  <w:tcW w:w="698" w:type="dxa"/>
                  <w:vAlign w:val="center"/>
                </w:tcPr>
                <w:p w14:paraId="6A7DCD2C">
                  <w:pPr>
                    <w:widowControl/>
                    <w:jc w:val="center"/>
                    <w:textAlignment w:val="center"/>
                    <w:rPr>
                      <w:color w:val="auto"/>
                      <w:kern w:val="0"/>
                    </w:rPr>
                  </w:pPr>
                  <w:r>
                    <w:rPr>
                      <w:rFonts w:hint="eastAsia" w:ascii="宋体" w:hAnsi="宋体" w:cs="宋体"/>
                      <w:color w:val="auto"/>
                      <w:kern w:val="0"/>
                      <w:lang w:bidi="ar"/>
                    </w:rPr>
                    <w:t>沾白油等包装桶</w:t>
                  </w:r>
                </w:p>
              </w:tc>
              <w:tc>
                <w:tcPr>
                  <w:tcW w:w="698" w:type="dxa"/>
                  <w:vAlign w:val="center"/>
                </w:tcPr>
                <w:p w14:paraId="1DDCE03F">
                  <w:pPr>
                    <w:spacing w:line="0" w:lineRule="atLeast"/>
                    <w:jc w:val="center"/>
                    <w:rPr>
                      <w:color w:val="auto"/>
                      <w:kern w:val="0"/>
                    </w:rPr>
                  </w:pPr>
                  <w:r>
                    <w:rPr>
                      <w:rFonts w:hint="eastAsia"/>
                      <w:color w:val="auto"/>
                      <w:kern w:val="0"/>
                    </w:rPr>
                    <w:t>白油</w:t>
                  </w:r>
                </w:p>
              </w:tc>
              <w:tc>
                <w:tcPr>
                  <w:tcW w:w="698" w:type="dxa"/>
                  <w:vAlign w:val="center"/>
                </w:tcPr>
                <w:p w14:paraId="33DCECBF">
                  <w:pPr>
                    <w:spacing w:line="0" w:lineRule="atLeast"/>
                    <w:jc w:val="center"/>
                    <w:rPr>
                      <w:color w:val="auto"/>
                      <w:kern w:val="0"/>
                    </w:rPr>
                  </w:pPr>
                  <w:r>
                    <w:rPr>
                      <w:rFonts w:hint="eastAsia"/>
                      <w:color w:val="auto"/>
                      <w:kern w:val="0"/>
                    </w:rPr>
                    <w:t>每月</w:t>
                  </w:r>
                </w:p>
              </w:tc>
              <w:tc>
                <w:tcPr>
                  <w:tcW w:w="698" w:type="dxa"/>
                  <w:vAlign w:val="center"/>
                </w:tcPr>
                <w:p w14:paraId="1662616C">
                  <w:pPr>
                    <w:spacing w:line="0" w:lineRule="atLeast"/>
                    <w:jc w:val="center"/>
                    <w:rPr>
                      <w:color w:val="auto"/>
                      <w:kern w:val="0"/>
                    </w:rPr>
                  </w:pPr>
                  <w:r>
                    <w:rPr>
                      <w:color w:val="auto"/>
                      <w:kern w:val="0"/>
                    </w:rPr>
                    <w:t>T/I</w:t>
                  </w:r>
                </w:p>
              </w:tc>
              <w:tc>
                <w:tcPr>
                  <w:tcW w:w="699" w:type="dxa"/>
                  <w:vMerge w:val="continue"/>
                </w:tcPr>
                <w:p w14:paraId="6702E133">
                  <w:pPr>
                    <w:spacing w:line="0" w:lineRule="atLeast"/>
                    <w:jc w:val="center"/>
                    <w:rPr>
                      <w:color w:val="auto"/>
                      <w:kern w:val="0"/>
                    </w:rPr>
                  </w:pPr>
                </w:p>
              </w:tc>
              <w:tc>
                <w:tcPr>
                  <w:tcW w:w="699" w:type="dxa"/>
                  <w:vMerge w:val="continue"/>
                </w:tcPr>
                <w:p w14:paraId="3AD0D217">
                  <w:pPr>
                    <w:spacing w:line="0" w:lineRule="atLeast"/>
                    <w:jc w:val="center"/>
                    <w:rPr>
                      <w:color w:val="auto"/>
                      <w:kern w:val="0"/>
                    </w:rPr>
                  </w:pPr>
                </w:p>
              </w:tc>
            </w:tr>
            <w:tr w14:paraId="2A26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59A3C511">
                  <w:pPr>
                    <w:spacing w:line="0" w:lineRule="atLeast"/>
                    <w:jc w:val="center"/>
                    <w:rPr>
                      <w:color w:val="auto"/>
                      <w:kern w:val="0"/>
                    </w:rPr>
                  </w:pPr>
                  <w:r>
                    <w:rPr>
                      <w:rFonts w:hint="eastAsia"/>
                      <w:color w:val="auto"/>
                      <w:kern w:val="0"/>
                    </w:rPr>
                    <w:t>/</w:t>
                  </w:r>
                </w:p>
              </w:tc>
              <w:tc>
                <w:tcPr>
                  <w:tcW w:w="697" w:type="dxa"/>
                  <w:vAlign w:val="center"/>
                </w:tcPr>
                <w:p w14:paraId="7D89D6CE">
                  <w:pPr>
                    <w:jc w:val="center"/>
                    <w:rPr>
                      <w:color w:val="auto"/>
                      <w:kern w:val="0"/>
                    </w:rPr>
                  </w:pPr>
                  <w:r>
                    <w:rPr>
                      <w:color w:val="auto"/>
                    </w:rPr>
                    <w:t>废活性炭</w:t>
                  </w:r>
                </w:p>
              </w:tc>
              <w:tc>
                <w:tcPr>
                  <w:tcW w:w="697" w:type="dxa"/>
                  <w:vAlign w:val="center"/>
                </w:tcPr>
                <w:p w14:paraId="22C0C181">
                  <w:pPr>
                    <w:autoSpaceDE w:val="0"/>
                    <w:autoSpaceDN w:val="0"/>
                    <w:spacing w:line="0" w:lineRule="atLeast"/>
                    <w:jc w:val="center"/>
                    <w:rPr>
                      <w:color w:val="auto"/>
                      <w:kern w:val="0"/>
                    </w:rPr>
                  </w:pPr>
                  <w:r>
                    <w:rPr>
                      <w:color w:val="auto"/>
                      <w:kern w:val="0"/>
                    </w:rPr>
                    <w:t>HW49</w:t>
                  </w:r>
                </w:p>
              </w:tc>
              <w:tc>
                <w:tcPr>
                  <w:tcW w:w="697" w:type="dxa"/>
                  <w:vAlign w:val="center"/>
                </w:tcPr>
                <w:p w14:paraId="7E64910D">
                  <w:pPr>
                    <w:spacing w:line="0" w:lineRule="atLeast"/>
                    <w:jc w:val="center"/>
                    <w:rPr>
                      <w:color w:val="auto"/>
                      <w:kern w:val="0"/>
                    </w:rPr>
                  </w:pPr>
                  <w:r>
                    <w:rPr>
                      <w:color w:val="auto"/>
                      <w:kern w:val="0"/>
                    </w:rPr>
                    <w:t>900-039-49</w:t>
                  </w:r>
                </w:p>
              </w:tc>
              <w:tc>
                <w:tcPr>
                  <w:tcW w:w="697" w:type="dxa"/>
                  <w:vAlign w:val="center"/>
                </w:tcPr>
                <w:p w14:paraId="104E1920">
                  <w:pPr>
                    <w:spacing w:line="0" w:lineRule="atLeast"/>
                    <w:jc w:val="center"/>
                    <w:rPr>
                      <w:rFonts w:hint="default" w:eastAsia="宋体"/>
                      <w:color w:val="auto"/>
                      <w:kern w:val="0"/>
                      <w:lang w:val="en-US" w:eastAsia="zh-CN"/>
                    </w:rPr>
                  </w:pPr>
                  <w:r>
                    <w:rPr>
                      <w:rFonts w:hint="eastAsia"/>
                      <w:color w:val="auto"/>
                      <w:kern w:val="0"/>
                      <w:lang w:val="en-US" w:eastAsia="zh-CN"/>
                    </w:rPr>
                    <w:t>8.82</w:t>
                  </w:r>
                </w:p>
              </w:tc>
              <w:tc>
                <w:tcPr>
                  <w:tcW w:w="698" w:type="dxa"/>
                  <w:vAlign w:val="center"/>
                </w:tcPr>
                <w:p w14:paraId="7279CAD4">
                  <w:pPr>
                    <w:widowControl/>
                    <w:jc w:val="center"/>
                    <w:textAlignment w:val="center"/>
                    <w:rPr>
                      <w:color w:val="auto"/>
                      <w:kern w:val="0"/>
                    </w:rPr>
                  </w:pPr>
                  <w:r>
                    <w:rPr>
                      <w:rFonts w:hint="eastAsia" w:ascii="宋体" w:hAnsi="宋体" w:cs="宋体"/>
                      <w:color w:val="auto"/>
                      <w:kern w:val="0"/>
                      <w:lang w:bidi="ar"/>
                    </w:rPr>
                    <w:t>废气处理</w:t>
                  </w:r>
                </w:p>
              </w:tc>
              <w:tc>
                <w:tcPr>
                  <w:tcW w:w="698" w:type="dxa"/>
                  <w:vAlign w:val="center"/>
                </w:tcPr>
                <w:p w14:paraId="41BF119B">
                  <w:pPr>
                    <w:jc w:val="center"/>
                    <w:rPr>
                      <w:color w:val="auto"/>
                      <w:kern w:val="0"/>
                    </w:rPr>
                  </w:pPr>
                  <w:r>
                    <w:rPr>
                      <w:color w:val="auto"/>
                    </w:rPr>
                    <w:t>固态</w:t>
                  </w:r>
                </w:p>
              </w:tc>
              <w:tc>
                <w:tcPr>
                  <w:tcW w:w="698" w:type="dxa"/>
                  <w:vAlign w:val="center"/>
                </w:tcPr>
                <w:p w14:paraId="11E8B081">
                  <w:pPr>
                    <w:widowControl/>
                    <w:jc w:val="center"/>
                    <w:textAlignment w:val="center"/>
                    <w:rPr>
                      <w:color w:val="auto"/>
                      <w:kern w:val="0"/>
                    </w:rPr>
                  </w:pPr>
                  <w:r>
                    <w:rPr>
                      <w:rFonts w:hint="eastAsia" w:ascii="宋体" w:hAnsi="宋体" w:cs="宋体"/>
                      <w:color w:val="auto"/>
                      <w:kern w:val="0"/>
                      <w:lang w:bidi="ar"/>
                    </w:rPr>
                    <w:t>活性炭、有机物</w:t>
                  </w:r>
                </w:p>
              </w:tc>
              <w:tc>
                <w:tcPr>
                  <w:tcW w:w="698" w:type="dxa"/>
                  <w:vAlign w:val="center"/>
                </w:tcPr>
                <w:p w14:paraId="46A1BDCF">
                  <w:pPr>
                    <w:spacing w:line="0" w:lineRule="atLeast"/>
                    <w:jc w:val="center"/>
                    <w:rPr>
                      <w:color w:val="auto"/>
                      <w:kern w:val="0"/>
                    </w:rPr>
                  </w:pPr>
                  <w:r>
                    <w:rPr>
                      <w:rFonts w:hint="eastAsia"/>
                      <w:color w:val="auto"/>
                      <w:kern w:val="0"/>
                    </w:rPr>
                    <w:t>废活性炭、有机物</w:t>
                  </w:r>
                </w:p>
              </w:tc>
              <w:tc>
                <w:tcPr>
                  <w:tcW w:w="698" w:type="dxa"/>
                  <w:vAlign w:val="center"/>
                </w:tcPr>
                <w:p w14:paraId="129EC771">
                  <w:pPr>
                    <w:spacing w:line="0" w:lineRule="atLeast"/>
                    <w:jc w:val="center"/>
                    <w:rPr>
                      <w:color w:val="auto"/>
                      <w:kern w:val="0"/>
                    </w:rPr>
                  </w:pPr>
                  <w:r>
                    <w:rPr>
                      <w:rFonts w:hint="eastAsia"/>
                      <w:color w:val="auto"/>
                      <w:kern w:val="0"/>
                    </w:rPr>
                    <w:t>每</w:t>
                  </w:r>
                  <w:r>
                    <w:rPr>
                      <w:rFonts w:hint="eastAsia"/>
                      <w:color w:val="auto"/>
                      <w:kern w:val="0"/>
                      <w:lang w:val="en-US" w:eastAsia="zh-CN"/>
                    </w:rPr>
                    <w:t>2</w:t>
                  </w:r>
                  <w:r>
                    <w:rPr>
                      <w:rFonts w:hint="eastAsia"/>
                      <w:color w:val="auto"/>
                      <w:kern w:val="0"/>
                    </w:rPr>
                    <w:t>月</w:t>
                  </w:r>
                </w:p>
              </w:tc>
              <w:tc>
                <w:tcPr>
                  <w:tcW w:w="698" w:type="dxa"/>
                  <w:vAlign w:val="center"/>
                </w:tcPr>
                <w:p w14:paraId="61E4485E">
                  <w:pPr>
                    <w:spacing w:line="0" w:lineRule="atLeast"/>
                    <w:jc w:val="center"/>
                    <w:rPr>
                      <w:color w:val="auto"/>
                      <w:kern w:val="0"/>
                    </w:rPr>
                  </w:pPr>
                  <w:r>
                    <w:rPr>
                      <w:color w:val="auto"/>
                      <w:kern w:val="0"/>
                    </w:rPr>
                    <w:t>T</w:t>
                  </w:r>
                </w:p>
              </w:tc>
              <w:tc>
                <w:tcPr>
                  <w:tcW w:w="699" w:type="dxa"/>
                  <w:vMerge w:val="continue"/>
                </w:tcPr>
                <w:p w14:paraId="4CFCCF0C">
                  <w:pPr>
                    <w:spacing w:line="0" w:lineRule="atLeast"/>
                    <w:jc w:val="center"/>
                    <w:rPr>
                      <w:color w:val="auto"/>
                      <w:kern w:val="0"/>
                    </w:rPr>
                  </w:pPr>
                </w:p>
              </w:tc>
              <w:tc>
                <w:tcPr>
                  <w:tcW w:w="699" w:type="dxa"/>
                  <w:vMerge w:val="continue"/>
                </w:tcPr>
                <w:p w14:paraId="28E0CECF">
                  <w:pPr>
                    <w:spacing w:line="0" w:lineRule="atLeast"/>
                    <w:jc w:val="center"/>
                    <w:rPr>
                      <w:color w:val="auto"/>
                      <w:kern w:val="0"/>
                    </w:rPr>
                  </w:pPr>
                </w:p>
              </w:tc>
            </w:tr>
            <w:tr w14:paraId="00BA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5A8B8DA3">
                  <w:pPr>
                    <w:spacing w:line="0" w:lineRule="atLeast"/>
                    <w:jc w:val="center"/>
                    <w:rPr>
                      <w:color w:val="auto"/>
                      <w:kern w:val="0"/>
                    </w:rPr>
                  </w:pPr>
                  <w:r>
                    <w:rPr>
                      <w:rFonts w:hint="eastAsia"/>
                      <w:color w:val="auto"/>
                      <w:kern w:val="0"/>
                    </w:rPr>
                    <w:t>/</w:t>
                  </w:r>
                </w:p>
              </w:tc>
              <w:tc>
                <w:tcPr>
                  <w:tcW w:w="697" w:type="dxa"/>
                  <w:vAlign w:val="center"/>
                </w:tcPr>
                <w:p w14:paraId="3087A502">
                  <w:pPr>
                    <w:jc w:val="center"/>
                    <w:rPr>
                      <w:rFonts w:hint="eastAsia" w:eastAsia="宋体"/>
                      <w:color w:val="auto"/>
                      <w:lang w:eastAsia="zh-CN"/>
                    </w:rPr>
                  </w:pPr>
                  <w:r>
                    <w:rPr>
                      <w:rFonts w:hint="eastAsia"/>
                      <w:color w:val="auto"/>
                      <w:lang w:eastAsia="zh-CN"/>
                    </w:rPr>
                    <w:t>磨削灰</w:t>
                  </w:r>
                </w:p>
              </w:tc>
              <w:tc>
                <w:tcPr>
                  <w:tcW w:w="697" w:type="dxa"/>
                  <w:vAlign w:val="center"/>
                </w:tcPr>
                <w:p w14:paraId="5871ABBF">
                  <w:pPr>
                    <w:autoSpaceDE w:val="0"/>
                    <w:autoSpaceDN w:val="0"/>
                    <w:spacing w:line="0" w:lineRule="atLeast"/>
                    <w:jc w:val="center"/>
                    <w:rPr>
                      <w:color w:val="auto"/>
                      <w:kern w:val="0"/>
                    </w:rPr>
                  </w:pPr>
                  <w:r>
                    <w:rPr>
                      <w:color w:val="auto"/>
                      <w:kern w:val="0"/>
                    </w:rPr>
                    <w:t>HW49</w:t>
                  </w:r>
                </w:p>
              </w:tc>
              <w:tc>
                <w:tcPr>
                  <w:tcW w:w="697" w:type="dxa"/>
                  <w:vAlign w:val="center"/>
                </w:tcPr>
                <w:p w14:paraId="58A17E41">
                  <w:pPr>
                    <w:spacing w:line="0" w:lineRule="atLeast"/>
                    <w:jc w:val="center"/>
                    <w:rPr>
                      <w:color w:val="auto"/>
                      <w:kern w:val="0"/>
                    </w:rPr>
                  </w:pPr>
                  <w:r>
                    <w:rPr>
                      <w:color w:val="auto"/>
                      <w:kern w:val="0"/>
                    </w:rPr>
                    <w:t>900-041-49</w:t>
                  </w:r>
                </w:p>
              </w:tc>
              <w:tc>
                <w:tcPr>
                  <w:tcW w:w="697" w:type="dxa"/>
                  <w:vAlign w:val="center"/>
                </w:tcPr>
                <w:p w14:paraId="5D745832">
                  <w:pPr>
                    <w:spacing w:line="0" w:lineRule="atLeast"/>
                    <w:jc w:val="center"/>
                    <w:rPr>
                      <w:color w:val="auto"/>
                      <w:kern w:val="0"/>
                    </w:rPr>
                  </w:pPr>
                  <w:r>
                    <w:rPr>
                      <w:rFonts w:hint="eastAsia"/>
                      <w:color w:val="auto"/>
                      <w:kern w:val="0"/>
                    </w:rPr>
                    <w:t>2</w:t>
                  </w:r>
                </w:p>
              </w:tc>
              <w:tc>
                <w:tcPr>
                  <w:tcW w:w="698" w:type="dxa"/>
                  <w:vAlign w:val="center"/>
                </w:tcPr>
                <w:p w14:paraId="49B6E545">
                  <w:pPr>
                    <w:widowControl/>
                    <w:jc w:val="center"/>
                    <w:textAlignment w:val="center"/>
                    <w:rPr>
                      <w:rFonts w:ascii="宋体" w:hAnsi="宋体" w:cs="宋体"/>
                      <w:color w:val="auto"/>
                      <w:kern w:val="0"/>
                      <w:lang w:bidi="ar"/>
                    </w:rPr>
                  </w:pPr>
                  <w:r>
                    <w:rPr>
                      <w:rFonts w:hint="eastAsia" w:ascii="宋体" w:hAnsi="宋体" w:cs="宋体"/>
                      <w:color w:val="auto"/>
                      <w:kern w:val="0"/>
                      <w:lang w:bidi="ar"/>
                    </w:rPr>
                    <w:t>机加工</w:t>
                  </w:r>
                </w:p>
              </w:tc>
              <w:tc>
                <w:tcPr>
                  <w:tcW w:w="698" w:type="dxa"/>
                  <w:vAlign w:val="center"/>
                </w:tcPr>
                <w:p w14:paraId="50855DC2">
                  <w:pPr>
                    <w:jc w:val="center"/>
                    <w:rPr>
                      <w:color w:val="auto"/>
                    </w:rPr>
                  </w:pPr>
                  <w:r>
                    <w:rPr>
                      <w:color w:val="auto"/>
                    </w:rPr>
                    <w:t>固态</w:t>
                  </w:r>
                </w:p>
              </w:tc>
              <w:tc>
                <w:tcPr>
                  <w:tcW w:w="698" w:type="dxa"/>
                  <w:vAlign w:val="center"/>
                </w:tcPr>
                <w:p w14:paraId="630B3F2F">
                  <w:pPr>
                    <w:widowControl/>
                    <w:jc w:val="center"/>
                    <w:textAlignment w:val="center"/>
                    <w:rPr>
                      <w:rFonts w:ascii="宋体" w:hAnsi="宋体" w:cs="宋体"/>
                      <w:color w:val="auto"/>
                      <w:kern w:val="0"/>
                      <w:lang w:bidi="ar"/>
                    </w:rPr>
                  </w:pPr>
                  <w:r>
                    <w:rPr>
                      <w:rFonts w:hint="eastAsia" w:ascii="宋体" w:hAnsi="宋体" w:cs="宋体"/>
                      <w:color w:val="auto"/>
                      <w:kern w:val="0"/>
                      <w:lang w:bidi="ar"/>
                    </w:rPr>
                    <w:t>含油金属边角料与砂轮灰混合物</w:t>
                  </w:r>
                </w:p>
              </w:tc>
              <w:tc>
                <w:tcPr>
                  <w:tcW w:w="698" w:type="dxa"/>
                  <w:vAlign w:val="center"/>
                </w:tcPr>
                <w:p w14:paraId="04791D88">
                  <w:pPr>
                    <w:spacing w:line="0" w:lineRule="atLeast"/>
                    <w:jc w:val="center"/>
                    <w:rPr>
                      <w:color w:val="auto"/>
                      <w:kern w:val="0"/>
                    </w:rPr>
                  </w:pPr>
                  <w:r>
                    <w:rPr>
                      <w:color w:val="auto"/>
                      <w:kern w:val="0"/>
                    </w:rPr>
                    <w:t>矿物油</w:t>
                  </w:r>
                </w:p>
              </w:tc>
              <w:tc>
                <w:tcPr>
                  <w:tcW w:w="698" w:type="dxa"/>
                  <w:vAlign w:val="center"/>
                </w:tcPr>
                <w:p w14:paraId="48EEF189">
                  <w:pPr>
                    <w:spacing w:line="0" w:lineRule="atLeast"/>
                    <w:jc w:val="center"/>
                    <w:rPr>
                      <w:color w:val="auto"/>
                      <w:kern w:val="0"/>
                    </w:rPr>
                  </w:pPr>
                  <w:r>
                    <w:rPr>
                      <w:rFonts w:hint="eastAsia"/>
                      <w:color w:val="auto"/>
                      <w:kern w:val="0"/>
                    </w:rPr>
                    <w:t>每月</w:t>
                  </w:r>
                </w:p>
              </w:tc>
              <w:tc>
                <w:tcPr>
                  <w:tcW w:w="698" w:type="dxa"/>
                  <w:vAlign w:val="center"/>
                </w:tcPr>
                <w:p w14:paraId="33741E0A">
                  <w:pPr>
                    <w:spacing w:line="0" w:lineRule="atLeast"/>
                    <w:jc w:val="center"/>
                    <w:rPr>
                      <w:color w:val="auto"/>
                      <w:kern w:val="0"/>
                    </w:rPr>
                  </w:pPr>
                  <w:r>
                    <w:rPr>
                      <w:color w:val="auto"/>
                      <w:kern w:val="0"/>
                    </w:rPr>
                    <w:t>T/I</w:t>
                  </w:r>
                </w:p>
              </w:tc>
              <w:tc>
                <w:tcPr>
                  <w:tcW w:w="699" w:type="dxa"/>
                  <w:vMerge w:val="continue"/>
                </w:tcPr>
                <w:p w14:paraId="23CF4293">
                  <w:pPr>
                    <w:spacing w:line="0" w:lineRule="atLeast"/>
                    <w:jc w:val="center"/>
                    <w:rPr>
                      <w:color w:val="auto"/>
                      <w:kern w:val="0"/>
                    </w:rPr>
                  </w:pPr>
                </w:p>
              </w:tc>
              <w:tc>
                <w:tcPr>
                  <w:tcW w:w="699" w:type="dxa"/>
                  <w:vMerge w:val="continue"/>
                </w:tcPr>
                <w:p w14:paraId="321B9A96">
                  <w:pPr>
                    <w:spacing w:line="0" w:lineRule="atLeast"/>
                    <w:jc w:val="center"/>
                    <w:rPr>
                      <w:color w:val="auto"/>
                      <w:kern w:val="0"/>
                    </w:rPr>
                  </w:pPr>
                </w:p>
              </w:tc>
            </w:tr>
            <w:tr w14:paraId="14B6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631AA3FE">
                  <w:pPr>
                    <w:spacing w:line="0" w:lineRule="atLeast"/>
                    <w:jc w:val="center"/>
                    <w:rPr>
                      <w:rFonts w:hint="eastAsia"/>
                      <w:color w:val="auto"/>
                      <w:kern w:val="0"/>
                    </w:rPr>
                  </w:pPr>
                  <w:r>
                    <w:rPr>
                      <w:rFonts w:hint="eastAsia"/>
                      <w:color w:val="auto"/>
                      <w:kern w:val="0"/>
                    </w:rPr>
                    <w:t>/</w:t>
                  </w:r>
                </w:p>
              </w:tc>
              <w:tc>
                <w:tcPr>
                  <w:tcW w:w="697" w:type="dxa"/>
                  <w:vAlign w:val="center"/>
                </w:tcPr>
                <w:p w14:paraId="3595E84D">
                  <w:pPr>
                    <w:jc w:val="center"/>
                    <w:rPr>
                      <w:rFonts w:hint="default"/>
                      <w:color w:val="auto"/>
                      <w:lang w:val="en-US" w:eastAsia="zh-CN"/>
                    </w:rPr>
                  </w:pPr>
                  <w:r>
                    <w:rPr>
                      <w:rFonts w:hint="eastAsia"/>
                      <w:color w:val="auto"/>
                      <w:lang w:val="en-US" w:eastAsia="zh-CN"/>
                    </w:rPr>
                    <w:t>废机油</w:t>
                  </w:r>
                </w:p>
              </w:tc>
              <w:tc>
                <w:tcPr>
                  <w:tcW w:w="697" w:type="dxa"/>
                  <w:vAlign w:val="center"/>
                </w:tcPr>
                <w:p w14:paraId="3D3D24B2">
                  <w:pPr>
                    <w:jc w:val="center"/>
                    <w:rPr>
                      <w:color w:val="auto"/>
                      <w:kern w:val="0"/>
                    </w:rPr>
                  </w:pPr>
                  <w:r>
                    <w:rPr>
                      <w:color w:val="auto"/>
                    </w:rPr>
                    <w:t>HW0</w:t>
                  </w:r>
                  <w:r>
                    <w:rPr>
                      <w:rFonts w:hint="eastAsia"/>
                      <w:color w:val="auto"/>
                      <w:lang w:val="en-US" w:eastAsia="zh-CN"/>
                    </w:rPr>
                    <w:t>8</w:t>
                  </w:r>
                </w:p>
              </w:tc>
              <w:tc>
                <w:tcPr>
                  <w:tcW w:w="697" w:type="dxa"/>
                  <w:vAlign w:val="center"/>
                </w:tcPr>
                <w:p w14:paraId="2AE99C20">
                  <w:pPr>
                    <w:jc w:val="center"/>
                    <w:rPr>
                      <w:color w:val="auto"/>
                      <w:kern w:val="0"/>
                    </w:rPr>
                  </w:pPr>
                  <w:r>
                    <w:rPr>
                      <w:color w:val="auto"/>
                    </w:rPr>
                    <w:t>900-</w:t>
                  </w:r>
                  <w:r>
                    <w:rPr>
                      <w:rFonts w:hint="eastAsia"/>
                      <w:color w:val="auto"/>
                      <w:lang w:val="en-US" w:eastAsia="zh-CN"/>
                    </w:rPr>
                    <w:t>214</w:t>
                  </w:r>
                  <w:r>
                    <w:rPr>
                      <w:color w:val="auto"/>
                    </w:rPr>
                    <w:t>-0</w:t>
                  </w:r>
                  <w:r>
                    <w:rPr>
                      <w:rFonts w:hint="eastAsia"/>
                      <w:color w:val="auto"/>
                      <w:lang w:val="en-US" w:eastAsia="zh-CN"/>
                    </w:rPr>
                    <w:t>8</w:t>
                  </w:r>
                </w:p>
              </w:tc>
              <w:tc>
                <w:tcPr>
                  <w:tcW w:w="697" w:type="dxa"/>
                  <w:vAlign w:val="center"/>
                </w:tcPr>
                <w:p w14:paraId="3AB2F8F1">
                  <w:pPr>
                    <w:spacing w:line="0" w:lineRule="atLeast"/>
                    <w:jc w:val="center"/>
                    <w:rPr>
                      <w:rFonts w:hint="eastAsia" w:eastAsia="宋体"/>
                      <w:color w:val="auto"/>
                      <w:kern w:val="0"/>
                      <w:lang w:val="en-US" w:eastAsia="zh-CN"/>
                    </w:rPr>
                  </w:pPr>
                  <w:r>
                    <w:rPr>
                      <w:rFonts w:hint="eastAsia"/>
                      <w:color w:val="auto"/>
                      <w:kern w:val="0"/>
                      <w:lang w:val="en-US" w:eastAsia="zh-CN"/>
                    </w:rPr>
                    <w:t>1</w:t>
                  </w:r>
                </w:p>
              </w:tc>
              <w:tc>
                <w:tcPr>
                  <w:tcW w:w="698" w:type="dxa"/>
                  <w:vAlign w:val="center"/>
                </w:tcPr>
                <w:p w14:paraId="7DD1A3EF">
                  <w:pPr>
                    <w:widowControl/>
                    <w:jc w:val="center"/>
                    <w:textAlignment w:val="center"/>
                    <w:rPr>
                      <w:rFonts w:hint="default" w:ascii="宋体" w:hAnsi="宋体" w:eastAsia="宋体" w:cs="宋体"/>
                      <w:color w:val="auto"/>
                      <w:kern w:val="0"/>
                      <w:lang w:val="en-US" w:eastAsia="zh-CN" w:bidi="ar"/>
                    </w:rPr>
                  </w:pPr>
                  <w:r>
                    <w:rPr>
                      <w:rFonts w:hint="eastAsia" w:ascii="宋体" w:hAnsi="宋体" w:cs="宋体"/>
                      <w:color w:val="auto"/>
                      <w:kern w:val="0"/>
                      <w:lang w:val="en-US" w:eastAsia="zh-CN" w:bidi="ar"/>
                    </w:rPr>
                    <w:t>设备维护</w:t>
                  </w:r>
                </w:p>
              </w:tc>
              <w:tc>
                <w:tcPr>
                  <w:tcW w:w="698" w:type="dxa"/>
                  <w:vAlign w:val="center"/>
                </w:tcPr>
                <w:p w14:paraId="3519AAFA">
                  <w:pPr>
                    <w:jc w:val="center"/>
                    <w:rPr>
                      <w:rFonts w:hint="eastAsia" w:eastAsia="宋体"/>
                      <w:color w:val="auto"/>
                      <w:lang w:val="en-US" w:eastAsia="zh-CN"/>
                    </w:rPr>
                  </w:pPr>
                  <w:r>
                    <w:rPr>
                      <w:rFonts w:hint="eastAsia"/>
                      <w:color w:val="auto"/>
                      <w:lang w:val="en-US" w:eastAsia="zh-CN"/>
                    </w:rPr>
                    <w:t>液态</w:t>
                  </w:r>
                </w:p>
              </w:tc>
              <w:tc>
                <w:tcPr>
                  <w:tcW w:w="698" w:type="dxa"/>
                  <w:vAlign w:val="center"/>
                </w:tcPr>
                <w:p w14:paraId="1DD436D9">
                  <w:pPr>
                    <w:widowControl/>
                    <w:jc w:val="center"/>
                    <w:textAlignment w:val="center"/>
                    <w:rPr>
                      <w:rFonts w:hint="eastAsia" w:ascii="宋体" w:hAnsi="宋体" w:cs="宋体"/>
                      <w:color w:val="auto"/>
                      <w:kern w:val="0"/>
                      <w:lang w:bidi="ar"/>
                    </w:rPr>
                  </w:pPr>
                  <w:r>
                    <w:rPr>
                      <w:color w:val="auto"/>
                      <w:kern w:val="0"/>
                    </w:rPr>
                    <w:t>矿物油</w:t>
                  </w:r>
                  <w:r>
                    <w:rPr>
                      <w:rFonts w:hint="eastAsia"/>
                      <w:color w:val="auto"/>
                      <w:kern w:val="0"/>
                    </w:rPr>
                    <w:t>等</w:t>
                  </w:r>
                </w:p>
              </w:tc>
              <w:tc>
                <w:tcPr>
                  <w:tcW w:w="698" w:type="dxa"/>
                  <w:vAlign w:val="center"/>
                </w:tcPr>
                <w:p w14:paraId="1E0065B9">
                  <w:pPr>
                    <w:spacing w:line="0" w:lineRule="atLeast"/>
                    <w:jc w:val="center"/>
                    <w:rPr>
                      <w:color w:val="auto"/>
                      <w:kern w:val="0"/>
                    </w:rPr>
                  </w:pPr>
                  <w:r>
                    <w:rPr>
                      <w:color w:val="auto"/>
                      <w:kern w:val="0"/>
                    </w:rPr>
                    <w:t>矿物油</w:t>
                  </w:r>
                </w:p>
              </w:tc>
              <w:tc>
                <w:tcPr>
                  <w:tcW w:w="698" w:type="dxa"/>
                  <w:vAlign w:val="center"/>
                </w:tcPr>
                <w:p w14:paraId="28CAC191">
                  <w:pPr>
                    <w:spacing w:line="0" w:lineRule="atLeast"/>
                    <w:jc w:val="center"/>
                    <w:rPr>
                      <w:rFonts w:hint="eastAsia"/>
                      <w:color w:val="auto"/>
                      <w:kern w:val="0"/>
                    </w:rPr>
                  </w:pPr>
                  <w:r>
                    <w:rPr>
                      <w:rFonts w:hint="eastAsia"/>
                      <w:color w:val="auto"/>
                      <w:kern w:val="0"/>
                    </w:rPr>
                    <w:t>每月</w:t>
                  </w:r>
                </w:p>
              </w:tc>
              <w:tc>
                <w:tcPr>
                  <w:tcW w:w="698" w:type="dxa"/>
                  <w:vAlign w:val="center"/>
                </w:tcPr>
                <w:p w14:paraId="5F7243F8">
                  <w:pPr>
                    <w:spacing w:line="0" w:lineRule="atLeast"/>
                    <w:jc w:val="center"/>
                    <w:rPr>
                      <w:color w:val="auto"/>
                      <w:kern w:val="0"/>
                    </w:rPr>
                  </w:pPr>
                  <w:r>
                    <w:rPr>
                      <w:color w:val="auto"/>
                      <w:kern w:val="0"/>
                    </w:rPr>
                    <w:t>T/I</w:t>
                  </w:r>
                </w:p>
              </w:tc>
              <w:tc>
                <w:tcPr>
                  <w:tcW w:w="699" w:type="dxa"/>
                  <w:vMerge w:val="continue"/>
                </w:tcPr>
                <w:p w14:paraId="4D565D37">
                  <w:pPr>
                    <w:spacing w:line="0" w:lineRule="atLeast"/>
                    <w:jc w:val="center"/>
                    <w:rPr>
                      <w:color w:val="auto"/>
                      <w:kern w:val="0"/>
                    </w:rPr>
                  </w:pPr>
                </w:p>
              </w:tc>
              <w:tc>
                <w:tcPr>
                  <w:tcW w:w="699" w:type="dxa"/>
                  <w:vMerge w:val="continue"/>
                </w:tcPr>
                <w:p w14:paraId="216B62A7">
                  <w:pPr>
                    <w:spacing w:line="0" w:lineRule="atLeast"/>
                    <w:jc w:val="center"/>
                    <w:rPr>
                      <w:color w:val="auto"/>
                      <w:kern w:val="0"/>
                    </w:rPr>
                  </w:pPr>
                </w:p>
              </w:tc>
            </w:tr>
          </w:tbl>
          <w:p w14:paraId="4C005521">
            <w:pPr>
              <w:spacing w:line="360" w:lineRule="auto"/>
              <w:ind w:firstLine="480" w:firstLineChars="200"/>
              <w:rPr>
                <w:color w:val="auto"/>
                <w:sz w:val="24"/>
                <w:szCs w:val="24"/>
              </w:rPr>
            </w:pPr>
            <w:r>
              <w:rPr>
                <w:color w:val="auto"/>
                <w:sz w:val="24"/>
                <w:szCs w:val="24"/>
              </w:rPr>
              <w:t>4.2固体废物污染防治措施</w:t>
            </w:r>
          </w:p>
          <w:p w14:paraId="425F8DA2">
            <w:pPr>
              <w:spacing w:line="360" w:lineRule="auto"/>
              <w:ind w:firstLine="480" w:firstLineChars="200"/>
              <w:rPr>
                <w:color w:val="auto"/>
                <w:sz w:val="24"/>
                <w:szCs w:val="24"/>
              </w:rPr>
            </w:pPr>
            <w:r>
              <w:rPr>
                <w:color w:val="auto"/>
                <w:sz w:val="24"/>
                <w:szCs w:val="24"/>
              </w:rPr>
              <w:t>4.2.1危险废物污染防治措施</w:t>
            </w:r>
          </w:p>
          <w:p w14:paraId="0A4BD6D7">
            <w:pPr>
              <w:spacing w:line="360" w:lineRule="auto"/>
              <w:ind w:firstLine="480" w:firstLineChars="200"/>
              <w:rPr>
                <w:color w:val="auto"/>
                <w:sz w:val="24"/>
                <w:szCs w:val="24"/>
              </w:rPr>
            </w:pPr>
            <w:r>
              <w:rPr>
                <w:color w:val="auto"/>
                <w:sz w:val="24"/>
                <w:szCs w:val="24"/>
              </w:rPr>
              <w:t>本项目运行过程中产生的危险废物均委托有资质单位处置。危险废物贮存、运输及委外处置等环节均按相关文件要求采取了相应的污染防治措施，具体如下。</w:t>
            </w:r>
          </w:p>
          <w:p w14:paraId="56A72D40">
            <w:pPr>
              <w:spacing w:line="360" w:lineRule="auto"/>
              <w:ind w:firstLine="480" w:firstLineChars="200"/>
              <w:rPr>
                <w:color w:val="auto"/>
                <w:sz w:val="24"/>
                <w:szCs w:val="24"/>
              </w:rPr>
            </w:pPr>
            <w:r>
              <w:rPr>
                <w:color w:val="auto"/>
                <w:sz w:val="24"/>
                <w:szCs w:val="24"/>
              </w:rPr>
              <w:t>（1）收集过程污染防治措施</w:t>
            </w:r>
          </w:p>
          <w:p w14:paraId="5B7EF8EF">
            <w:pPr>
              <w:spacing w:line="360" w:lineRule="auto"/>
              <w:ind w:firstLine="480" w:firstLineChars="200"/>
              <w:rPr>
                <w:color w:val="auto"/>
                <w:sz w:val="24"/>
                <w:szCs w:val="24"/>
              </w:rPr>
            </w:pPr>
            <w:r>
              <w:rPr>
                <w:color w:val="auto"/>
                <w:sz w:val="24"/>
                <w:szCs w:val="24"/>
              </w:rPr>
              <w:t>本项目各环节产生的危险废物经收集装入密封桶、密封后，利用推车送至危废房。选择的包装容器材质满足强度要求，避免使用破损或强度不高的包装容器，禁止将不相容(相互反应)的危险废物在同一容器内混装。按照</w:t>
            </w:r>
            <w:r>
              <w:rPr>
                <w:rFonts w:hint="eastAsia"/>
                <w:color w:val="auto"/>
                <w:sz w:val="24"/>
                <w:szCs w:val="24"/>
              </w:rPr>
              <w:t>《生态环境部办公厅关于进一步加强危险废物规范化环境管理有关工作的通知》(环办固体〔2023〕17号)</w:t>
            </w:r>
            <w:r>
              <w:rPr>
                <w:color w:val="auto"/>
                <w:sz w:val="24"/>
                <w:szCs w:val="24"/>
              </w:rPr>
              <w:t>要求，包装容器上应贴上标签，包括危险废物名称、产生环节、产生量、危废编码等信息方便入库统计。</w:t>
            </w:r>
          </w:p>
          <w:p w14:paraId="7E2732A8">
            <w:pPr>
              <w:spacing w:line="360" w:lineRule="auto"/>
              <w:ind w:firstLine="480" w:firstLineChars="200"/>
              <w:rPr>
                <w:color w:val="auto"/>
                <w:sz w:val="24"/>
                <w:szCs w:val="24"/>
              </w:rPr>
            </w:pPr>
            <w:r>
              <w:rPr>
                <w:rFonts w:hint="eastAsia"/>
                <w:color w:val="auto"/>
                <w:sz w:val="24"/>
                <w:szCs w:val="24"/>
              </w:rPr>
              <w:t>（2）贮存场所污染防治措施</w:t>
            </w:r>
          </w:p>
          <w:p w14:paraId="79AE7352">
            <w:pPr>
              <w:spacing w:line="360" w:lineRule="auto"/>
              <w:ind w:firstLine="480" w:firstLineChars="200"/>
              <w:rPr>
                <w:color w:val="auto"/>
                <w:sz w:val="24"/>
                <w:szCs w:val="24"/>
              </w:rPr>
            </w:pPr>
            <w:r>
              <w:rPr>
                <w:rFonts w:hint="eastAsia"/>
                <w:color w:val="auto"/>
                <w:sz w:val="24"/>
                <w:szCs w:val="24"/>
              </w:rPr>
              <w:t>1、贮存容量可行性</w:t>
            </w:r>
          </w:p>
          <w:p w14:paraId="5E79A1A3">
            <w:pPr>
              <w:spacing w:line="360" w:lineRule="auto"/>
              <w:ind w:firstLine="480" w:firstLineChars="200"/>
              <w:rPr>
                <w:color w:val="auto"/>
                <w:sz w:val="24"/>
                <w:szCs w:val="24"/>
              </w:rPr>
            </w:pPr>
            <w:r>
              <w:rPr>
                <w:rFonts w:hint="eastAsia"/>
                <w:color w:val="auto"/>
                <w:sz w:val="24"/>
                <w:szCs w:val="24"/>
              </w:rPr>
              <w:t>危废暂存设施面积，及贮存情况</w:t>
            </w:r>
          </w:p>
          <w:p w14:paraId="72CA9FE4">
            <w:pPr>
              <w:jc w:val="center"/>
              <w:rPr>
                <w:b/>
                <w:bCs/>
                <w:color w:val="auto"/>
                <w:sz w:val="24"/>
                <w:szCs w:val="24"/>
              </w:rPr>
            </w:pPr>
            <w:r>
              <w:rPr>
                <w:b/>
                <w:bCs/>
                <w:color w:val="auto"/>
                <w:sz w:val="24"/>
                <w:szCs w:val="24"/>
              </w:rPr>
              <w:t>表4-2</w:t>
            </w:r>
            <w:r>
              <w:rPr>
                <w:rFonts w:hint="eastAsia"/>
                <w:b/>
                <w:bCs/>
                <w:color w:val="auto"/>
                <w:sz w:val="24"/>
                <w:szCs w:val="24"/>
              </w:rPr>
              <w:t xml:space="preserve">7  </w:t>
            </w:r>
            <w:r>
              <w:rPr>
                <w:b/>
                <w:bCs/>
                <w:color w:val="auto"/>
                <w:sz w:val="24"/>
                <w:szCs w:val="24"/>
              </w:rPr>
              <w:t>危险废物贮存场所的容量情况分析表</w:t>
            </w:r>
          </w:p>
          <w:tbl>
            <w:tblPr>
              <w:tblStyle w:val="23"/>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309"/>
              <w:gridCol w:w="1227"/>
              <w:gridCol w:w="1193"/>
              <w:gridCol w:w="1141"/>
              <w:gridCol w:w="1141"/>
              <w:gridCol w:w="1141"/>
              <w:gridCol w:w="1141"/>
            </w:tblGrid>
            <w:tr w14:paraId="69B7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14:paraId="2CED8E60">
                  <w:pPr>
                    <w:jc w:val="center"/>
                    <w:rPr>
                      <w:b/>
                      <w:bCs/>
                      <w:color w:val="auto"/>
                    </w:rPr>
                  </w:pPr>
                  <w:r>
                    <w:rPr>
                      <w:b/>
                      <w:bCs/>
                      <w:color w:val="auto"/>
                    </w:rPr>
                    <w:t>序号</w:t>
                  </w:r>
                </w:p>
              </w:tc>
              <w:tc>
                <w:tcPr>
                  <w:tcW w:w="1309" w:type="dxa"/>
                  <w:vAlign w:val="center"/>
                </w:tcPr>
                <w:p w14:paraId="69941809">
                  <w:pPr>
                    <w:jc w:val="center"/>
                    <w:rPr>
                      <w:b/>
                      <w:bCs/>
                      <w:color w:val="auto"/>
                    </w:rPr>
                  </w:pPr>
                  <w:r>
                    <w:rPr>
                      <w:b/>
                      <w:bCs/>
                      <w:color w:val="auto"/>
                    </w:rPr>
                    <w:t>危险废物名称</w:t>
                  </w:r>
                </w:p>
              </w:tc>
              <w:tc>
                <w:tcPr>
                  <w:tcW w:w="1227" w:type="dxa"/>
                  <w:vAlign w:val="center"/>
                </w:tcPr>
                <w:p w14:paraId="3E0A3B6D">
                  <w:pPr>
                    <w:jc w:val="center"/>
                    <w:rPr>
                      <w:b/>
                      <w:bCs/>
                      <w:color w:val="auto"/>
                    </w:rPr>
                  </w:pPr>
                  <w:r>
                    <w:rPr>
                      <w:b/>
                      <w:bCs/>
                      <w:color w:val="auto"/>
                    </w:rPr>
                    <w:t>产生量（t/a）</w:t>
                  </w:r>
                </w:p>
              </w:tc>
              <w:tc>
                <w:tcPr>
                  <w:tcW w:w="1193" w:type="dxa"/>
                  <w:vAlign w:val="center"/>
                </w:tcPr>
                <w:p w14:paraId="0BFCACAC">
                  <w:pPr>
                    <w:jc w:val="center"/>
                    <w:rPr>
                      <w:b/>
                      <w:bCs/>
                      <w:color w:val="auto"/>
                    </w:rPr>
                  </w:pPr>
                  <w:r>
                    <w:rPr>
                      <w:b/>
                      <w:bCs/>
                      <w:color w:val="auto"/>
                    </w:rPr>
                    <w:t>产废周期</w:t>
                  </w:r>
                </w:p>
              </w:tc>
              <w:tc>
                <w:tcPr>
                  <w:tcW w:w="1141" w:type="dxa"/>
                  <w:vAlign w:val="center"/>
                </w:tcPr>
                <w:p w14:paraId="67B36022">
                  <w:pPr>
                    <w:jc w:val="center"/>
                    <w:rPr>
                      <w:b/>
                      <w:bCs/>
                      <w:color w:val="auto"/>
                    </w:rPr>
                  </w:pPr>
                  <w:r>
                    <w:rPr>
                      <w:b/>
                      <w:bCs/>
                      <w:color w:val="auto"/>
                    </w:rPr>
                    <w:t>贮存周期</w:t>
                  </w:r>
                </w:p>
              </w:tc>
              <w:tc>
                <w:tcPr>
                  <w:tcW w:w="1141" w:type="dxa"/>
                  <w:vAlign w:val="center"/>
                </w:tcPr>
                <w:p w14:paraId="2B4B67A7">
                  <w:pPr>
                    <w:jc w:val="center"/>
                    <w:rPr>
                      <w:b/>
                      <w:bCs/>
                      <w:color w:val="auto"/>
                    </w:rPr>
                  </w:pPr>
                  <w:r>
                    <w:rPr>
                      <w:b/>
                      <w:bCs/>
                      <w:color w:val="auto"/>
                    </w:rPr>
                    <w:t>危废所需贮存面积（m</w:t>
                  </w:r>
                  <w:r>
                    <w:rPr>
                      <w:b/>
                      <w:bCs/>
                      <w:color w:val="auto"/>
                      <w:vertAlign w:val="superscript"/>
                    </w:rPr>
                    <w:t>2</w:t>
                  </w:r>
                  <w:r>
                    <w:rPr>
                      <w:b/>
                      <w:bCs/>
                      <w:color w:val="auto"/>
                    </w:rPr>
                    <w:t>）</w:t>
                  </w:r>
                </w:p>
              </w:tc>
              <w:tc>
                <w:tcPr>
                  <w:tcW w:w="1141" w:type="dxa"/>
                  <w:vAlign w:val="center"/>
                </w:tcPr>
                <w:p w14:paraId="5BB3BA49">
                  <w:pPr>
                    <w:jc w:val="center"/>
                    <w:rPr>
                      <w:b/>
                      <w:bCs/>
                      <w:color w:val="auto"/>
                    </w:rPr>
                  </w:pPr>
                  <w:r>
                    <w:rPr>
                      <w:b/>
                      <w:bCs/>
                      <w:color w:val="auto"/>
                    </w:rPr>
                    <w:t>危废仓库占地面积（m</w:t>
                  </w:r>
                  <w:r>
                    <w:rPr>
                      <w:b/>
                      <w:bCs/>
                      <w:color w:val="auto"/>
                      <w:vertAlign w:val="superscript"/>
                    </w:rPr>
                    <w:t>2</w:t>
                  </w:r>
                  <w:r>
                    <w:rPr>
                      <w:b/>
                      <w:bCs/>
                      <w:color w:val="auto"/>
                    </w:rPr>
                    <w:t>）</w:t>
                  </w:r>
                </w:p>
              </w:tc>
              <w:tc>
                <w:tcPr>
                  <w:tcW w:w="1141" w:type="dxa"/>
                  <w:vAlign w:val="center"/>
                </w:tcPr>
                <w:p w14:paraId="14B09A54">
                  <w:pPr>
                    <w:jc w:val="center"/>
                    <w:rPr>
                      <w:b/>
                      <w:bCs/>
                      <w:color w:val="auto"/>
                    </w:rPr>
                  </w:pPr>
                  <w:r>
                    <w:rPr>
                      <w:b/>
                      <w:bCs/>
                      <w:color w:val="auto"/>
                    </w:rPr>
                    <w:t>是否满足要求</w:t>
                  </w:r>
                </w:p>
              </w:tc>
            </w:tr>
            <w:tr w14:paraId="1A97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14:paraId="0538F01F">
                  <w:pPr>
                    <w:jc w:val="center"/>
                    <w:rPr>
                      <w:color w:val="auto"/>
                    </w:rPr>
                  </w:pPr>
                  <w:r>
                    <w:rPr>
                      <w:color w:val="auto"/>
                    </w:rPr>
                    <w:t>1</w:t>
                  </w:r>
                </w:p>
              </w:tc>
              <w:tc>
                <w:tcPr>
                  <w:tcW w:w="1309" w:type="dxa"/>
                  <w:vAlign w:val="center"/>
                </w:tcPr>
                <w:p w14:paraId="6566CDB9">
                  <w:pPr>
                    <w:jc w:val="center"/>
                    <w:rPr>
                      <w:color w:val="auto"/>
                    </w:rPr>
                  </w:pPr>
                  <w:r>
                    <w:rPr>
                      <w:color w:val="auto"/>
                    </w:rPr>
                    <w:t>废</w:t>
                  </w:r>
                  <w:r>
                    <w:rPr>
                      <w:rFonts w:hint="eastAsia"/>
                      <w:color w:val="auto"/>
                    </w:rPr>
                    <w:t>油泥</w:t>
                  </w:r>
                </w:p>
              </w:tc>
              <w:tc>
                <w:tcPr>
                  <w:tcW w:w="1227" w:type="dxa"/>
                  <w:vAlign w:val="center"/>
                </w:tcPr>
                <w:p w14:paraId="7DA6CF77">
                  <w:pPr>
                    <w:jc w:val="center"/>
                    <w:rPr>
                      <w:color w:val="auto"/>
                    </w:rPr>
                  </w:pPr>
                  <w:r>
                    <w:rPr>
                      <w:rFonts w:hint="eastAsia"/>
                      <w:color w:val="auto"/>
                    </w:rPr>
                    <w:t>3</w:t>
                  </w:r>
                </w:p>
              </w:tc>
              <w:tc>
                <w:tcPr>
                  <w:tcW w:w="1193" w:type="dxa"/>
                  <w:vAlign w:val="center"/>
                </w:tcPr>
                <w:p w14:paraId="50734593">
                  <w:pPr>
                    <w:spacing w:line="0" w:lineRule="atLeast"/>
                    <w:jc w:val="center"/>
                    <w:rPr>
                      <w:color w:val="auto"/>
                    </w:rPr>
                  </w:pPr>
                  <w:r>
                    <w:rPr>
                      <w:rFonts w:hint="eastAsia"/>
                      <w:color w:val="auto"/>
                      <w:kern w:val="0"/>
                    </w:rPr>
                    <w:t>每月</w:t>
                  </w:r>
                </w:p>
              </w:tc>
              <w:tc>
                <w:tcPr>
                  <w:tcW w:w="1141" w:type="dxa"/>
                  <w:vAlign w:val="center"/>
                </w:tcPr>
                <w:p w14:paraId="053C1F36">
                  <w:pPr>
                    <w:jc w:val="center"/>
                    <w:rPr>
                      <w:color w:val="auto"/>
                    </w:rPr>
                  </w:pPr>
                  <w:r>
                    <w:rPr>
                      <w:rFonts w:hint="eastAsia"/>
                      <w:color w:val="auto"/>
                    </w:rPr>
                    <w:t>1个月</w:t>
                  </w:r>
                </w:p>
              </w:tc>
              <w:tc>
                <w:tcPr>
                  <w:tcW w:w="1141" w:type="dxa"/>
                  <w:vAlign w:val="center"/>
                </w:tcPr>
                <w:p w14:paraId="124EE6A0">
                  <w:pPr>
                    <w:jc w:val="center"/>
                    <w:rPr>
                      <w:color w:val="auto"/>
                    </w:rPr>
                  </w:pPr>
                  <w:r>
                    <w:rPr>
                      <w:rFonts w:hint="eastAsia"/>
                      <w:color w:val="auto"/>
                    </w:rPr>
                    <w:t>1</w:t>
                  </w:r>
                </w:p>
              </w:tc>
              <w:tc>
                <w:tcPr>
                  <w:tcW w:w="1141" w:type="dxa"/>
                  <w:vMerge w:val="restart"/>
                  <w:vAlign w:val="center"/>
                </w:tcPr>
                <w:p w14:paraId="398D9AA5">
                  <w:pPr>
                    <w:jc w:val="center"/>
                    <w:rPr>
                      <w:color w:val="auto"/>
                    </w:rPr>
                  </w:pPr>
                  <w:r>
                    <w:rPr>
                      <w:rFonts w:hint="eastAsia"/>
                      <w:color w:val="auto"/>
                    </w:rPr>
                    <w:t>10</w:t>
                  </w:r>
                </w:p>
              </w:tc>
              <w:tc>
                <w:tcPr>
                  <w:tcW w:w="1141" w:type="dxa"/>
                  <w:vAlign w:val="center"/>
                </w:tcPr>
                <w:p w14:paraId="29728C74">
                  <w:pPr>
                    <w:jc w:val="center"/>
                    <w:rPr>
                      <w:color w:val="auto"/>
                    </w:rPr>
                  </w:pPr>
                  <w:r>
                    <w:rPr>
                      <w:color w:val="auto"/>
                    </w:rPr>
                    <w:t>满足</w:t>
                  </w:r>
                </w:p>
              </w:tc>
            </w:tr>
            <w:tr w14:paraId="4858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14:paraId="0E7254AF">
                  <w:pPr>
                    <w:jc w:val="center"/>
                    <w:rPr>
                      <w:color w:val="auto"/>
                    </w:rPr>
                  </w:pPr>
                  <w:r>
                    <w:rPr>
                      <w:color w:val="auto"/>
                    </w:rPr>
                    <w:t>2</w:t>
                  </w:r>
                </w:p>
              </w:tc>
              <w:tc>
                <w:tcPr>
                  <w:tcW w:w="1309" w:type="dxa"/>
                  <w:vAlign w:val="center"/>
                </w:tcPr>
                <w:p w14:paraId="155274D9">
                  <w:pPr>
                    <w:jc w:val="center"/>
                    <w:rPr>
                      <w:color w:val="auto"/>
                    </w:rPr>
                  </w:pPr>
                  <w:r>
                    <w:rPr>
                      <w:color w:val="auto"/>
                    </w:rPr>
                    <w:t>清洗废液</w:t>
                  </w:r>
                </w:p>
              </w:tc>
              <w:tc>
                <w:tcPr>
                  <w:tcW w:w="1227" w:type="dxa"/>
                  <w:vAlign w:val="center"/>
                </w:tcPr>
                <w:p w14:paraId="444867C3">
                  <w:pPr>
                    <w:spacing w:line="0" w:lineRule="atLeast"/>
                    <w:jc w:val="center"/>
                    <w:rPr>
                      <w:color w:val="auto"/>
                    </w:rPr>
                  </w:pPr>
                  <w:r>
                    <w:rPr>
                      <w:rFonts w:hint="eastAsia"/>
                      <w:color w:val="auto"/>
                      <w:kern w:val="0"/>
                    </w:rPr>
                    <w:t>0.5</w:t>
                  </w:r>
                </w:p>
              </w:tc>
              <w:tc>
                <w:tcPr>
                  <w:tcW w:w="1193" w:type="dxa"/>
                  <w:vAlign w:val="center"/>
                </w:tcPr>
                <w:p w14:paraId="63BD6B9B">
                  <w:pPr>
                    <w:spacing w:line="0" w:lineRule="atLeast"/>
                    <w:jc w:val="center"/>
                    <w:rPr>
                      <w:color w:val="auto"/>
                    </w:rPr>
                  </w:pPr>
                  <w:r>
                    <w:rPr>
                      <w:rFonts w:hint="eastAsia"/>
                      <w:color w:val="auto"/>
                      <w:kern w:val="0"/>
                    </w:rPr>
                    <w:t>每季度</w:t>
                  </w:r>
                </w:p>
              </w:tc>
              <w:tc>
                <w:tcPr>
                  <w:tcW w:w="1141" w:type="dxa"/>
                  <w:vAlign w:val="center"/>
                </w:tcPr>
                <w:p w14:paraId="06E9B7C6">
                  <w:pPr>
                    <w:jc w:val="center"/>
                    <w:rPr>
                      <w:color w:val="auto"/>
                    </w:rPr>
                  </w:pPr>
                  <w:r>
                    <w:rPr>
                      <w:color w:val="auto"/>
                    </w:rPr>
                    <w:t>3个月</w:t>
                  </w:r>
                </w:p>
              </w:tc>
              <w:tc>
                <w:tcPr>
                  <w:tcW w:w="1141" w:type="dxa"/>
                  <w:vAlign w:val="center"/>
                </w:tcPr>
                <w:p w14:paraId="00BEF04E">
                  <w:pPr>
                    <w:jc w:val="center"/>
                    <w:rPr>
                      <w:color w:val="auto"/>
                    </w:rPr>
                  </w:pPr>
                  <w:r>
                    <w:rPr>
                      <w:rFonts w:hint="eastAsia"/>
                      <w:color w:val="auto"/>
                    </w:rPr>
                    <w:t>1</w:t>
                  </w:r>
                </w:p>
              </w:tc>
              <w:tc>
                <w:tcPr>
                  <w:tcW w:w="1141" w:type="dxa"/>
                  <w:vMerge w:val="continue"/>
                  <w:vAlign w:val="center"/>
                </w:tcPr>
                <w:p w14:paraId="2124A275">
                  <w:pPr>
                    <w:jc w:val="center"/>
                    <w:rPr>
                      <w:color w:val="auto"/>
                    </w:rPr>
                  </w:pPr>
                </w:p>
              </w:tc>
              <w:tc>
                <w:tcPr>
                  <w:tcW w:w="1141" w:type="dxa"/>
                  <w:vAlign w:val="center"/>
                </w:tcPr>
                <w:p w14:paraId="5DB9106A">
                  <w:pPr>
                    <w:jc w:val="center"/>
                    <w:rPr>
                      <w:color w:val="auto"/>
                    </w:rPr>
                  </w:pPr>
                  <w:r>
                    <w:rPr>
                      <w:color w:val="auto"/>
                    </w:rPr>
                    <w:t>满足</w:t>
                  </w:r>
                </w:p>
              </w:tc>
            </w:tr>
            <w:tr w14:paraId="36A9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14:paraId="2F9D2FE9">
                  <w:pPr>
                    <w:jc w:val="center"/>
                    <w:rPr>
                      <w:color w:val="auto"/>
                    </w:rPr>
                  </w:pPr>
                  <w:r>
                    <w:rPr>
                      <w:color w:val="auto"/>
                    </w:rPr>
                    <w:t>3</w:t>
                  </w:r>
                </w:p>
              </w:tc>
              <w:tc>
                <w:tcPr>
                  <w:tcW w:w="1309" w:type="dxa"/>
                  <w:vAlign w:val="center"/>
                </w:tcPr>
                <w:p w14:paraId="19DC7E15">
                  <w:pPr>
                    <w:jc w:val="center"/>
                    <w:rPr>
                      <w:color w:val="auto"/>
                    </w:rPr>
                  </w:pPr>
                  <w:r>
                    <w:rPr>
                      <w:color w:val="auto"/>
                    </w:rPr>
                    <w:t>废包装桶</w:t>
                  </w:r>
                </w:p>
              </w:tc>
              <w:tc>
                <w:tcPr>
                  <w:tcW w:w="1227" w:type="dxa"/>
                  <w:vAlign w:val="center"/>
                </w:tcPr>
                <w:p w14:paraId="417D3AE3">
                  <w:pPr>
                    <w:spacing w:line="0" w:lineRule="atLeast"/>
                    <w:jc w:val="center"/>
                    <w:rPr>
                      <w:rFonts w:hint="default" w:eastAsia="宋体"/>
                      <w:color w:val="auto"/>
                      <w:lang w:val="en-US" w:eastAsia="zh-CN"/>
                    </w:rPr>
                  </w:pPr>
                  <w:r>
                    <w:rPr>
                      <w:rFonts w:hint="eastAsia"/>
                      <w:color w:val="auto"/>
                      <w:kern w:val="0"/>
                      <w:lang w:val="en-US" w:eastAsia="zh-CN"/>
                    </w:rPr>
                    <w:t>1.89</w:t>
                  </w:r>
                </w:p>
              </w:tc>
              <w:tc>
                <w:tcPr>
                  <w:tcW w:w="1193" w:type="dxa"/>
                  <w:vAlign w:val="center"/>
                </w:tcPr>
                <w:p w14:paraId="39232A4E">
                  <w:pPr>
                    <w:spacing w:line="0" w:lineRule="atLeast"/>
                    <w:jc w:val="center"/>
                    <w:rPr>
                      <w:color w:val="auto"/>
                    </w:rPr>
                  </w:pPr>
                  <w:r>
                    <w:rPr>
                      <w:rFonts w:hint="eastAsia"/>
                      <w:color w:val="auto"/>
                      <w:kern w:val="0"/>
                    </w:rPr>
                    <w:t>每月</w:t>
                  </w:r>
                </w:p>
              </w:tc>
              <w:tc>
                <w:tcPr>
                  <w:tcW w:w="1141" w:type="dxa"/>
                  <w:vAlign w:val="center"/>
                </w:tcPr>
                <w:p w14:paraId="126620E8">
                  <w:pPr>
                    <w:jc w:val="center"/>
                    <w:rPr>
                      <w:color w:val="auto"/>
                    </w:rPr>
                  </w:pPr>
                  <w:r>
                    <w:rPr>
                      <w:color w:val="auto"/>
                    </w:rPr>
                    <w:t>3个月</w:t>
                  </w:r>
                </w:p>
              </w:tc>
              <w:tc>
                <w:tcPr>
                  <w:tcW w:w="1141" w:type="dxa"/>
                  <w:vAlign w:val="center"/>
                </w:tcPr>
                <w:p w14:paraId="733CBA59">
                  <w:pPr>
                    <w:jc w:val="center"/>
                    <w:rPr>
                      <w:rFonts w:hint="eastAsia" w:eastAsia="宋体"/>
                      <w:color w:val="auto"/>
                      <w:lang w:eastAsia="zh-CN"/>
                    </w:rPr>
                  </w:pPr>
                  <w:r>
                    <w:rPr>
                      <w:rFonts w:hint="eastAsia"/>
                      <w:color w:val="auto"/>
                      <w:lang w:val="en-US" w:eastAsia="zh-CN"/>
                    </w:rPr>
                    <w:t>2</w:t>
                  </w:r>
                </w:p>
              </w:tc>
              <w:tc>
                <w:tcPr>
                  <w:tcW w:w="1141" w:type="dxa"/>
                  <w:vMerge w:val="continue"/>
                  <w:vAlign w:val="center"/>
                </w:tcPr>
                <w:p w14:paraId="6B2954FD">
                  <w:pPr>
                    <w:jc w:val="center"/>
                    <w:rPr>
                      <w:color w:val="auto"/>
                    </w:rPr>
                  </w:pPr>
                </w:p>
              </w:tc>
              <w:tc>
                <w:tcPr>
                  <w:tcW w:w="1141" w:type="dxa"/>
                  <w:vAlign w:val="center"/>
                </w:tcPr>
                <w:p w14:paraId="724FD998">
                  <w:pPr>
                    <w:jc w:val="center"/>
                    <w:rPr>
                      <w:color w:val="auto"/>
                    </w:rPr>
                  </w:pPr>
                  <w:r>
                    <w:rPr>
                      <w:color w:val="auto"/>
                    </w:rPr>
                    <w:t>满足</w:t>
                  </w:r>
                </w:p>
              </w:tc>
            </w:tr>
            <w:tr w14:paraId="6524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14:paraId="0FC459D9">
                  <w:pPr>
                    <w:jc w:val="center"/>
                    <w:rPr>
                      <w:color w:val="auto"/>
                    </w:rPr>
                  </w:pPr>
                  <w:r>
                    <w:rPr>
                      <w:color w:val="auto"/>
                    </w:rPr>
                    <w:t>4</w:t>
                  </w:r>
                </w:p>
              </w:tc>
              <w:tc>
                <w:tcPr>
                  <w:tcW w:w="1309" w:type="dxa"/>
                  <w:vAlign w:val="center"/>
                </w:tcPr>
                <w:p w14:paraId="73D846C5">
                  <w:pPr>
                    <w:jc w:val="center"/>
                    <w:rPr>
                      <w:color w:val="auto"/>
                    </w:rPr>
                  </w:pPr>
                  <w:r>
                    <w:rPr>
                      <w:color w:val="auto"/>
                    </w:rPr>
                    <w:t>废活性炭</w:t>
                  </w:r>
                </w:p>
              </w:tc>
              <w:tc>
                <w:tcPr>
                  <w:tcW w:w="1227" w:type="dxa"/>
                  <w:vAlign w:val="center"/>
                </w:tcPr>
                <w:p w14:paraId="0DBD4A26">
                  <w:pPr>
                    <w:spacing w:line="0" w:lineRule="atLeast"/>
                    <w:jc w:val="center"/>
                    <w:rPr>
                      <w:color w:val="auto"/>
                    </w:rPr>
                  </w:pPr>
                  <w:r>
                    <w:rPr>
                      <w:rFonts w:hint="eastAsia"/>
                      <w:color w:val="auto"/>
                      <w:kern w:val="0"/>
                    </w:rPr>
                    <w:t>11.34</w:t>
                  </w:r>
                </w:p>
              </w:tc>
              <w:tc>
                <w:tcPr>
                  <w:tcW w:w="1193" w:type="dxa"/>
                  <w:vAlign w:val="center"/>
                </w:tcPr>
                <w:p w14:paraId="00A2A289">
                  <w:pPr>
                    <w:spacing w:line="0" w:lineRule="atLeast"/>
                    <w:jc w:val="center"/>
                    <w:rPr>
                      <w:color w:val="auto"/>
                    </w:rPr>
                  </w:pPr>
                  <w:r>
                    <w:rPr>
                      <w:rFonts w:hint="eastAsia"/>
                      <w:color w:val="auto"/>
                      <w:kern w:val="0"/>
                    </w:rPr>
                    <w:t>每</w:t>
                  </w:r>
                  <w:r>
                    <w:rPr>
                      <w:rFonts w:hint="eastAsia"/>
                      <w:color w:val="auto"/>
                      <w:kern w:val="0"/>
                      <w:lang w:val="en-US" w:eastAsia="zh-CN"/>
                    </w:rPr>
                    <w:t>2</w:t>
                  </w:r>
                  <w:r>
                    <w:rPr>
                      <w:rFonts w:hint="eastAsia"/>
                      <w:color w:val="auto"/>
                      <w:kern w:val="0"/>
                    </w:rPr>
                    <w:t>月</w:t>
                  </w:r>
                </w:p>
              </w:tc>
              <w:tc>
                <w:tcPr>
                  <w:tcW w:w="1141" w:type="dxa"/>
                  <w:vAlign w:val="center"/>
                </w:tcPr>
                <w:p w14:paraId="36B9F48A">
                  <w:pPr>
                    <w:jc w:val="center"/>
                    <w:rPr>
                      <w:color w:val="auto"/>
                    </w:rPr>
                  </w:pPr>
                  <w:r>
                    <w:rPr>
                      <w:rFonts w:hint="eastAsia"/>
                      <w:color w:val="auto"/>
                      <w:lang w:val="en-US" w:eastAsia="zh-CN"/>
                    </w:rPr>
                    <w:t>2</w:t>
                  </w:r>
                  <w:r>
                    <w:rPr>
                      <w:color w:val="auto"/>
                    </w:rPr>
                    <w:t>个月</w:t>
                  </w:r>
                </w:p>
              </w:tc>
              <w:tc>
                <w:tcPr>
                  <w:tcW w:w="1141" w:type="dxa"/>
                  <w:vAlign w:val="center"/>
                </w:tcPr>
                <w:p w14:paraId="1F21A2D7">
                  <w:pPr>
                    <w:jc w:val="center"/>
                    <w:rPr>
                      <w:rFonts w:hint="eastAsia" w:eastAsia="宋体"/>
                      <w:color w:val="auto"/>
                      <w:lang w:eastAsia="zh-CN"/>
                    </w:rPr>
                  </w:pPr>
                  <w:r>
                    <w:rPr>
                      <w:rFonts w:hint="eastAsia"/>
                      <w:color w:val="auto"/>
                      <w:lang w:val="en-US" w:eastAsia="zh-CN"/>
                    </w:rPr>
                    <w:t>2</w:t>
                  </w:r>
                </w:p>
              </w:tc>
              <w:tc>
                <w:tcPr>
                  <w:tcW w:w="1141" w:type="dxa"/>
                  <w:vMerge w:val="continue"/>
                  <w:vAlign w:val="center"/>
                </w:tcPr>
                <w:p w14:paraId="32262824">
                  <w:pPr>
                    <w:jc w:val="center"/>
                    <w:rPr>
                      <w:color w:val="auto"/>
                    </w:rPr>
                  </w:pPr>
                </w:p>
              </w:tc>
              <w:tc>
                <w:tcPr>
                  <w:tcW w:w="1141" w:type="dxa"/>
                  <w:vAlign w:val="center"/>
                </w:tcPr>
                <w:p w14:paraId="518D6E44">
                  <w:pPr>
                    <w:jc w:val="center"/>
                    <w:rPr>
                      <w:color w:val="auto"/>
                    </w:rPr>
                  </w:pPr>
                  <w:r>
                    <w:rPr>
                      <w:color w:val="auto"/>
                    </w:rPr>
                    <w:t>满足</w:t>
                  </w:r>
                </w:p>
              </w:tc>
            </w:tr>
            <w:tr w14:paraId="23D3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dxa"/>
                  <w:vAlign w:val="center"/>
                </w:tcPr>
                <w:p w14:paraId="65F49A99">
                  <w:pPr>
                    <w:jc w:val="center"/>
                    <w:rPr>
                      <w:color w:val="auto"/>
                    </w:rPr>
                  </w:pPr>
                  <w:r>
                    <w:rPr>
                      <w:rFonts w:hint="eastAsia"/>
                      <w:color w:val="auto"/>
                    </w:rPr>
                    <w:t>5</w:t>
                  </w:r>
                </w:p>
              </w:tc>
              <w:tc>
                <w:tcPr>
                  <w:tcW w:w="1309" w:type="dxa"/>
                  <w:vAlign w:val="center"/>
                </w:tcPr>
                <w:p w14:paraId="67BE0715">
                  <w:pPr>
                    <w:jc w:val="center"/>
                    <w:rPr>
                      <w:rFonts w:hint="eastAsia" w:eastAsia="宋体"/>
                      <w:color w:val="auto"/>
                      <w:lang w:eastAsia="zh-CN"/>
                    </w:rPr>
                  </w:pPr>
                  <w:r>
                    <w:rPr>
                      <w:rFonts w:hint="eastAsia"/>
                      <w:color w:val="auto"/>
                      <w:lang w:eastAsia="zh-CN"/>
                    </w:rPr>
                    <w:t>磨削灰</w:t>
                  </w:r>
                </w:p>
              </w:tc>
              <w:tc>
                <w:tcPr>
                  <w:tcW w:w="1227" w:type="dxa"/>
                  <w:vAlign w:val="center"/>
                </w:tcPr>
                <w:p w14:paraId="19588F22">
                  <w:pPr>
                    <w:spacing w:line="0" w:lineRule="atLeast"/>
                    <w:jc w:val="center"/>
                    <w:rPr>
                      <w:color w:val="auto"/>
                      <w:kern w:val="0"/>
                    </w:rPr>
                  </w:pPr>
                  <w:r>
                    <w:rPr>
                      <w:rFonts w:hint="eastAsia"/>
                      <w:color w:val="auto"/>
                      <w:kern w:val="0"/>
                    </w:rPr>
                    <w:t>2</w:t>
                  </w:r>
                </w:p>
              </w:tc>
              <w:tc>
                <w:tcPr>
                  <w:tcW w:w="1193" w:type="dxa"/>
                  <w:vAlign w:val="center"/>
                </w:tcPr>
                <w:p w14:paraId="124099DD">
                  <w:pPr>
                    <w:spacing w:line="0" w:lineRule="atLeast"/>
                    <w:jc w:val="center"/>
                    <w:rPr>
                      <w:color w:val="auto"/>
                      <w:kern w:val="0"/>
                    </w:rPr>
                  </w:pPr>
                  <w:r>
                    <w:rPr>
                      <w:rFonts w:hint="eastAsia"/>
                      <w:color w:val="auto"/>
                      <w:kern w:val="0"/>
                    </w:rPr>
                    <w:t>每月</w:t>
                  </w:r>
                </w:p>
              </w:tc>
              <w:tc>
                <w:tcPr>
                  <w:tcW w:w="1141" w:type="dxa"/>
                  <w:vAlign w:val="center"/>
                </w:tcPr>
                <w:p w14:paraId="502032B7">
                  <w:pPr>
                    <w:jc w:val="center"/>
                    <w:rPr>
                      <w:color w:val="auto"/>
                    </w:rPr>
                  </w:pPr>
                  <w:r>
                    <w:rPr>
                      <w:rFonts w:hint="eastAsia"/>
                      <w:color w:val="auto"/>
                    </w:rPr>
                    <w:t>1个月</w:t>
                  </w:r>
                </w:p>
              </w:tc>
              <w:tc>
                <w:tcPr>
                  <w:tcW w:w="1141" w:type="dxa"/>
                  <w:vAlign w:val="center"/>
                </w:tcPr>
                <w:p w14:paraId="79BFEFFA">
                  <w:pPr>
                    <w:jc w:val="center"/>
                    <w:rPr>
                      <w:color w:val="auto"/>
                    </w:rPr>
                  </w:pPr>
                  <w:r>
                    <w:rPr>
                      <w:rFonts w:hint="eastAsia"/>
                      <w:color w:val="auto"/>
                    </w:rPr>
                    <w:t>1</w:t>
                  </w:r>
                </w:p>
              </w:tc>
              <w:tc>
                <w:tcPr>
                  <w:tcW w:w="1141" w:type="dxa"/>
                  <w:vMerge w:val="continue"/>
                  <w:vAlign w:val="center"/>
                </w:tcPr>
                <w:p w14:paraId="00D3DF8C">
                  <w:pPr>
                    <w:jc w:val="center"/>
                    <w:rPr>
                      <w:color w:val="auto"/>
                    </w:rPr>
                  </w:pPr>
                </w:p>
              </w:tc>
              <w:tc>
                <w:tcPr>
                  <w:tcW w:w="1141" w:type="dxa"/>
                  <w:vAlign w:val="center"/>
                </w:tcPr>
                <w:p w14:paraId="15DA8F5B">
                  <w:pPr>
                    <w:jc w:val="center"/>
                    <w:rPr>
                      <w:color w:val="auto"/>
                    </w:rPr>
                  </w:pPr>
                  <w:r>
                    <w:rPr>
                      <w:color w:val="auto"/>
                    </w:rPr>
                    <w:t>满足</w:t>
                  </w:r>
                </w:p>
              </w:tc>
            </w:tr>
            <w:tr w14:paraId="247B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14:paraId="1D2A8D4D">
                  <w:pPr>
                    <w:jc w:val="center"/>
                    <w:rPr>
                      <w:rFonts w:hint="eastAsia" w:eastAsia="宋体"/>
                      <w:color w:val="auto"/>
                      <w:lang w:val="en-US" w:eastAsia="zh-CN"/>
                    </w:rPr>
                  </w:pPr>
                  <w:r>
                    <w:rPr>
                      <w:rFonts w:hint="eastAsia"/>
                      <w:color w:val="auto"/>
                      <w:lang w:val="en-US" w:eastAsia="zh-CN"/>
                    </w:rPr>
                    <w:t>6</w:t>
                  </w:r>
                </w:p>
              </w:tc>
              <w:tc>
                <w:tcPr>
                  <w:tcW w:w="1309" w:type="dxa"/>
                  <w:vAlign w:val="center"/>
                </w:tcPr>
                <w:p w14:paraId="6F0DE81F">
                  <w:pPr>
                    <w:jc w:val="center"/>
                    <w:rPr>
                      <w:rFonts w:hint="default"/>
                      <w:color w:val="auto"/>
                      <w:lang w:val="en-US" w:eastAsia="zh-CN"/>
                    </w:rPr>
                  </w:pPr>
                  <w:r>
                    <w:rPr>
                      <w:rFonts w:hint="eastAsia"/>
                      <w:color w:val="auto"/>
                      <w:lang w:val="en-US" w:eastAsia="zh-CN"/>
                    </w:rPr>
                    <w:t>废机油</w:t>
                  </w:r>
                </w:p>
              </w:tc>
              <w:tc>
                <w:tcPr>
                  <w:tcW w:w="1227" w:type="dxa"/>
                  <w:vAlign w:val="center"/>
                </w:tcPr>
                <w:p w14:paraId="3C6C1779">
                  <w:pPr>
                    <w:spacing w:line="0" w:lineRule="atLeast"/>
                    <w:jc w:val="center"/>
                    <w:rPr>
                      <w:rFonts w:hint="eastAsia" w:eastAsia="宋体"/>
                      <w:color w:val="auto"/>
                      <w:kern w:val="0"/>
                      <w:lang w:val="en-US" w:eastAsia="zh-CN"/>
                    </w:rPr>
                  </w:pPr>
                  <w:r>
                    <w:rPr>
                      <w:rFonts w:hint="eastAsia"/>
                      <w:color w:val="auto"/>
                      <w:kern w:val="0"/>
                      <w:lang w:val="en-US" w:eastAsia="zh-CN"/>
                    </w:rPr>
                    <w:t>1</w:t>
                  </w:r>
                </w:p>
              </w:tc>
              <w:tc>
                <w:tcPr>
                  <w:tcW w:w="1193" w:type="dxa"/>
                  <w:vAlign w:val="center"/>
                </w:tcPr>
                <w:p w14:paraId="0B5C21FD">
                  <w:pPr>
                    <w:spacing w:line="0" w:lineRule="atLeast"/>
                    <w:jc w:val="center"/>
                    <w:rPr>
                      <w:rFonts w:hint="eastAsia"/>
                      <w:color w:val="auto"/>
                      <w:kern w:val="0"/>
                    </w:rPr>
                  </w:pPr>
                  <w:r>
                    <w:rPr>
                      <w:rFonts w:hint="eastAsia"/>
                      <w:color w:val="auto"/>
                      <w:kern w:val="0"/>
                    </w:rPr>
                    <w:t>每月</w:t>
                  </w:r>
                </w:p>
              </w:tc>
              <w:tc>
                <w:tcPr>
                  <w:tcW w:w="1141" w:type="dxa"/>
                  <w:vAlign w:val="center"/>
                </w:tcPr>
                <w:p w14:paraId="3B34457B">
                  <w:pPr>
                    <w:jc w:val="center"/>
                    <w:rPr>
                      <w:rFonts w:hint="eastAsia"/>
                      <w:color w:val="auto"/>
                    </w:rPr>
                  </w:pPr>
                  <w:r>
                    <w:rPr>
                      <w:rFonts w:hint="eastAsia"/>
                      <w:color w:val="auto"/>
                    </w:rPr>
                    <w:t>1个月</w:t>
                  </w:r>
                </w:p>
              </w:tc>
              <w:tc>
                <w:tcPr>
                  <w:tcW w:w="1141" w:type="dxa"/>
                  <w:vAlign w:val="center"/>
                </w:tcPr>
                <w:p w14:paraId="6A8B0735">
                  <w:pPr>
                    <w:jc w:val="center"/>
                    <w:rPr>
                      <w:rFonts w:hint="eastAsia" w:eastAsia="宋体"/>
                      <w:color w:val="auto"/>
                      <w:lang w:val="en-US" w:eastAsia="zh-CN"/>
                    </w:rPr>
                  </w:pPr>
                  <w:r>
                    <w:rPr>
                      <w:rFonts w:hint="eastAsia"/>
                      <w:color w:val="auto"/>
                      <w:lang w:val="en-US" w:eastAsia="zh-CN"/>
                    </w:rPr>
                    <w:t>1</w:t>
                  </w:r>
                </w:p>
              </w:tc>
              <w:tc>
                <w:tcPr>
                  <w:tcW w:w="1141" w:type="dxa"/>
                  <w:vMerge w:val="continue"/>
                  <w:vAlign w:val="center"/>
                </w:tcPr>
                <w:p w14:paraId="5A946785">
                  <w:pPr>
                    <w:jc w:val="center"/>
                    <w:rPr>
                      <w:color w:val="auto"/>
                    </w:rPr>
                  </w:pPr>
                </w:p>
              </w:tc>
              <w:tc>
                <w:tcPr>
                  <w:tcW w:w="1141" w:type="dxa"/>
                  <w:vAlign w:val="center"/>
                </w:tcPr>
                <w:p w14:paraId="7F6A31AB">
                  <w:pPr>
                    <w:jc w:val="center"/>
                    <w:rPr>
                      <w:color w:val="auto"/>
                    </w:rPr>
                  </w:pPr>
                  <w:r>
                    <w:rPr>
                      <w:color w:val="auto"/>
                    </w:rPr>
                    <w:t>满足</w:t>
                  </w:r>
                </w:p>
              </w:tc>
            </w:tr>
            <w:tr w14:paraId="55CC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14:paraId="6FD74578">
                  <w:pPr>
                    <w:jc w:val="center"/>
                    <w:rPr>
                      <w:b/>
                      <w:bCs/>
                      <w:color w:val="auto"/>
                    </w:rPr>
                  </w:pPr>
                  <w:r>
                    <w:rPr>
                      <w:b/>
                      <w:bCs/>
                      <w:color w:val="auto"/>
                    </w:rPr>
                    <w:t>合计</w:t>
                  </w:r>
                </w:p>
              </w:tc>
              <w:tc>
                <w:tcPr>
                  <w:tcW w:w="1309" w:type="dxa"/>
                  <w:vAlign w:val="center"/>
                </w:tcPr>
                <w:p w14:paraId="0EFF5166">
                  <w:pPr>
                    <w:jc w:val="center"/>
                    <w:rPr>
                      <w:b/>
                      <w:bCs/>
                      <w:color w:val="auto"/>
                    </w:rPr>
                  </w:pPr>
                  <w:r>
                    <w:rPr>
                      <w:b/>
                      <w:bCs/>
                      <w:color w:val="auto"/>
                    </w:rPr>
                    <w:t>/</w:t>
                  </w:r>
                </w:p>
              </w:tc>
              <w:tc>
                <w:tcPr>
                  <w:tcW w:w="1227" w:type="dxa"/>
                  <w:vAlign w:val="center"/>
                </w:tcPr>
                <w:p w14:paraId="75494F36">
                  <w:pPr>
                    <w:jc w:val="center"/>
                    <w:rPr>
                      <w:b/>
                      <w:bCs/>
                      <w:color w:val="auto"/>
                    </w:rPr>
                  </w:pPr>
                  <w:r>
                    <w:rPr>
                      <w:b/>
                      <w:bCs/>
                      <w:color w:val="auto"/>
                    </w:rPr>
                    <w:t>/</w:t>
                  </w:r>
                </w:p>
              </w:tc>
              <w:tc>
                <w:tcPr>
                  <w:tcW w:w="1193" w:type="dxa"/>
                  <w:vAlign w:val="center"/>
                </w:tcPr>
                <w:p w14:paraId="2FA210BE">
                  <w:pPr>
                    <w:jc w:val="center"/>
                    <w:rPr>
                      <w:b/>
                      <w:bCs/>
                      <w:color w:val="auto"/>
                    </w:rPr>
                  </w:pPr>
                  <w:r>
                    <w:rPr>
                      <w:b/>
                      <w:bCs/>
                      <w:color w:val="auto"/>
                    </w:rPr>
                    <w:t>/</w:t>
                  </w:r>
                </w:p>
              </w:tc>
              <w:tc>
                <w:tcPr>
                  <w:tcW w:w="1141" w:type="dxa"/>
                  <w:vAlign w:val="center"/>
                </w:tcPr>
                <w:p w14:paraId="31A96AC3">
                  <w:pPr>
                    <w:jc w:val="center"/>
                    <w:rPr>
                      <w:b/>
                      <w:bCs/>
                      <w:color w:val="auto"/>
                    </w:rPr>
                  </w:pPr>
                  <w:r>
                    <w:rPr>
                      <w:b/>
                      <w:bCs/>
                      <w:color w:val="auto"/>
                    </w:rPr>
                    <w:t>/</w:t>
                  </w:r>
                </w:p>
              </w:tc>
              <w:tc>
                <w:tcPr>
                  <w:tcW w:w="1141" w:type="dxa"/>
                  <w:vAlign w:val="center"/>
                </w:tcPr>
                <w:p w14:paraId="10620961">
                  <w:pPr>
                    <w:jc w:val="center"/>
                    <w:rPr>
                      <w:b/>
                      <w:bCs/>
                      <w:color w:val="auto"/>
                    </w:rPr>
                  </w:pPr>
                  <w:r>
                    <w:rPr>
                      <w:rFonts w:hint="eastAsia"/>
                      <w:b/>
                      <w:bCs/>
                      <w:color w:val="auto"/>
                    </w:rPr>
                    <w:t>8</w:t>
                  </w:r>
                </w:p>
              </w:tc>
              <w:tc>
                <w:tcPr>
                  <w:tcW w:w="1141" w:type="dxa"/>
                  <w:vAlign w:val="center"/>
                </w:tcPr>
                <w:p w14:paraId="393057CE">
                  <w:pPr>
                    <w:jc w:val="center"/>
                    <w:rPr>
                      <w:b/>
                      <w:bCs/>
                      <w:color w:val="auto"/>
                    </w:rPr>
                  </w:pPr>
                  <w:r>
                    <w:rPr>
                      <w:rFonts w:hint="eastAsia"/>
                      <w:b/>
                      <w:bCs/>
                      <w:color w:val="auto"/>
                    </w:rPr>
                    <w:t>10</w:t>
                  </w:r>
                </w:p>
              </w:tc>
              <w:tc>
                <w:tcPr>
                  <w:tcW w:w="1141" w:type="dxa"/>
                  <w:vAlign w:val="center"/>
                </w:tcPr>
                <w:p w14:paraId="7F76222F">
                  <w:pPr>
                    <w:jc w:val="center"/>
                    <w:rPr>
                      <w:b/>
                      <w:bCs/>
                      <w:color w:val="auto"/>
                    </w:rPr>
                  </w:pPr>
                  <w:r>
                    <w:rPr>
                      <w:b/>
                      <w:bCs/>
                      <w:color w:val="auto"/>
                    </w:rPr>
                    <w:t>满足</w:t>
                  </w:r>
                </w:p>
              </w:tc>
            </w:tr>
          </w:tbl>
          <w:p w14:paraId="41C79D84">
            <w:pPr>
              <w:spacing w:line="360" w:lineRule="auto"/>
              <w:ind w:firstLine="480" w:firstLineChars="200"/>
              <w:rPr>
                <w:color w:val="auto"/>
                <w:sz w:val="24"/>
                <w:szCs w:val="24"/>
                <w:lang w:val="zh-CN"/>
              </w:rPr>
            </w:pPr>
            <w:r>
              <w:rPr>
                <w:color w:val="auto"/>
                <w:sz w:val="24"/>
                <w:szCs w:val="24"/>
              </w:rPr>
              <w:t>本项目废活性炭危废采用箱装存放，占地面积约</w:t>
            </w:r>
            <w:r>
              <w:rPr>
                <w:rFonts w:hint="eastAsia"/>
                <w:color w:val="auto"/>
                <w:sz w:val="24"/>
                <w:szCs w:val="24"/>
                <w:lang w:val="en-US" w:eastAsia="zh-CN"/>
              </w:rPr>
              <w:t>2</w:t>
            </w:r>
            <w:r>
              <w:rPr>
                <w:color w:val="auto"/>
                <w:sz w:val="24"/>
                <w:szCs w:val="24"/>
              </w:rPr>
              <w:t>m</w:t>
            </w:r>
            <w:r>
              <w:rPr>
                <w:color w:val="auto"/>
                <w:sz w:val="24"/>
                <w:szCs w:val="24"/>
                <w:vertAlign w:val="superscript"/>
              </w:rPr>
              <w:t>2</w:t>
            </w:r>
            <w:r>
              <w:rPr>
                <w:color w:val="auto"/>
                <w:sz w:val="24"/>
                <w:szCs w:val="24"/>
              </w:rPr>
              <w:t>；废包装桶堆放，占地约</w:t>
            </w:r>
            <w:r>
              <w:rPr>
                <w:rFonts w:hint="eastAsia"/>
                <w:color w:val="auto"/>
                <w:sz w:val="24"/>
                <w:szCs w:val="24"/>
              </w:rPr>
              <w:t>2</w:t>
            </w:r>
            <w:r>
              <w:rPr>
                <w:color w:val="auto"/>
                <w:sz w:val="24"/>
                <w:szCs w:val="24"/>
              </w:rPr>
              <w:t>m</w:t>
            </w:r>
            <w:r>
              <w:rPr>
                <w:color w:val="auto"/>
                <w:sz w:val="24"/>
                <w:szCs w:val="24"/>
                <w:vertAlign w:val="superscript"/>
              </w:rPr>
              <w:t>2</w:t>
            </w:r>
            <w:r>
              <w:rPr>
                <w:color w:val="auto"/>
                <w:sz w:val="24"/>
                <w:szCs w:val="24"/>
              </w:rPr>
              <w:t>，</w:t>
            </w:r>
            <w:r>
              <w:rPr>
                <w:rFonts w:hint="eastAsia"/>
                <w:color w:val="auto"/>
                <w:sz w:val="24"/>
                <w:szCs w:val="24"/>
              </w:rPr>
              <w:t>清洗废液</w:t>
            </w:r>
            <w:r>
              <w:rPr>
                <w:color w:val="auto"/>
                <w:sz w:val="24"/>
                <w:szCs w:val="24"/>
              </w:rPr>
              <w:t>采用桶装存放，占地面积约1m</w:t>
            </w:r>
            <w:r>
              <w:rPr>
                <w:color w:val="auto"/>
                <w:sz w:val="24"/>
                <w:szCs w:val="24"/>
                <w:vertAlign w:val="superscript"/>
              </w:rPr>
              <w:t>2</w:t>
            </w:r>
            <w:r>
              <w:rPr>
                <w:color w:val="auto"/>
                <w:sz w:val="24"/>
                <w:szCs w:val="24"/>
              </w:rPr>
              <w:t>；废</w:t>
            </w:r>
            <w:r>
              <w:rPr>
                <w:rFonts w:hint="eastAsia"/>
                <w:color w:val="auto"/>
                <w:sz w:val="24"/>
                <w:szCs w:val="24"/>
              </w:rPr>
              <w:t>油泥</w:t>
            </w:r>
            <w:r>
              <w:rPr>
                <w:color w:val="auto"/>
                <w:sz w:val="24"/>
                <w:szCs w:val="24"/>
              </w:rPr>
              <w:t>采用</w:t>
            </w:r>
            <w:r>
              <w:rPr>
                <w:rFonts w:hint="eastAsia"/>
                <w:color w:val="auto"/>
                <w:sz w:val="24"/>
                <w:szCs w:val="24"/>
              </w:rPr>
              <w:t>桶</w:t>
            </w:r>
            <w:r>
              <w:rPr>
                <w:color w:val="auto"/>
                <w:sz w:val="24"/>
                <w:szCs w:val="24"/>
              </w:rPr>
              <w:t>装存放，占地面积约</w:t>
            </w:r>
            <w:r>
              <w:rPr>
                <w:rFonts w:hint="eastAsia"/>
                <w:color w:val="auto"/>
                <w:sz w:val="24"/>
                <w:szCs w:val="24"/>
              </w:rPr>
              <w:t>1</w:t>
            </w:r>
            <w:r>
              <w:rPr>
                <w:color w:val="auto"/>
                <w:sz w:val="24"/>
                <w:szCs w:val="24"/>
              </w:rPr>
              <w:t>m</w:t>
            </w:r>
            <w:r>
              <w:rPr>
                <w:color w:val="auto"/>
                <w:sz w:val="24"/>
                <w:szCs w:val="24"/>
                <w:vertAlign w:val="superscript"/>
              </w:rPr>
              <w:t>2</w:t>
            </w:r>
            <w:r>
              <w:rPr>
                <w:color w:val="auto"/>
                <w:sz w:val="24"/>
                <w:szCs w:val="24"/>
              </w:rPr>
              <w:t>，废</w:t>
            </w:r>
            <w:r>
              <w:rPr>
                <w:rFonts w:hint="eastAsia"/>
                <w:color w:val="auto"/>
                <w:sz w:val="24"/>
                <w:szCs w:val="24"/>
                <w:lang w:val="en-US" w:eastAsia="zh-CN"/>
              </w:rPr>
              <w:t>机油</w:t>
            </w:r>
            <w:r>
              <w:rPr>
                <w:color w:val="auto"/>
                <w:sz w:val="24"/>
                <w:szCs w:val="24"/>
              </w:rPr>
              <w:t>采用</w:t>
            </w:r>
            <w:r>
              <w:rPr>
                <w:rFonts w:hint="eastAsia"/>
                <w:color w:val="auto"/>
                <w:sz w:val="24"/>
                <w:szCs w:val="24"/>
              </w:rPr>
              <w:t>桶</w:t>
            </w:r>
            <w:r>
              <w:rPr>
                <w:color w:val="auto"/>
                <w:sz w:val="24"/>
                <w:szCs w:val="24"/>
              </w:rPr>
              <w:t>装存放，占地面积约</w:t>
            </w:r>
            <w:r>
              <w:rPr>
                <w:rFonts w:hint="eastAsia"/>
                <w:color w:val="auto"/>
                <w:sz w:val="24"/>
                <w:szCs w:val="24"/>
              </w:rPr>
              <w:t>1</w:t>
            </w:r>
            <w:r>
              <w:rPr>
                <w:color w:val="auto"/>
                <w:sz w:val="24"/>
                <w:szCs w:val="24"/>
              </w:rPr>
              <w:t>m</w:t>
            </w:r>
            <w:r>
              <w:rPr>
                <w:color w:val="auto"/>
                <w:sz w:val="24"/>
                <w:szCs w:val="24"/>
                <w:vertAlign w:val="superscript"/>
              </w:rPr>
              <w:t>2</w:t>
            </w:r>
            <w:r>
              <w:rPr>
                <w:color w:val="auto"/>
                <w:sz w:val="24"/>
                <w:szCs w:val="24"/>
              </w:rPr>
              <w:t>，</w:t>
            </w:r>
            <w:r>
              <w:rPr>
                <w:rFonts w:hint="eastAsia"/>
                <w:color w:val="auto"/>
                <w:sz w:val="24"/>
                <w:szCs w:val="24"/>
                <w:lang w:eastAsia="zh-CN"/>
              </w:rPr>
              <w:t>磨削灰</w:t>
            </w:r>
            <w:r>
              <w:rPr>
                <w:color w:val="auto"/>
                <w:sz w:val="24"/>
                <w:szCs w:val="24"/>
              </w:rPr>
              <w:t>采用</w:t>
            </w:r>
            <w:r>
              <w:rPr>
                <w:rFonts w:hint="eastAsia"/>
                <w:color w:val="auto"/>
                <w:sz w:val="24"/>
                <w:szCs w:val="24"/>
              </w:rPr>
              <w:t>桶</w:t>
            </w:r>
            <w:r>
              <w:rPr>
                <w:color w:val="auto"/>
                <w:sz w:val="24"/>
                <w:szCs w:val="24"/>
              </w:rPr>
              <w:t>装存放，占地面积约</w:t>
            </w:r>
            <w:r>
              <w:rPr>
                <w:rFonts w:hint="eastAsia"/>
                <w:color w:val="auto"/>
                <w:sz w:val="24"/>
                <w:szCs w:val="24"/>
              </w:rPr>
              <w:t>1</w:t>
            </w:r>
            <w:r>
              <w:rPr>
                <w:color w:val="auto"/>
                <w:sz w:val="24"/>
                <w:szCs w:val="24"/>
              </w:rPr>
              <w:t>m</w:t>
            </w:r>
            <w:r>
              <w:rPr>
                <w:color w:val="auto"/>
                <w:sz w:val="24"/>
                <w:szCs w:val="24"/>
                <w:vertAlign w:val="superscript"/>
              </w:rPr>
              <w:t>2</w:t>
            </w:r>
            <w:r>
              <w:rPr>
                <w:rFonts w:hint="eastAsia"/>
                <w:color w:val="auto"/>
                <w:sz w:val="24"/>
                <w:szCs w:val="24"/>
              </w:rPr>
              <w:t>，</w:t>
            </w:r>
            <w:r>
              <w:rPr>
                <w:color w:val="auto"/>
                <w:sz w:val="24"/>
                <w:szCs w:val="24"/>
              </w:rPr>
              <w:t>本项目</w:t>
            </w:r>
            <w:r>
              <w:rPr>
                <w:rFonts w:hint="eastAsia"/>
                <w:color w:val="auto"/>
                <w:sz w:val="24"/>
                <w:szCs w:val="24"/>
              </w:rPr>
              <w:t>新建1</w:t>
            </w:r>
            <w:r>
              <w:rPr>
                <w:color w:val="auto"/>
                <w:sz w:val="24"/>
                <w:szCs w:val="24"/>
              </w:rPr>
              <w:t>0m</w:t>
            </w:r>
            <w:r>
              <w:rPr>
                <w:color w:val="auto"/>
                <w:sz w:val="24"/>
                <w:szCs w:val="24"/>
                <w:vertAlign w:val="superscript"/>
              </w:rPr>
              <w:t>2</w:t>
            </w:r>
            <w:r>
              <w:rPr>
                <w:color w:val="auto"/>
                <w:sz w:val="24"/>
                <w:szCs w:val="24"/>
              </w:rPr>
              <w:t>的危废仓库，考虑到进出口、过道等，故有效存储面积以80%计，则有效存储面积为</w:t>
            </w:r>
            <w:r>
              <w:rPr>
                <w:rFonts w:hint="eastAsia"/>
                <w:color w:val="auto"/>
                <w:sz w:val="24"/>
                <w:szCs w:val="24"/>
              </w:rPr>
              <w:t>8</w:t>
            </w:r>
            <w:r>
              <w:rPr>
                <w:color w:val="auto"/>
                <w:sz w:val="24"/>
                <w:szCs w:val="24"/>
              </w:rPr>
              <w:t>m</w:t>
            </w:r>
            <w:r>
              <w:rPr>
                <w:color w:val="auto"/>
                <w:sz w:val="24"/>
                <w:szCs w:val="24"/>
                <w:vertAlign w:val="superscript"/>
              </w:rPr>
              <w:t>2</w:t>
            </w:r>
            <w:r>
              <w:rPr>
                <w:color w:val="auto"/>
                <w:sz w:val="24"/>
                <w:szCs w:val="24"/>
              </w:rPr>
              <w:t>，完全能够满足企业危险废物的暂存需求。</w:t>
            </w:r>
            <w:r>
              <w:rPr>
                <w:color w:val="auto"/>
                <w:sz w:val="24"/>
                <w:szCs w:val="24"/>
                <w:lang w:val="zh-CN"/>
              </w:rPr>
              <w:t>同时，本项目危废堆场由专业人员操作、单独收集、贮运，严格执行《危险废物转移管理办法》（部令第23号），并制定好危险废物转移运输途中的污染防范及事故应急措施，严格按照要求办理相关手续。</w:t>
            </w:r>
          </w:p>
          <w:p w14:paraId="33B5B8DA">
            <w:pPr>
              <w:spacing w:line="360" w:lineRule="auto"/>
              <w:ind w:firstLine="480" w:firstLineChars="200"/>
              <w:rPr>
                <w:color w:val="auto"/>
                <w:sz w:val="24"/>
                <w:szCs w:val="24"/>
              </w:rPr>
            </w:pPr>
            <w:r>
              <w:rPr>
                <w:rFonts w:hint="eastAsia"/>
                <w:color w:val="auto"/>
                <w:sz w:val="24"/>
                <w:szCs w:val="24"/>
              </w:rPr>
              <w:t>2、危废房建设要求</w:t>
            </w:r>
          </w:p>
          <w:p w14:paraId="45485D3E">
            <w:pPr>
              <w:spacing w:line="360" w:lineRule="auto"/>
              <w:ind w:firstLine="480" w:firstLineChars="200"/>
              <w:rPr>
                <w:color w:val="auto"/>
                <w:sz w:val="24"/>
                <w:szCs w:val="24"/>
              </w:rPr>
            </w:pPr>
            <w:r>
              <w:rPr>
                <w:rFonts w:hint="eastAsia"/>
                <w:color w:val="auto"/>
                <w:sz w:val="24"/>
                <w:szCs w:val="24"/>
              </w:rPr>
              <w:t>对照《危险废物贮存污染控制标准》（GB18597-2023）、《危险废物识别标志设置技术规范》（HJ1276-2022）等标准进行建设，具体要求如下。</w:t>
            </w:r>
          </w:p>
          <w:p w14:paraId="1036C1B8">
            <w:pPr>
              <w:spacing w:line="360" w:lineRule="auto"/>
              <w:ind w:firstLine="480" w:firstLineChars="200"/>
              <w:rPr>
                <w:color w:val="auto"/>
                <w:sz w:val="24"/>
                <w:szCs w:val="24"/>
              </w:rPr>
            </w:pPr>
            <w:r>
              <w:rPr>
                <w:rFonts w:hint="eastAsia"/>
                <w:color w:val="auto"/>
                <w:sz w:val="24"/>
                <w:szCs w:val="24"/>
              </w:rPr>
              <w:t>a、委托有资质单位处置，签订危废协议</w:t>
            </w:r>
          </w:p>
          <w:p w14:paraId="7C9C854B">
            <w:pPr>
              <w:spacing w:line="360" w:lineRule="auto"/>
              <w:ind w:firstLine="480" w:firstLineChars="200"/>
              <w:rPr>
                <w:color w:val="auto"/>
                <w:sz w:val="24"/>
                <w:szCs w:val="24"/>
              </w:rPr>
            </w:pPr>
            <w:r>
              <w:rPr>
                <w:rFonts w:hint="eastAsia"/>
                <w:color w:val="auto"/>
                <w:sz w:val="24"/>
                <w:szCs w:val="24"/>
              </w:rPr>
              <w:t>危险废物均应委托有相应处置资质的专业单位处置；建设单位应与有资质的专业处置单位签订《固体废物处置合同》，在签订《固体废物处置合同》前应先了解处置单位的《危险废物经营许可证》中的有效期和核准经营范围及《企业法人营业执照》中的许可经营项目与危险废物的相符性，并了解处置单位的处置工艺和生产余量，确保处置工艺及能力相匹配。</w:t>
            </w:r>
          </w:p>
          <w:p w14:paraId="2D96E3B4">
            <w:pPr>
              <w:spacing w:line="360" w:lineRule="auto"/>
              <w:ind w:firstLine="480" w:firstLineChars="200"/>
              <w:rPr>
                <w:color w:val="auto"/>
                <w:sz w:val="24"/>
                <w:szCs w:val="24"/>
              </w:rPr>
            </w:pPr>
            <w:r>
              <w:rPr>
                <w:rFonts w:hint="eastAsia"/>
                <w:color w:val="auto"/>
                <w:sz w:val="24"/>
                <w:szCs w:val="24"/>
              </w:rPr>
              <w:t>b、按规范设置危废仓库</w:t>
            </w:r>
          </w:p>
          <w:p w14:paraId="7D5802A4">
            <w:pPr>
              <w:spacing w:line="360" w:lineRule="auto"/>
              <w:ind w:firstLine="480" w:firstLineChars="200"/>
              <w:rPr>
                <w:color w:val="auto"/>
                <w:sz w:val="24"/>
                <w:szCs w:val="24"/>
              </w:rPr>
            </w:pPr>
            <w:r>
              <w:rPr>
                <w:rFonts w:hint="eastAsia"/>
                <w:color w:val="auto"/>
                <w:sz w:val="24"/>
                <w:szCs w:val="24"/>
              </w:rPr>
              <w:t>企业新建一间危废仓库（建筑面积为10平方米）用于暂存危险废物，危废暂存区需按照《危险废物贮存污染控制标准》（</w:t>
            </w:r>
            <w:r>
              <w:rPr>
                <w:color w:val="auto"/>
                <w:sz w:val="24"/>
                <w:szCs w:val="24"/>
              </w:rPr>
              <w:t>GB18597-2023</w:t>
            </w:r>
            <w:r>
              <w:rPr>
                <w:rFonts w:hint="eastAsia"/>
                <w:color w:val="auto"/>
                <w:sz w:val="24"/>
                <w:szCs w:val="24"/>
              </w:rPr>
              <w:t>）、《省生态环境厅关于印发</w:t>
            </w:r>
            <w:r>
              <w:rPr>
                <w:color w:val="auto"/>
                <w:sz w:val="24"/>
                <w:szCs w:val="24"/>
              </w:rPr>
              <w:t>&lt;</w:t>
            </w:r>
            <w:r>
              <w:rPr>
                <w:rFonts w:hint="eastAsia"/>
                <w:color w:val="auto"/>
                <w:sz w:val="24"/>
                <w:szCs w:val="24"/>
              </w:rPr>
              <w:t>江苏省固体废物全过程环境监管工作意见</w:t>
            </w:r>
            <w:r>
              <w:rPr>
                <w:color w:val="auto"/>
                <w:sz w:val="24"/>
                <w:szCs w:val="24"/>
              </w:rPr>
              <w:t>&gt;</w:t>
            </w:r>
            <w:r>
              <w:rPr>
                <w:rFonts w:hint="eastAsia"/>
                <w:color w:val="auto"/>
                <w:sz w:val="24"/>
                <w:szCs w:val="24"/>
              </w:rPr>
              <w:t>的通知》（苏环办〔</w:t>
            </w:r>
            <w:r>
              <w:rPr>
                <w:color w:val="auto"/>
                <w:sz w:val="24"/>
                <w:szCs w:val="24"/>
              </w:rPr>
              <w:t>2024</w:t>
            </w:r>
            <w:r>
              <w:rPr>
                <w:rFonts w:hint="eastAsia"/>
                <w:color w:val="auto"/>
                <w:sz w:val="24"/>
                <w:szCs w:val="24"/>
              </w:rPr>
              <w:t>〕</w:t>
            </w:r>
            <w:r>
              <w:rPr>
                <w:color w:val="auto"/>
                <w:sz w:val="24"/>
                <w:szCs w:val="24"/>
              </w:rPr>
              <w:t>16</w:t>
            </w:r>
            <w:r>
              <w:rPr>
                <w:rFonts w:hint="eastAsia"/>
                <w:color w:val="auto"/>
                <w:sz w:val="24"/>
                <w:szCs w:val="24"/>
              </w:rPr>
              <w:t>号）和《省生态环境厅关于进一步加强危险废物环境管理工作的通知》（苏环办〔</w:t>
            </w:r>
            <w:r>
              <w:rPr>
                <w:color w:val="auto"/>
                <w:sz w:val="24"/>
                <w:szCs w:val="24"/>
              </w:rPr>
              <w:t>2021</w:t>
            </w:r>
            <w:r>
              <w:rPr>
                <w:rFonts w:hint="eastAsia"/>
                <w:color w:val="auto"/>
                <w:sz w:val="24"/>
                <w:szCs w:val="24"/>
              </w:rPr>
              <w:t>〕</w:t>
            </w:r>
            <w:r>
              <w:rPr>
                <w:color w:val="auto"/>
                <w:sz w:val="24"/>
                <w:szCs w:val="24"/>
              </w:rPr>
              <w:t>207</w:t>
            </w:r>
            <w:r>
              <w:rPr>
                <w:rFonts w:hint="eastAsia"/>
                <w:color w:val="auto"/>
                <w:sz w:val="24"/>
                <w:szCs w:val="24"/>
              </w:rPr>
              <w:t>号）的相关要求建设，具体要求如下：</w:t>
            </w:r>
          </w:p>
          <w:p w14:paraId="2538F431">
            <w:pPr>
              <w:spacing w:line="360" w:lineRule="auto"/>
              <w:ind w:firstLine="480" w:firstLineChars="200"/>
              <w:rPr>
                <w:color w:val="auto"/>
                <w:sz w:val="24"/>
                <w:szCs w:val="24"/>
              </w:rPr>
            </w:pPr>
            <w:r>
              <w:rPr>
                <w:rFonts w:hint="eastAsia"/>
                <w:color w:val="auto"/>
                <w:sz w:val="24"/>
                <w:szCs w:val="24"/>
              </w:rPr>
              <w:t>①危险废物在厂区内的贮存时间不得超过三个月。危废暂存区的大小需满足最多贮存三个月危废的量。</w:t>
            </w:r>
          </w:p>
          <w:p w14:paraId="6B62DC58">
            <w:pPr>
              <w:spacing w:line="360" w:lineRule="auto"/>
              <w:ind w:firstLine="480" w:firstLineChars="200"/>
              <w:rPr>
                <w:color w:val="auto"/>
                <w:sz w:val="24"/>
                <w:szCs w:val="24"/>
              </w:rPr>
            </w:pPr>
            <w:r>
              <w:rPr>
                <w:rFonts w:hint="eastAsia"/>
                <w:color w:val="auto"/>
                <w:sz w:val="24"/>
                <w:szCs w:val="24"/>
              </w:rPr>
              <w:t>②按照《环境保护图形标志固体废物贮存（处置）场》和危险废物识别标识设置规范设置标志。</w:t>
            </w:r>
          </w:p>
          <w:p w14:paraId="41DD60A9">
            <w:pPr>
              <w:spacing w:line="360" w:lineRule="auto"/>
              <w:ind w:firstLine="480" w:firstLineChars="200"/>
              <w:rPr>
                <w:color w:val="auto"/>
                <w:sz w:val="24"/>
                <w:szCs w:val="24"/>
              </w:rPr>
            </w:pPr>
            <w:r>
              <w:rPr>
                <w:rFonts w:hint="eastAsia"/>
                <w:color w:val="auto"/>
                <w:sz w:val="24"/>
                <w:szCs w:val="24"/>
              </w:rPr>
              <w:t>③危废在危废暂存区暂存时应放置在托盘内，以防危废泄露污染周边环境。</w:t>
            </w:r>
          </w:p>
          <w:p w14:paraId="726C0AD3">
            <w:pPr>
              <w:spacing w:line="360" w:lineRule="auto"/>
              <w:ind w:firstLine="480" w:firstLineChars="200"/>
              <w:rPr>
                <w:color w:val="auto"/>
                <w:sz w:val="24"/>
                <w:szCs w:val="24"/>
              </w:rPr>
            </w:pPr>
            <w:r>
              <w:rPr>
                <w:rFonts w:hint="eastAsia"/>
                <w:color w:val="auto"/>
                <w:sz w:val="24"/>
                <w:szCs w:val="24"/>
              </w:rPr>
              <w:t>④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p w14:paraId="6B0413E3">
            <w:pPr>
              <w:spacing w:line="360" w:lineRule="auto"/>
              <w:ind w:firstLine="480" w:firstLineChars="200"/>
              <w:rPr>
                <w:color w:val="auto"/>
                <w:sz w:val="24"/>
                <w:szCs w:val="24"/>
              </w:rPr>
            </w:pPr>
            <w:r>
              <w:rPr>
                <w:rFonts w:hint="eastAsia"/>
                <w:color w:val="auto"/>
                <w:sz w:val="24"/>
                <w:szCs w:val="24"/>
              </w:rPr>
              <w:t>3、危险废物管理要求</w:t>
            </w:r>
          </w:p>
          <w:p w14:paraId="29A2028C">
            <w:pPr>
              <w:spacing w:line="360" w:lineRule="auto"/>
              <w:ind w:firstLine="480" w:firstLineChars="200"/>
              <w:rPr>
                <w:color w:val="auto"/>
                <w:sz w:val="24"/>
                <w:szCs w:val="24"/>
              </w:rPr>
            </w:pPr>
            <w:r>
              <w:rPr>
                <w:rFonts w:hint="eastAsia"/>
                <w:color w:val="auto"/>
                <w:sz w:val="24"/>
                <w:szCs w:val="24"/>
              </w:rPr>
              <w:t>“①定期对所贮存的危险废物包装容器及贮存设施进行检查，发现破损及时采取措施清理更换。</w:t>
            </w:r>
          </w:p>
          <w:p w14:paraId="71CB9C4E">
            <w:pPr>
              <w:spacing w:line="360" w:lineRule="auto"/>
              <w:ind w:firstLine="480" w:firstLineChars="200"/>
              <w:rPr>
                <w:color w:val="auto"/>
                <w:sz w:val="24"/>
                <w:szCs w:val="24"/>
              </w:rPr>
            </w:pPr>
            <w:r>
              <w:rPr>
                <w:rFonts w:hint="eastAsia"/>
                <w:color w:val="auto"/>
                <w:sz w:val="24"/>
                <w:szCs w:val="24"/>
              </w:rPr>
              <w:t>②公司委派专职人员管理，作好危险废物情况的记录，记录上注明危险废物的名称、来源、数量、特性和包装容器的类别、入库日期、存放库位、废物出库日期及接收单位名称。危险废物转移时，按有关规定签订危险废物转移单，并需得到有关环境行政主管部门的批准。</w:t>
            </w:r>
          </w:p>
          <w:p w14:paraId="36031C71">
            <w:pPr>
              <w:spacing w:line="360" w:lineRule="auto"/>
              <w:ind w:firstLine="480" w:firstLineChars="200"/>
              <w:rPr>
                <w:color w:val="auto"/>
                <w:sz w:val="24"/>
                <w:szCs w:val="24"/>
              </w:rPr>
            </w:pPr>
            <w:r>
              <w:rPr>
                <w:rFonts w:hint="eastAsia"/>
                <w:color w:val="auto"/>
                <w:sz w:val="24"/>
                <w:szCs w:val="24"/>
              </w:rPr>
              <w:t>③固废申报、信息公开制度</w:t>
            </w:r>
          </w:p>
          <w:p w14:paraId="340C92E3">
            <w:pPr>
              <w:spacing w:line="360" w:lineRule="auto"/>
              <w:ind w:firstLine="480" w:firstLineChars="200"/>
              <w:rPr>
                <w:color w:val="auto"/>
                <w:sz w:val="24"/>
                <w:szCs w:val="24"/>
              </w:rPr>
            </w:pPr>
            <w:r>
              <w:rPr>
                <w:rFonts w:hint="eastAsia"/>
                <w:color w:val="auto"/>
                <w:sz w:val="24"/>
                <w:szCs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5BFF3D2A">
            <w:pPr>
              <w:spacing w:line="360" w:lineRule="auto"/>
              <w:ind w:firstLine="480" w:firstLineChars="200"/>
              <w:rPr>
                <w:color w:val="auto"/>
                <w:sz w:val="24"/>
                <w:szCs w:val="24"/>
              </w:rPr>
            </w:pPr>
            <w:r>
              <w:rPr>
                <w:rFonts w:hint="eastAsia"/>
                <w:color w:val="auto"/>
                <w:sz w:val="24"/>
                <w:szCs w:val="24"/>
              </w:rPr>
              <w:t>《省生态环境厅关于印发</w:t>
            </w:r>
            <w:r>
              <w:rPr>
                <w:color w:val="auto"/>
                <w:sz w:val="24"/>
                <w:szCs w:val="24"/>
              </w:rPr>
              <w:t>&lt;</w:t>
            </w:r>
            <w:r>
              <w:rPr>
                <w:rFonts w:hint="eastAsia"/>
                <w:color w:val="auto"/>
                <w:sz w:val="24"/>
                <w:szCs w:val="24"/>
              </w:rPr>
              <w:t>江苏省固体废物全过程环境监管工作意见</w:t>
            </w:r>
            <w:r>
              <w:rPr>
                <w:color w:val="auto"/>
                <w:sz w:val="24"/>
                <w:szCs w:val="24"/>
              </w:rPr>
              <w:t>&gt;</w:t>
            </w:r>
            <w:r>
              <w:rPr>
                <w:rFonts w:hint="eastAsia"/>
                <w:color w:val="auto"/>
                <w:sz w:val="24"/>
                <w:szCs w:val="24"/>
              </w:rPr>
              <w:t>的通知》（苏环办〔</w:t>
            </w:r>
            <w:r>
              <w:rPr>
                <w:color w:val="auto"/>
                <w:sz w:val="24"/>
                <w:szCs w:val="24"/>
              </w:rPr>
              <w:t>2024</w:t>
            </w:r>
            <w:r>
              <w:rPr>
                <w:rFonts w:hint="eastAsia"/>
                <w:color w:val="auto"/>
                <w:sz w:val="24"/>
                <w:szCs w:val="24"/>
              </w:rPr>
              <w:t>〕</w:t>
            </w:r>
            <w:r>
              <w:rPr>
                <w:color w:val="auto"/>
                <w:sz w:val="24"/>
                <w:szCs w:val="24"/>
              </w:rPr>
              <w:t>16</w:t>
            </w:r>
            <w:r>
              <w:rPr>
                <w:rFonts w:hint="eastAsia"/>
                <w:color w:val="auto"/>
                <w:sz w:val="24"/>
                <w:szCs w:val="24"/>
              </w:rPr>
              <w:t>号）要求，危险废物产生企业应结合自身实际，建立危险废物台账，如实记载危险废物的种类、数量、性质、产生环节、流向、贮存、利用处置等信息，并在</w:t>
            </w:r>
            <w:r>
              <w:rPr>
                <w:color w:val="auto"/>
                <w:sz w:val="24"/>
                <w:szCs w:val="24"/>
              </w:rPr>
              <w:t>“</w:t>
            </w:r>
            <w:r>
              <w:rPr>
                <w:rFonts w:hint="eastAsia"/>
                <w:color w:val="auto"/>
                <w:sz w:val="24"/>
                <w:szCs w:val="24"/>
              </w:rPr>
              <w:t>江苏省危险废物动态管理信息系统</w:t>
            </w:r>
            <w:r>
              <w:rPr>
                <w:color w:val="auto"/>
                <w:sz w:val="24"/>
                <w:szCs w:val="24"/>
              </w:rPr>
              <w:t>”</w:t>
            </w:r>
            <w:r>
              <w:rPr>
                <w:rFonts w:hint="eastAsia"/>
                <w:color w:val="auto"/>
                <w:sz w:val="24"/>
                <w:szCs w:val="24"/>
              </w:rPr>
              <w:t>中进行如实规范申报，申报数据应与台账、管理计划数据相一致。纳入重点排污单位的涉危企业应每年定期向社会发布企业年度环境报告。</w:t>
            </w:r>
          </w:p>
          <w:p w14:paraId="1E34D667">
            <w:pPr>
              <w:spacing w:line="360" w:lineRule="auto"/>
              <w:ind w:firstLine="480" w:firstLineChars="200"/>
              <w:rPr>
                <w:color w:val="auto"/>
                <w:sz w:val="24"/>
                <w:szCs w:val="24"/>
              </w:rPr>
            </w:pPr>
            <w:r>
              <w:rPr>
                <w:rFonts w:hint="eastAsia"/>
                <w:color w:val="auto"/>
                <w:sz w:val="24"/>
                <w:szCs w:val="24"/>
              </w:rPr>
              <w:t>④危险废物转移</w:t>
            </w:r>
          </w:p>
          <w:p w14:paraId="1B28CE2B">
            <w:pPr>
              <w:spacing w:line="360" w:lineRule="auto"/>
              <w:ind w:firstLine="480" w:firstLineChars="200"/>
              <w:rPr>
                <w:color w:val="auto"/>
                <w:sz w:val="24"/>
                <w:szCs w:val="24"/>
              </w:rPr>
            </w:pPr>
            <w:r>
              <w:rPr>
                <w:rFonts w:hint="eastAsia"/>
                <w:color w:val="auto"/>
                <w:sz w:val="24"/>
                <w:szCs w:val="24"/>
              </w:rPr>
              <w:t>危险废物产生企业在省内转移时要选择有资质并能利用“电子运单管理系统”进行信息对比的危险货物道路运输企业承运危险废物，建立和执行危险废物发货、装载和接收的查验、登记、核准制度。”</w:t>
            </w:r>
          </w:p>
          <w:p w14:paraId="2FBF791C">
            <w:pPr>
              <w:spacing w:line="360" w:lineRule="auto"/>
              <w:ind w:firstLine="480" w:firstLineChars="200"/>
              <w:rPr>
                <w:color w:val="auto"/>
                <w:sz w:val="24"/>
                <w:szCs w:val="24"/>
              </w:rPr>
            </w:pPr>
            <w:r>
              <w:rPr>
                <w:rFonts w:hint="eastAsia"/>
                <w:color w:val="auto"/>
                <w:sz w:val="24"/>
                <w:szCs w:val="24"/>
              </w:rPr>
              <w:t>4.2.2生活垃圾及一般工业固废污染防治措施</w:t>
            </w:r>
          </w:p>
          <w:p w14:paraId="090694A8">
            <w:pPr>
              <w:spacing w:line="360" w:lineRule="auto"/>
              <w:ind w:firstLine="480" w:firstLineChars="200"/>
              <w:rPr>
                <w:color w:val="auto"/>
                <w:sz w:val="24"/>
                <w:szCs w:val="24"/>
              </w:rPr>
            </w:pPr>
            <w:r>
              <w:rPr>
                <w:rFonts w:hint="eastAsia"/>
                <w:color w:val="auto"/>
                <w:sz w:val="24"/>
                <w:szCs w:val="24"/>
              </w:rPr>
              <w:t>“生活垃圾经收集后由环卫部门每天清运、处置；厨余垃圾由有资质餐厨垃圾单位处理。</w:t>
            </w:r>
          </w:p>
          <w:p w14:paraId="0BA90EE9">
            <w:pPr>
              <w:spacing w:line="360" w:lineRule="auto"/>
              <w:ind w:firstLine="480" w:firstLineChars="200"/>
              <w:rPr>
                <w:color w:val="auto"/>
                <w:sz w:val="24"/>
                <w:szCs w:val="24"/>
              </w:rPr>
            </w:pPr>
            <w:r>
              <w:rPr>
                <w:rFonts w:hint="eastAsia"/>
                <w:color w:val="auto"/>
                <w:sz w:val="24"/>
                <w:szCs w:val="24"/>
              </w:rPr>
              <w:t>4.</w:t>
            </w:r>
            <w:r>
              <w:rPr>
                <w:color w:val="auto"/>
                <w:sz w:val="24"/>
                <w:szCs w:val="24"/>
              </w:rPr>
              <w:t>3</w:t>
            </w:r>
            <w:r>
              <w:rPr>
                <w:rFonts w:hint="eastAsia"/>
                <w:color w:val="auto"/>
                <w:sz w:val="24"/>
                <w:szCs w:val="24"/>
              </w:rPr>
              <w:t>环境影响分析</w:t>
            </w:r>
          </w:p>
          <w:p w14:paraId="092FEF06">
            <w:pPr>
              <w:spacing w:line="360" w:lineRule="auto"/>
              <w:ind w:firstLine="480" w:firstLineChars="200"/>
              <w:rPr>
                <w:color w:val="auto"/>
                <w:sz w:val="24"/>
                <w:szCs w:val="24"/>
              </w:rPr>
            </w:pPr>
            <w:r>
              <w:rPr>
                <w:rFonts w:hint="eastAsia"/>
                <w:color w:val="auto"/>
                <w:sz w:val="24"/>
                <w:szCs w:val="24"/>
              </w:rPr>
              <w:t>本项目生产过程产生的一般固废在厂区内暂存后外售综合利用或综合处理，危险废物在厂区内按照规范暂存，定期委托有资质单位处置。在严格按照《危险废物贮存污染控制标准》（</w:t>
            </w:r>
            <w:r>
              <w:rPr>
                <w:color w:val="auto"/>
                <w:sz w:val="24"/>
                <w:szCs w:val="24"/>
              </w:rPr>
              <w:t>GB18597-2023</w:t>
            </w:r>
            <w:r>
              <w:rPr>
                <w:rFonts w:hint="eastAsia"/>
                <w:color w:val="auto"/>
                <w:sz w:val="24"/>
                <w:szCs w:val="24"/>
              </w:rPr>
              <w:t>）、《省生态环境厅关于印发</w:t>
            </w:r>
            <w:r>
              <w:rPr>
                <w:color w:val="auto"/>
                <w:sz w:val="24"/>
                <w:szCs w:val="24"/>
              </w:rPr>
              <w:t>&lt;</w:t>
            </w:r>
            <w:r>
              <w:rPr>
                <w:rFonts w:hint="eastAsia"/>
                <w:color w:val="auto"/>
                <w:sz w:val="24"/>
                <w:szCs w:val="24"/>
              </w:rPr>
              <w:t>江苏省固体废物全过程环境监管工作意见</w:t>
            </w:r>
            <w:r>
              <w:rPr>
                <w:color w:val="auto"/>
                <w:sz w:val="24"/>
                <w:szCs w:val="24"/>
              </w:rPr>
              <w:t>&gt;</w:t>
            </w:r>
            <w:r>
              <w:rPr>
                <w:rFonts w:hint="eastAsia"/>
                <w:color w:val="auto"/>
                <w:sz w:val="24"/>
                <w:szCs w:val="24"/>
              </w:rPr>
              <w:t>的通知》（苏环办〔</w:t>
            </w:r>
            <w:r>
              <w:rPr>
                <w:color w:val="auto"/>
                <w:sz w:val="24"/>
                <w:szCs w:val="24"/>
              </w:rPr>
              <w:t>2024</w:t>
            </w:r>
            <w:r>
              <w:rPr>
                <w:rFonts w:hint="eastAsia"/>
                <w:color w:val="auto"/>
                <w:sz w:val="24"/>
                <w:szCs w:val="24"/>
              </w:rPr>
              <w:t>〕</w:t>
            </w:r>
            <w:r>
              <w:rPr>
                <w:color w:val="auto"/>
                <w:sz w:val="24"/>
                <w:szCs w:val="24"/>
              </w:rPr>
              <w:t>16</w:t>
            </w:r>
            <w:r>
              <w:rPr>
                <w:rFonts w:hint="eastAsia"/>
                <w:color w:val="auto"/>
                <w:sz w:val="24"/>
                <w:szCs w:val="24"/>
              </w:rPr>
              <w:t>号）和《省生态环境厅关于进一步加强危险废物环境管理工作的通知》（苏环办〔</w:t>
            </w:r>
            <w:r>
              <w:rPr>
                <w:color w:val="auto"/>
                <w:sz w:val="24"/>
                <w:szCs w:val="24"/>
              </w:rPr>
              <w:t>2021</w:t>
            </w:r>
            <w:r>
              <w:rPr>
                <w:rFonts w:hint="eastAsia"/>
                <w:color w:val="auto"/>
                <w:sz w:val="24"/>
                <w:szCs w:val="24"/>
              </w:rPr>
              <w:t>〕</w:t>
            </w:r>
            <w:r>
              <w:rPr>
                <w:color w:val="auto"/>
                <w:sz w:val="24"/>
                <w:szCs w:val="24"/>
              </w:rPr>
              <w:t>207</w:t>
            </w:r>
            <w:r>
              <w:rPr>
                <w:rFonts w:hint="eastAsia"/>
                <w:color w:val="auto"/>
                <w:sz w:val="24"/>
                <w:szCs w:val="24"/>
              </w:rPr>
              <w:t>号）要求设置危废仓库、进行危废管理的前提下，本项目固体废物对周边环境影响不大，企业拟采取的固体废物防治措施具有可行性。</w:t>
            </w:r>
          </w:p>
          <w:p w14:paraId="631BDF9B">
            <w:pPr>
              <w:spacing w:line="360" w:lineRule="auto"/>
              <w:ind w:firstLine="480" w:firstLineChars="200"/>
              <w:rPr>
                <w:color w:val="auto"/>
                <w:sz w:val="24"/>
              </w:rPr>
            </w:pPr>
            <w:r>
              <w:rPr>
                <w:color w:val="auto"/>
                <w:sz w:val="24"/>
              </w:rPr>
              <w:t>五、地下水、土壤</w:t>
            </w:r>
          </w:p>
          <w:p w14:paraId="2E7E85F1">
            <w:pPr>
              <w:ind w:firstLine="480" w:firstLineChars="200"/>
              <w:jc w:val="left"/>
              <w:rPr>
                <w:b/>
                <w:bCs/>
                <w:color w:val="auto"/>
                <w:sz w:val="24"/>
                <w:szCs w:val="24"/>
              </w:rPr>
            </w:pPr>
            <w:r>
              <w:rPr>
                <w:rFonts w:hint="eastAsia"/>
                <w:color w:val="auto"/>
                <w:sz w:val="24"/>
                <w:szCs w:val="24"/>
              </w:rPr>
              <w:t>5.1影响识别</w:t>
            </w:r>
          </w:p>
          <w:p w14:paraId="238DB46D">
            <w:pPr>
              <w:jc w:val="center"/>
              <w:rPr>
                <w:b/>
                <w:bCs/>
                <w:color w:val="auto"/>
                <w:sz w:val="24"/>
                <w:szCs w:val="24"/>
              </w:rPr>
            </w:pPr>
            <w:r>
              <w:rPr>
                <w:rFonts w:hint="eastAsia"/>
                <w:b/>
                <w:bCs/>
                <w:color w:val="auto"/>
                <w:sz w:val="24"/>
                <w:szCs w:val="24"/>
              </w:rPr>
              <w:t>表4-28  土壤环境影响类型及途径</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008"/>
              <w:gridCol w:w="1008"/>
              <w:gridCol w:w="1008"/>
              <w:gridCol w:w="1008"/>
              <w:gridCol w:w="1008"/>
              <w:gridCol w:w="1008"/>
              <w:gridCol w:w="1008"/>
              <w:gridCol w:w="1008"/>
            </w:tblGrid>
            <w:tr w14:paraId="5B5E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dxa"/>
                  <w:vMerge w:val="restart"/>
                  <w:vAlign w:val="center"/>
                </w:tcPr>
                <w:p w14:paraId="6BBFDF2C">
                  <w:pPr>
                    <w:jc w:val="center"/>
                    <w:rPr>
                      <w:b/>
                      <w:bCs/>
                      <w:color w:val="auto"/>
                      <w:kern w:val="0"/>
                    </w:rPr>
                  </w:pPr>
                  <w:r>
                    <w:rPr>
                      <w:rFonts w:hint="eastAsia"/>
                      <w:b/>
                      <w:bCs/>
                      <w:color w:val="auto"/>
                      <w:kern w:val="0"/>
                    </w:rPr>
                    <w:t>不同时段</w:t>
                  </w:r>
                </w:p>
              </w:tc>
              <w:tc>
                <w:tcPr>
                  <w:tcW w:w="5640" w:type="dxa"/>
                  <w:gridSpan w:val="4"/>
                  <w:vAlign w:val="center"/>
                </w:tcPr>
                <w:p w14:paraId="57B46E2A">
                  <w:pPr>
                    <w:jc w:val="center"/>
                    <w:rPr>
                      <w:b/>
                      <w:bCs/>
                      <w:color w:val="auto"/>
                      <w:kern w:val="0"/>
                    </w:rPr>
                  </w:pPr>
                  <w:r>
                    <w:rPr>
                      <w:rFonts w:hint="eastAsia"/>
                      <w:b/>
                      <w:bCs/>
                      <w:color w:val="auto"/>
                      <w:kern w:val="0"/>
                    </w:rPr>
                    <w:t>污染影响型</w:t>
                  </w:r>
                </w:p>
              </w:tc>
              <w:tc>
                <w:tcPr>
                  <w:tcW w:w="5644" w:type="dxa"/>
                  <w:gridSpan w:val="4"/>
                  <w:vAlign w:val="center"/>
                </w:tcPr>
                <w:p w14:paraId="7857C2D2">
                  <w:pPr>
                    <w:jc w:val="center"/>
                    <w:rPr>
                      <w:b/>
                      <w:bCs/>
                      <w:color w:val="auto"/>
                      <w:kern w:val="0"/>
                    </w:rPr>
                  </w:pPr>
                  <w:r>
                    <w:rPr>
                      <w:rFonts w:hint="eastAsia"/>
                      <w:b/>
                      <w:bCs/>
                      <w:color w:val="auto"/>
                      <w:kern w:val="0"/>
                    </w:rPr>
                    <w:t>生态影响型</w:t>
                  </w:r>
                </w:p>
              </w:tc>
            </w:tr>
            <w:tr w14:paraId="5684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dxa"/>
                  <w:vMerge w:val="continue"/>
                  <w:vAlign w:val="center"/>
                </w:tcPr>
                <w:p w14:paraId="034459A8">
                  <w:pPr>
                    <w:jc w:val="center"/>
                    <w:rPr>
                      <w:b/>
                      <w:bCs/>
                      <w:color w:val="auto"/>
                      <w:kern w:val="0"/>
                    </w:rPr>
                  </w:pPr>
                </w:p>
              </w:tc>
              <w:tc>
                <w:tcPr>
                  <w:tcW w:w="1410" w:type="dxa"/>
                  <w:vAlign w:val="center"/>
                </w:tcPr>
                <w:p w14:paraId="3A1C6CAB">
                  <w:pPr>
                    <w:jc w:val="center"/>
                    <w:rPr>
                      <w:b/>
                      <w:bCs/>
                      <w:color w:val="auto"/>
                      <w:kern w:val="0"/>
                    </w:rPr>
                  </w:pPr>
                  <w:r>
                    <w:rPr>
                      <w:rFonts w:hint="eastAsia"/>
                      <w:b/>
                      <w:bCs/>
                      <w:color w:val="auto"/>
                      <w:kern w:val="0"/>
                    </w:rPr>
                    <w:t>大气沉降</w:t>
                  </w:r>
                </w:p>
              </w:tc>
              <w:tc>
                <w:tcPr>
                  <w:tcW w:w="1410" w:type="dxa"/>
                  <w:vAlign w:val="center"/>
                </w:tcPr>
                <w:p w14:paraId="1ADB1AE2">
                  <w:pPr>
                    <w:jc w:val="center"/>
                    <w:rPr>
                      <w:b/>
                      <w:bCs/>
                      <w:color w:val="auto"/>
                      <w:kern w:val="0"/>
                    </w:rPr>
                  </w:pPr>
                  <w:r>
                    <w:rPr>
                      <w:rFonts w:hint="eastAsia"/>
                      <w:b/>
                      <w:bCs/>
                      <w:color w:val="auto"/>
                      <w:kern w:val="0"/>
                    </w:rPr>
                    <w:t>地面漫流</w:t>
                  </w:r>
                </w:p>
              </w:tc>
              <w:tc>
                <w:tcPr>
                  <w:tcW w:w="1410" w:type="dxa"/>
                  <w:vAlign w:val="center"/>
                </w:tcPr>
                <w:p w14:paraId="04FF3200">
                  <w:pPr>
                    <w:jc w:val="center"/>
                    <w:rPr>
                      <w:b/>
                      <w:bCs/>
                      <w:color w:val="auto"/>
                      <w:kern w:val="0"/>
                    </w:rPr>
                  </w:pPr>
                  <w:r>
                    <w:rPr>
                      <w:rFonts w:hint="eastAsia"/>
                      <w:b/>
                      <w:bCs/>
                      <w:color w:val="auto"/>
                      <w:kern w:val="0"/>
                    </w:rPr>
                    <w:t>垂直入渗</w:t>
                  </w:r>
                </w:p>
              </w:tc>
              <w:tc>
                <w:tcPr>
                  <w:tcW w:w="1410" w:type="dxa"/>
                  <w:vAlign w:val="center"/>
                </w:tcPr>
                <w:p w14:paraId="01C1A405">
                  <w:pPr>
                    <w:jc w:val="center"/>
                    <w:rPr>
                      <w:b/>
                      <w:bCs/>
                      <w:color w:val="auto"/>
                      <w:kern w:val="0"/>
                    </w:rPr>
                  </w:pPr>
                  <w:r>
                    <w:rPr>
                      <w:rFonts w:hint="eastAsia"/>
                      <w:b/>
                      <w:bCs/>
                      <w:color w:val="auto"/>
                      <w:kern w:val="0"/>
                    </w:rPr>
                    <w:t>其他</w:t>
                  </w:r>
                </w:p>
              </w:tc>
              <w:tc>
                <w:tcPr>
                  <w:tcW w:w="1411" w:type="dxa"/>
                  <w:vAlign w:val="center"/>
                </w:tcPr>
                <w:p w14:paraId="5BEDBE1E">
                  <w:pPr>
                    <w:jc w:val="center"/>
                    <w:rPr>
                      <w:b/>
                      <w:bCs/>
                      <w:color w:val="auto"/>
                      <w:kern w:val="0"/>
                    </w:rPr>
                  </w:pPr>
                  <w:r>
                    <w:rPr>
                      <w:rFonts w:hint="eastAsia"/>
                      <w:b/>
                      <w:bCs/>
                      <w:color w:val="auto"/>
                      <w:kern w:val="0"/>
                    </w:rPr>
                    <w:t>盐化</w:t>
                  </w:r>
                </w:p>
              </w:tc>
              <w:tc>
                <w:tcPr>
                  <w:tcW w:w="1411" w:type="dxa"/>
                  <w:vAlign w:val="center"/>
                </w:tcPr>
                <w:p w14:paraId="5D73D7C3">
                  <w:pPr>
                    <w:jc w:val="center"/>
                    <w:rPr>
                      <w:b/>
                      <w:bCs/>
                      <w:color w:val="auto"/>
                      <w:kern w:val="0"/>
                    </w:rPr>
                  </w:pPr>
                  <w:r>
                    <w:rPr>
                      <w:rFonts w:hint="eastAsia"/>
                      <w:b/>
                      <w:bCs/>
                      <w:color w:val="auto"/>
                      <w:kern w:val="0"/>
                    </w:rPr>
                    <w:t>酸化</w:t>
                  </w:r>
                </w:p>
              </w:tc>
              <w:tc>
                <w:tcPr>
                  <w:tcW w:w="1411" w:type="dxa"/>
                  <w:vAlign w:val="center"/>
                </w:tcPr>
                <w:p w14:paraId="364153BE">
                  <w:pPr>
                    <w:jc w:val="center"/>
                    <w:rPr>
                      <w:b/>
                      <w:bCs/>
                      <w:color w:val="auto"/>
                      <w:kern w:val="0"/>
                    </w:rPr>
                  </w:pPr>
                  <w:r>
                    <w:rPr>
                      <w:rFonts w:hint="eastAsia"/>
                      <w:b/>
                      <w:bCs/>
                      <w:color w:val="auto"/>
                      <w:kern w:val="0"/>
                    </w:rPr>
                    <w:t>碱化</w:t>
                  </w:r>
                </w:p>
              </w:tc>
              <w:tc>
                <w:tcPr>
                  <w:tcW w:w="1411" w:type="dxa"/>
                  <w:vAlign w:val="center"/>
                </w:tcPr>
                <w:p w14:paraId="22AE4EA5">
                  <w:pPr>
                    <w:jc w:val="center"/>
                    <w:rPr>
                      <w:b/>
                      <w:bCs/>
                      <w:color w:val="auto"/>
                      <w:kern w:val="0"/>
                    </w:rPr>
                  </w:pPr>
                  <w:r>
                    <w:rPr>
                      <w:rFonts w:hint="eastAsia"/>
                      <w:b/>
                      <w:bCs/>
                      <w:color w:val="auto"/>
                      <w:kern w:val="0"/>
                    </w:rPr>
                    <w:t>其他</w:t>
                  </w:r>
                </w:p>
              </w:tc>
            </w:tr>
            <w:tr w14:paraId="77C8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dxa"/>
                </w:tcPr>
                <w:p w14:paraId="07D0C014">
                  <w:pPr>
                    <w:jc w:val="center"/>
                    <w:rPr>
                      <w:color w:val="auto"/>
                      <w:kern w:val="0"/>
                    </w:rPr>
                  </w:pPr>
                  <w:r>
                    <w:rPr>
                      <w:rFonts w:hint="eastAsia"/>
                      <w:color w:val="auto"/>
                      <w:kern w:val="0"/>
                    </w:rPr>
                    <w:t>建设期</w:t>
                  </w:r>
                </w:p>
              </w:tc>
              <w:tc>
                <w:tcPr>
                  <w:tcW w:w="1410" w:type="dxa"/>
                  <w:vAlign w:val="center"/>
                </w:tcPr>
                <w:p w14:paraId="4B0CD612">
                  <w:pPr>
                    <w:jc w:val="center"/>
                    <w:rPr>
                      <w:color w:val="auto"/>
                      <w:kern w:val="0"/>
                    </w:rPr>
                  </w:pPr>
                  <w:r>
                    <w:rPr>
                      <w:rFonts w:hint="eastAsia"/>
                      <w:color w:val="auto"/>
                      <w:kern w:val="0"/>
                    </w:rPr>
                    <w:t>√</w:t>
                  </w:r>
                </w:p>
              </w:tc>
              <w:tc>
                <w:tcPr>
                  <w:tcW w:w="1410" w:type="dxa"/>
                  <w:vAlign w:val="center"/>
                </w:tcPr>
                <w:p w14:paraId="56BD97F5">
                  <w:pPr>
                    <w:jc w:val="center"/>
                    <w:rPr>
                      <w:color w:val="auto"/>
                      <w:kern w:val="0"/>
                    </w:rPr>
                  </w:pPr>
                  <w:r>
                    <w:rPr>
                      <w:rFonts w:hint="eastAsia"/>
                      <w:color w:val="auto"/>
                      <w:kern w:val="0"/>
                    </w:rPr>
                    <w:t>√</w:t>
                  </w:r>
                </w:p>
              </w:tc>
              <w:tc>
                <w:tcPr>
                  <w:tcW w:w="1410" w:type="dxa"/>
                  <w:vAlign w:val="center"/>
                </w:tcPr>
                <w:p w14:paraId="6B2179E8">
                  <w:pPr>
                    <w:jc w:val="center"/>
                    <w:rPr>
                      <w:color w:val="auto"/>
                      <w:kern w:val="0"/>
                    </w:rPr>
                  </w:pPr>
                  <w:r>
                    <w:rPr>
                      <w:rFonts w:hint="eastAsia"/>
                      <w:color w:val="auto"/>
                      <w:kern w:val="0"/>
                    </w:rPr>
                    <w:t>√</w:t>
                  </w:r>
                </w:p>
              </w:tc>
              <w:tc>
                <w:tcPr>
                  <w:tcW w:w="1410" w:type="dxa"/>
                  <w:vAlign w:val="center"/>
                </w:tcPr>
                <w:p w14:paraId="7AFE3362">
                  <w:pPr>
                    <w:jc w:val="center"/>
                    <w:rPr>
                      <w:color w:val="auto"/>
                      <w:kern w:val="0"/>
                    </w:rPr>
                  </w:pPr>
                  <w:r>
                    <w:rPr>
                      <w:rFonts w:hint="eastAsia"/>
                      <w:color w:val="auto"/>
                      <w:kern w:val="0"/>
                    </w:rPr>
                    <w:t>×</w:t>
                  </w:r>
                </w:p>
              </w:tc>
              <w:tc>
                <w:tcPr>
                  <w:tcW w:w="1411" w:type="dxa"/>
                  <w:vAlign w:val="center"/>
                </w:tcPr>
                <w:p w14:paraId="14F39935">
                  <w:pPr>
                    <w:jc w:val="center"/>
                    <w:rPr>
                      <w:color w:val="auto"/>
                      <w:kern w:val="0"/>
                    </w:rPr>
                  </w:pPr>
                  <w:r>
                    <w:rPr>
                      <w:rFonts w:hint="eastAsia"/>
                      <w:color w:val="auto"/>
                      <w:kern w:val="0"/>
                    </w:rPr>
                    <w:t>×</w:t>
                  </w:r>
                </w:p>
              </w:tc>
              <w:tc>
                <w:tcPr>
                  <w:tcW w:w="1411" w:type="dxa"/>
                  <w:vAlign w:val="center"/>
                </w:tcPr>
                <w:p w14:paraId="2F998113">
                  <w:pPr>
                    <w:jc w:val="center"/>
                    <w:rPr>
                      <w:color w:val="auto"/>
                      <w:kern w:val="0"/>
                    </w:rPr>
                  </w:pPr>
                  <w:r>
                    <w:rPr>
                      <w:rFonts w:hint="eastAsia"/>
                      <w:color w:val="auto"/>
                      <w:kern w:val="0"/>
                    </w:rPr>
                    <w:t>×</w:t>
                  </w:r>
                </w:p>
              </w:tc>
              <w:tc>
                <w:tcPr>
                  <w:tcW w:w="1411" w:type="dxa"/>
                  <w:vAlign w:val="center"/>
                </w:tcPr>
                <w:p w14:paraId="01D48BE3">
                  <w:pPr>
                    <w:jc w:val="center"/>
                    <w:rPr>
                      <w:color w:val="auto"/>
                      <w:kern w:val="0"/>
                    </w:rPr>
                  </w:pPr>
                  <w:r>
                    <w:rPr>
                      <w:rFonts w:hint="eastAsia"/>
                      <w:color w:val="auto"/>
                      <w:kern w:val="0"/>
                    </w:rPr>
                    <w:t>×</w:t>
                  </w:r>
                </w:p>
              </w:tc>
              <w:tc>
                <w:tcPr>
                  <w:tcW w:w="1411" w:type="dxa"/>
                  <w:vAlign w:val="center"/>
                </w:tcPr>
                <w:p w14:paraId="390CE3BB">
                  <w:pPr>
                    <w:jc w:val="center"/>
                    <w:rPr>
                      <w:color w:val="auto"/>
                      <w:kern w:val="0"/>
                    </w:rPr>
                  </w:pPr>
                  <w:r>
                    <w:rPr>
                      <w:rFonts w:hint="eastAsia"/>
                      <w:color w:val="auto"/>
                      <w:kern w:val="0"/>
                    </w:rPr>
                    <w:t>×</w:t>
                  </w:r>
                </w:p>
              </w:tc>
            </w:tr>
            <w:tr w14:paraId="2A9B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dxa"/>
                </w:tcPr>
                <w:p w14:paraId="09E7CA5D">
                  <w:pPr>
                    <w:jc w:val="center"/>
                    <w:rPr>
                      <w:color w:val="auto"/>
                      <w:kern w:val="0"/>
                    </w:rPr>
                  </w:pPr>
                  <w:r>
                    <w:rPr>
                      <w:rFonts w:hint="eastAsia"/>
                      <w:color w:val="auto"/>
                      <w:kern w:val="0"/>
                    </w:rPr>
                    <w:t>运营期</w:t>
                  </w:r>
                </w:p>
              </w:tc>
              <w:tc>
                <w:tcPr>
                  <w:tcW w:w="1410" w:type="dxa"/>
                  <w:vAlign w:val="center"/>
                </w:tcPr>
                <w:p w14:paraId="272580A1">
                  <w:pPr>
                    <w:jc w:val="center"/>
                    <w:rPr>
                      <w:color w:val="auto"/>
                      <w:kern w:val="0"/>
                    </w:rPr>
                  </w:pPr>
                  <w:r>
                    <w:rPr>
                      <w:rFonts w:hint="eastAsia"/>
                      <w:color w:val="auto"/>
                      <w:kern w:val="0"/>
                    </w:rPr>
                    <w:t>√</w:t>
                  </w:r>
                </w:p>
              </w:tc>
              <w:tc>
                <w:tcPr>
                  <w:tcW w:w="1410" w:type="dxa"/>
                  <w:vAlign w:val="center"/>
                </w:tcPr>
                <w:p w14:paraId="6AA581CD">
                  <w:pPr>
                    <w:jc w:val="center"/>
                    <w:rPr>
                      <w:color w:val="auto"/>
                      <w:kern w:val="0"/>
                    </w:rPr>
                  </w:pPr>
                  <w:r>
                    <w:rPr>
                      <w:rFonts w:hint="eastAsia"/>
                      <w:color w:val="auto"/>
                      <w:kern w:val="0"/>
                    </w:rPr>
                    <w:t>√</w:t>
                  </w:r>
                </w:p>
              </w:tc>
              <w:tc>
                <w:tcPr>
                  <w:tcW w:w="1410" w:type="dxa"/>
                  <w:vAlign w:val="center"/>
                </w:tcPr>
                <w:p w14:paraId="2FFE941F">
                  <w:pPr>
                    <w:jc w:val="center"/>
                    <w:rPr>
                      <w:color w:val="auto"/>
                      <w:kern w:val="0"/>
                    </w:rPr>
                  </w:pPr>
                  <w:r>
                    <w:rPr>
                      <w:rFonts w:hint="eastAsia"/>
                      <w:color w:val="auto"/>
                      <w:kern w:val="0"/>
                    </w:rPr>
                    <w:t>√</w:t>
                  </w:r>
                </w:p>
              </w:tc>
              <w:tc>
                <w:tcPr>
                  <w:tcW w:w="1410" w:type="dxa"/>
                  <w:vAlign w:val="center"/>
                </w:tcPr>
                <w:p w14:paraId="3B383A79">
                  <w:pPr>
                    <w:jc w:val="center"/>
                    <w:rPr>
                      <w:color w:val="auto"/>
                      <w:kern w:val="0"/>
                    </w:rPr>
                  </w:pPr>
                  <w:r>
                    <w:rPr>
                      <w:rFonts w:hint="eastAsia"/>
                      <w:color w:val="auto"/>
                      <w:kern w:val="0"/>
                    </w:rPr>
                    <w:t>×</w:t>
                  </w:r>
                </w:p>
              </w:tc>
              <w:tc>
                <w:tcPr>
                  <w:tcW w:w="1411" w:type="dxa"/>
                  <w:vAlign w:val="center"/>
                </w:tcPr>
                <w:p w14:paraId="1F74D6A7">
                  <w:pPr>
                    <w:jc w:val="center"/>
                    <w:rPr>
                      <w:color w:val="auto"/>
                      <w:kern w:val="0"/>
                    </w:rPr>
                  </w:pPr>
                  <w:r>
                    <w:rPr>
                      <w:rFonts w:hint="eastAsia"/>
                      <w:color w:val="auto"/>
                      <w:kern w:val="0"/>
                    </w:rPr>
                    <w:t>×</w:t>
                  </w:r>
                </w:p>
              </w:tc>
              <w:tc>
                <w:tcPr>
                  <w:tcW w:w="1411" w:type="dxa"/>
                  <w:vAlign w:val="center"/>
                </w:tcPr>
                <w:p w14:paraId="6BC5A5B2">
                  <w:pPr>
                    <w:jc w:val="center"/>
                    <w:rPr>
                      <w:color w:val="auto"/>
                      <w:kern w:val="0"/>
                    </w:rPr>
                  </w:pPr>
                  <w:r>
                    <w:rPr>
                      <w:rFonts w:hint="eastAsia"/>
                      <w:color w:val="auto"/>
                      <w:kern w:val="0"/>
                    </w:rPr>
                    <w:t>×</w:t>
                  </w:r>
                </w:p>
              </w:tc>
              <w:tc>
                <w:tcPr>
                  <w:tcW w:w="1411" w:type="dxa"/>
                  <w:vAlign w:val="center"/>
                </w:tcPr>
                <w:p w14:paraId="1815FD46">
                  <w:pPr>
                    <w:jc w:val="center"/>
                    <w:rPr>
                      <w:color w:val="auto"/>
                      <w:kern w:val="0"/>
                    </w:rPr>
                  </w:pPr>
                  <w:r>
                    <w:rPr>
                      <w:rFonts w:hint="eastAsia"/>
                      <w:color w:val="auto"/>
                      <w:kern w:val="0"/>
                    </w:rPr>
                    <w:t>×</w:t>
                  </w:r>
                </w:p>
              </w:tc>
              <w:tc>
                <w:tcPr>
                  <w:tcW w:w="1411" w:type="dxa"/>
                  <w:vAlign w:val="center"/>
                </w:tcPr>
                <w:p w14:paraId="31EF0699">
                  <w:pPr>
                    <w:jc w:val="center"/>
                    <w:rPr>
                      <w:color w:val="auto"/>
                      <w:kern w:val="0"/>
                    </w:rPr>
                  </w:pPr>
                  <w:r>
                    <w:rPr>
                      <w:rFonts w:hint="eastAsia"/>
                      <w:color w:val="auto"/>
                      <w:kern w:val="0"/>
                    </w:rPr>
                    <w:t>×</w:t>
                  </w:r>
                </w:p>
              </w:tc>
            </w:tr>
            <w:tr w14:paraId="0E0F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dxa"/>
                </w:tcPr>
                <w:p w14:paraId="691E9071">
                  <w:pPr>
                    <w:jc w:val="center"/>
                    <w:rPr>
                      <w:color w:val="auto"/>
                      <w:kern w:val="0"/>
                    </w:rPr>
                  </w:pPr>
                  <w:r>
                    <w:rPr>
                      <w:rFonts w:hint="eastAsia"/>
                      <w:color w:val="auto"/>
                      <w:kern w:val="0"/>
                    </w:rPr>
                    <w:t>服务期满</w:t>
                  </w:r>
                </w:p>
              </w:tc>
              <w:tc>
                <w:tcPr>
                  <w:tcW w:w="1410" w:type="dxa"/>
                  <w:vAlign w:val="center"/>
                </w:tcPr>
                <w:p w14:paraId="523B6B96">
                  <w:pPr>
                    <w:jc w:val="center"/>
                    <w:rPr>
                      <w:color w:val="auto"/>
                      <w:kern w:val="0"/>
                    </w:rPr>
                  </w:pPr>
                  <w:r>
                    <w:rPr>
                      <w:rFonts w:hint="eastAsia"/>
                      <w:color w:val="auto"/>
                      <w:kern w:val="0"/>
                    </w:rPr>
                    <w:t>×</w:t>
                  </w:r>
                </w:p>
              </w:tc>
              <w:tc>
                <w:tcPr>
                  <w:tcW w:w="1410" w:type="dxa"/>
                  <w:vAlign w:val="center"/>
                </w:tcPr>
                <w:p w14:paraId="744B2827">
                  <w:pPr>
                    <w:jc w:val="center"/>
                    <w:rPr>
                      <w:color w:val="auto"/>
                      <w:kern w:val="0"/>
                    </w:rPr>
                  </w:pPr>
                  <w:r>
                    <w:rPr>
                      <w:rFonts w:hint="eastAsia"/>
                      <w:color w:val="auto"/>
                      <w:kern w:val="0"/>
                    </w:rPr>
                    <w:t>×</w:t>
                  </w:r>
                </w:p>
              </w:tc>
              <w:tc>
                <w:tcPr>
                  <w:tcW w:w="1410" w:type="dxa"/>
                  <w:vAlign w:val="center"/>
                </w:tcPr>
                <w:p w14:paraId="0F2C2B68">
                  <w:pPr>
                    <w:jc w:val="center"/>
                    <w:rPr>
                      <w:color w:val="auto"/>
                      <w:kern w:val="0"/>
                    </w:rPr>
                  </w:pPr>
                  <w:r>
                    <w:rPr>
                      <w:rFonts w:hint="eastAsia"/>
                      <w:color w:val="auto"/>
                      <w:kern w:val="0"/>
                    </w:rPr>
                    <w:t>×</w:t>
                  </w:r>
                </w:p>
              </w:tc>
              <w:tc>
                <w:tcPr>
                  <w:tcW w:w="1410" w:type="dxa"/>
                  <w:vAlign w:val="center"/>
                </w:tcPr>
                <w:p w14:paraId="41638CC9">
                  <w:pPr>
                    <w:jc w:val="center"/>
                    <w:rPr>
                      <w:color w:val="auto"/>
                      <w:kern w:val="0"/>
                    </w:rPr>
                  </w:pPr>
                  <w:r>
                    <w:rPr>
                      <w:rFonts w:hint="eastAsia"/>
                      <w:color w:val="auto"/>
                      <w:kern w:val="0"/>
                    </w:rPr>
                    <w:t>×</w:t>
                  </w:r>
                </w:p>
              </w:tc>
              <w:tc>
                <w:tcPr>
                  <w:tcW w:w="1411" w:type="dxa"/>
                  <w:vAlign w:val="center"/>
                </w:tcPr>
                <w:p w14:paraId="7C4FF4C8">
                  <w:pPr>
                    <w:jc w:val="center"/>
                    <w:rPr>
                      <w:color w:val="auto"/>
                      <w:kern w:val="0"/>
                    </w:rPr>
                  </w:pPr>
                  <w:r>
                    <w:rPr>
                      <w:rFonts w:hint="eastAsia"/>
                      <w:color w:val="auto"/>
                      <w:kern w:val="0"/>
                    </w:rPr>
                    <w:t>×</w:t>
                  </w:r>
                </w:p>
              </w:tc>
              <w:tc>
                <w:tcPr>
                  <w:tcW w:w="1411" w:type="dxa"/>
                  <w:vAlign w:val="center"/>
                </w:tcPr>
                <w:p w14:paraId="4590D4F2">
                  <w:pPr>
                    <w:jc w:val="center"/>
                    <w:rPr>
                      <w:color w:val="auto"/>
                      <w:kern w:val="0"/>
                    </w:rPr>
                  </w:pPr>
                  <w:r>
                    <w:rPr>
                      <w:rFonts w:hint="eastAsia"/>
                      <w:color w:val="auto"/>
                      <w:kern w:val="0"/>
                    </w:rPr>
                    <w:t>×</w:t>
                  </w:r>
                </w:p>
              </w:tc>
              <w:tc>
                <w:tcPr>
                  <w:tcW w:w="1411" w:type="dxa"/>
                  <w:vAlign w:val="center"/>
                </w:tcPr>
                <w:p w14:paraId="5B3C149D">
                  <w:pPr>
                    <w:jc w:val="center"/>
                    <w:rPr>
                      <w:color w:val="auto"/>
                      <w:kern w:val="0"/>
                    </w:rPr>
                  </w:pPr>
                  <w:r>
                    <w:rPr>
                      <w:rFonts w:hint="eastAsia"/>
                      <w:color w:val="auto"/>
                      <w:kern w:val="0"/>
                    </w:rPr>
                    <w:t>×</w:t>
                  </w:r>
                </w:p>
              </w:tc>
              <w:tc>
                <w:tcPr>
                  <w:tcW w:w="1411" w:type="dxa"/>
                  <w:vAlign w:val="center"/>
                </w:tcPr>
                <w:p w14:paraId="01C212E6">
                  <w:pPr>
                    <w:jc w:val="center"/>
                    <w:rPr>
                      <w:color w:val="auto"/>
                      <w:kern w:val="0"/>
                    </w:rPr>
                  </w:pPr>
                  <w:r>
                    <w:rPr>
                      <w:rFonts w:hint="eastAsia"/>
                      <w:color w:val="auto"/>
                      <w:kern w:val="0"/>
                    </w:rPr>
                    <w:t>×</w:t>
                  </w:r>
                </w:p>
              </w:tc>
            </w:tr>
            <w:tr w14:paraId="2612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3" w:type="dxa"/>
                  <w:gridSpan w:val="9"/>
                </w:tcPr>
                <w:p w14:paraId="7564110B">
                  <w:pPr>
                    <w:jc w:val="left"/>
                    <w:rPr>
                      <w:color w:val="auto"/>
                      <w:kern w:val="0"/>
                    </w:rPr>
                  </w:pPr>
                  <w:r>
                    <w:rPr>
                      <w:rFonts w:hint="eastAsia"/>
                      <w:color w:val="auto"/>
                      <w:kern w:val="0"/>
                    </w:rPr>
                    <w:t>备注：可能受影响处打“√”</w:t>
                  </w:r>
                </w:p>
              </w:tc>
            </w:tr>
          </w:tbl>
          <w:p w14:paraId="102F8E41">
            <w:pPr>
              <w:jc w:val="center"/>
              <w:rPr>
                <w:b/>
                <w:bCs/>
                <w:color w:val="auto"/>
                <w:sz w:val="24"/>
                <w:szCs w:val="24"/>
              </w:rPr>
            </w:pPr>
            <w:r>
              <w:rPr>
                <w:rFonts w:hint="eastAsia"/>
                <w:b/>
                <w:bCs/>
                <w:color w:val="auto"/>
                <w:sz w:val="24"/>
                <w:szCs w:val="24"/>
              </w:rPr>
              <w:t>表4-29  土壤环境影响源及影响因子识别表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14"/>
              <w:gridCol w:w="1814"/>
              <w:gridCol w:w="1814"/>
              <w:gridCol w:w="1815"/>
            </w:tblGrid>
            <w:tr w14:paraId="6F45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tcPr>
                <w:p w14:paraId="7D27114E">
                  <w:pPr>
                    <w:jc w:val="center"/>
                    <w:rPr>
                      <w:b/>
                      <w:bCs/>
                      <w:color w:val="auto"/>
                      <w:kern w:val="0"/>
                    </w:rPr>
                  </w:pPr>
                  <w:r>
                    <w:rPr>
                      <w:rFonts w:hint="eastAsia"/>
                      <w:b/>
                      <w:bCs/>
                      <w:color w:val="auto"/>
                      <w:kern w:val="0"/>
                    </w:rPr>
                    <w:t>污染源</w:t>
                  </w:r>
                </w:p>
              </w:tc>
              <w:tc>
                <w:tcPr>
                  <w:tcW w:w="1814" w:type="dxa"/>
                </w:tcPr>
                <w:p w14:paraId="3171C5FB">
                  <w:pPr>
                    <w:jc w:val="center"/>
                    <w:rPr>
                      <w:b/>
                      <w:bCs/>
                      <w:color w:val="auto"/>
                      <w:kern w:val="0"/>
                    </w:rPr>
                  </w:pPr>
                  <w:r>
                    <w:rPr>
                      <w:rFonts w:hint="eastAsia"/>
                      <w:b/>
                      <w:bCs/>
                      <w:color w:val="auto"/>
                      <w:kern w:val="0"/>
                    </w:rPr>
                    <w:t>工艺流程/节点</w:t>
                  </w:r>
                </w:p>
              </w:tc>
              <w:tc>
                <w:tcPr>
                  <w:tcW w:w="1814" w:type="dxa"/>
                </w:tcPr>
                <w:p w14:paraId="1ABC74EC">
                  <w:pPr>
                    <w:jc w:val="center"/>
                    <w:rPr>
                      <w:b/>
                      <w:bCs/>
                      <w:color w:val="auto"/>
                      <w:kern w:val="0"/>
                    </w:rPr>
                  </w:pPr>
                  <w:r>
                    <w:rPr>
                      <w:rFonts w:hint="eastAsia"/>
                      <w:b/>
                      <w:bCs/>
                      <w:color w:val="auto"/>
                      <w:kern w:val="0"/>
                    </w:rPr>
                    <w:t>污染途径</w:t>
                  </w:r>
                </w:p>
              </w:tc>
              <w:tc>
                <w:tcPr>
                  <w:tcW w:w="1814" w:type="dxa"/>
                </w:tcPr>
                <w:p w14:paraId="362879EE">
                  <w:pPr>
                    <w:jc w:val="center"/>
                    <w:rPr>
                      <w:b/>
                      <w:bCs/>
                      <w:color w:val="auto"/>
                      <w:kern w:val="0"/>
                    </w:rPr>
                  </w:pPr>
                  <w:r>
                    <w:rPr>
                      <w:rFonts w:hint="eastAsia"/>
                      <w:b/>
                      <w:bCs/>
                      <w:color w:val="auto"/>
                      <w:kern w:val="0"/>
                    </w:rPr>
                    <w:t>污染物</w:t>
                  </w:r>
                </w:p>
              </w:tc>
              <w:tc>
                <w:tcPr>
                  <w:tcW w:w="1815" w:type="dxa"/>
                </w:tcPr>
                <w:p w14:paraId="0B66200E">
                  <w:pPr>
                    <w:jc w:val="center"/>
                    <w:rPr>
                      <w:rFonts w:ascii="仿宋" w:hAnsi="仿宋" w:eastAsia="仿宋" w:cs="仿宋"/>
                      <w:b/>
                      <w:bCs/>
                      <w:color w:val="auto"/>
                      <w:kern w:val="0"/>
                      <w:sz w:val="18"/>
                      <w:szCs w:val="18"/>
                      <w:lang w:bidi="ar"/>
                    </w:rPr>
                  </w:pPr>
                  <w:r>
                    <w:rPr>
                      <w:rFonts w:hint="eastAsia"/>
                      <w:b/>
                      <w:bCs/>
                      <w:color w:val="auto"/>
                      <w:kern w:val="0"/>
                    </w:rPr>
                    <w:t>备注</w:t>
                  </w:r>
                </w:p>
              </w:tc>
            </w:tr>
            <w:tr w14:paraId="677F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14:paraId="014329CC">
                  <w:pPr>
                    <w:jc w:val="center"/>
                    <w:rPr>
                      <w:color w:val="auto"/>
                      <w:kern w:val="0"/>
                    </w:rPr>
                  </w:pPr>
                  <w:r>
                    <w:rPr>
                      <w:rFonts w:hint="eastAsia"/>
                      <w:color w:val="auto"/>
                      <w:kern w:val="0"/>
                    </w:rPr>
                    <w:t>清洗废气</w:t>
                  </w:r>
                </w:p>
              </w:tc>
              <w:tc>
                <w:tcPr>
                  <w:tcW w:w="1814" w:type="dxa"/>
                  <w:vMerge w:val="restart"/>
                  <w:vAlign w:val="center"/>
                </w:tcPr>
                <w:p w14:paraId="2C12E0F6">
                  <w:pPr>
                    <w:jc w:val="center"/>
                    <w:rPr>
                      <w:color w:val="auto"/>
                      <w:kern w:val="0"/>
                    </w:rPr>
                  </w:pPr>
                  <w:r>
                    <w:rPr>
                      <w:rFonts w:hint="eastAsia"/>
                      <w:color w:val="auto"/>
                      <w:kern w:val="0"/>
                    </w:rPr>
                    <w:t>清洗工段</w:t>
                  </w:r>
                </w:p>
              </w:tc>
              <w:tc>
                <w:tcPr>
                  <w:tcW w:w="1814" w:type="dxa"/>
                  <w:vAlign w:val="center"/>
                </w:tcPr>
                <w:p w14:paraId="6FDE1E0C">
                  <w:pPr>
                    <w:jc w:val="center"/>
                    <w:rPr>
                      <w:color w:val="auto"/>
                      <w:kern w:val="0"/>
                    </w:rPr>
                  </w:pPr>
                  <w:r>
                    <w:rPr>
                      <w:rFonts w:hint="eastAsia"/>
                      <w:color w:val="auto"/>
                      <w:kern w:val="0"/>
                    </w:rPr>
                    <w:t>大气沉降</w:t>
                  </w:r>
                </w:p>
              </w:tc>
              <w:tc>
                <w:tcPr>
                  <w:tcW w:w="1814" w:type="dxa"/>
                  <w:vAlign w:val="center"/>
                </w:tcPr>
                <w:p w14:paraId="7422893B">
                  <w:pPr>
                    <w:jc w:val="center"/>
                    <w:rPr>
                      <w:color w:val="auto"/>
                      <w:kern w:val="0"/>
                    </w:rPr>
                  </w:pPr>
                  <w:r>
                    <w:rPr>
                      <w:rFonts w:hint="eastAsia"/>
                      <w:color w:val="auto"/>
                      <w:kern w:val="0"/>
                    </w:rPr>
                    <w:t>非甲烷总烃</w:t>
                  </w:r>
                </w:p>
              </w:tc>
              <w:tc>
                <w:tcPr>
                  <w:tcW w:w="1815" w:type="dxa"/>
                  <w:vAlign w:val="center"/>
                </w:tcPr>
                <w:p w14:paraId="19021DB1">
                  <w:pPr>
                    <w:jc w:val="center"/>
                    <w:rPr>
                      <w:color w:val="auto"/>
                      <w:kern w:val="0"/>
                    </w:rPr>
                  </w:pPr>
                  <w:r>
                    <w:rPr>
                      <w:rFonts w:hint="eastAsia"/>
                      <w:color w:val="auto"/>
                      <w:kern w:val="0"/>
                    </w:rPr>
                    <w:t>废气</w:t>
                  </w:r>
                  <w:r>
                    <w:rPr>
                      <w:rFonts w:hint="eastAsia"/>
                      <w:color w:val="auto"/>
                      <w:kern w:val="0"/>
                      <w:lang w:val="en-US" w:eastAsia="zh-CN"/>
                    </w:rPr>
                    <w:t>正常排放</w:t>
                  </w:r>
                </w:p>
              </w:tc>
            </w:tr>
            <w:tr w14:paraId="3528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14:paraId="298611EC">
                  <w:pPr>
                    <w:jc w:val="center"/>
                    <w:rPr>
                      <w:color w:val="auto"/>
                      <w:kern w:val="0"/>
                    </w:rPr>
                  </w:pPr>
                  <w:r>
                    <w:rPr>
                      <w:rFonts w:hint="eastAsia"/>
                      <w:color w:val="auto"/>
                      <w:kern w:val="0"/>
                    </w:rPr>
                    <w:t>清洗废液</w:t>
                  </w:r>
                </w:p>
              </w:tc>
              <w:tc>
                <w:tcPr>
                  <w:tcW w:w="1814" w:type="dxa"/>
                  <w:vMerge w:val="continue"/>
                  <w:vAlign w:val="center"/>
                </w:tcPr>
                <w:p w14:paraId="4CE0EF03">
                  <w:pPr>
                    <w:jc w:val="center"/>
                    <w:rPr>
                      <w:color w:val="auto"/>
                      <w:kern w:val="0"/>
                    </w:rPr>
                  </w:pPr>
                </w:p>
              </w:tc>
              <w:tc>
                <w:tcPr>
                  <w:tcW w:w="1814" w:type="dxa"/>
                  <w:vAlign w:val="center"/>
                </w:tcPr>
                <w:p w14:paraId="382DD012">
                  <w:pPr>
                    <w:jc w:val="center"/>
                    <w:rPr>
                      <w:color w:val="auto"/>
                      <w:kern w:val="0"/>
                    </w:rPr>
                  </w:pPr>
                  <w:r>
                    <w:rPr>
                      <w:rFonts w:hint="eastAsia"/>
                      <w:color w:val="auto"/>
                      <w:kern w:val="0"/>
                    </w:rPr>
                    <w:t>地面漫流</w:t>
                  </w:r>
                </w:p>
              </w:tc>
              <w:tc>
                <w:tcPr>
                  <w:tcW w:w="1814" w:type="dxa"/>
                  <w:vAlign w:val="center"/>
                </w:tcPr>
                <w:p w14:paraId="67C719A7">
                  <w:pPr>
                    <w:jc w:val="center"/>
                    <w:rPr>
                      <w:color w:val="auto"/>
                      <w:kern w:val="0"/>
                    </w:rPr>
                  </w:pPr>
                  <w:r>
                    <w:rPr>
                      <w:rFonts w:hint="eastAsia"/>
                      <w:color w:val="auto"/>
                      <w:kern w:val="0"/>
                    </w:rPr>
                    <w:t>清洗废液</w:t>
                  </w:r>
                </w:p>
              </w:tc>
              <w:tc>
                <w:tcPr>
                  <w:tcW w:w="1815" w:type="dxa"/>
                  <w:vAlign w:val="center"/>
                </w:tcPr>
                <w:p w14:paraId="6CC480BF">
                  <w:pPr>
                    <w:jc w:val="center"/>
                    <w:rPr>
                      <w:color w:val="auto"/>
                      <w:kern w:val="0"/>
                    </w:rPr>
                  </w:pPr>
                  <w:r>
                    <w:rPr>
                      <w:rFonts w:hint="eastAsia"/>
                      <w:color w:val="auto"/>
                      <w:kern w:val="0"/>
                    </w:rPr>
                    <w:t>设备故障，导致“污染物”泄漏</w:t>
                  </w:r>
                </w:p>
              </w:tc>
            </w:tr>
            <w:tr w14:paraId="153A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14:paraId="518F31F1">
                  <w:pPr>
                    <w:jc w:val="center"/>
                    <w:rPr>
                      <w:color w:val="auto"/>
                      <w:kern w:val="0"/>
                    </w:rPr>
                  </w:pPr>
                  <w:r>
                    <w:rPr>
                      <w:rFonts w:hint="eastAsia"/>
                      <w:color w:val="auto"/>
                      <w:kern w:val="0"/>
                    </w:rPr>
                    <w:t>焊接烟尘</w:t>
                  </w:r>
                </w:p>
              </w:tc>
              <w:tc>
                <w:tcPr>
                  <w:tcW w:w="1814" w:type="dxa"/>
                  <w:vAlign w:val="center"/>
                </w:tcPr>
                <w:p w14:paraId="781E751A">
                  <w:pPr>
                    <w:jc w:val="center"/>
                    <w:rPr>
                      <w:color w:val="auto"/>
                      <w:kern w:val="0"/>
                    </w:rPr>
                  </w:pPr>
                  <w:r>
                    <w:rPr>
                      <w:rFonts w:hint="eastAsia"/>
                      <w:color w:val="auto"/>
                      <w:kern w:val="0"/>
                    </w:rPr>
                    <w:t>焊接工段</w:t>
                  </w:r>
                </w:p>
              </w:tc>
              <w:tc>
                <w:tcPr>
                  <w:tcW w:w="1814" w:type="dxa"/>
                  <w:vAlign w:val="center"/>
                </w:tcPr>
                <w:p w14:paraId="4F85153D">
                  <w:pPr>
                    <w:jc w:val="center"/>
                    <w:rPr>
                      <w:color w:val="auto"/>
                      <w:kern w:val="0"/>
                    </w:rPr>
                  </w:pPr>
                  <w:r>
                    <w:rPr>
                      <w:rFonts w:hint="eastAsia"/>
                      <w:color w:val="auto"/>
                      <w:kern w:val="0"/>
                    </w:rPr>
                    <w:t>大气沉降</w:t>
                  </w:r>
                </w:p>
              </w:tc>
              <w:tc>
                <w:tcPr>
                  <w:tcW w:w="1814" w:type="dxa"/>
                  <w:vAlign w:val="center"/>
                </w:tcPr>
                <w:p w14:paraId="05A0BB11">
                  <w:pPr>
                    <w:jc w:val="center"/>
                    <w:rPr>
                      <w:color w:val="auto"/>
                      <w:kern w:val="0"/>
                    </w:rPr>
                  </w:pPr>
                  <w:r>
                    <w:rPr>
                      <w:rFonts w:hint="eastAsia"/>
                      <w:color w:val="auto"/>
                      <w:kern w:val="0"/>
                    </w:rPr>
                    <w:t>颗粒物</w:t>
                  </w:r>
                </w:p>
              </w:tc>
              <w:tc>
                <w:tcPr>
                  <w:tcW w:w="1815" w:type="dxa"/>
                  <w:vAlign w:val="center"/>
                </w:tcPr>
                <w:p w14:paraId="48302345">
                  <w:pPr>
                    <w:jc w:val="center"/>
                    <w:rPr>
                      <w:rFonts w:hint="default" w:eastAsia="宋体"/>
                      <w:color w:val="auto"/>
                      <w:kern w:val="0"/>
                      <w:lang w:val="en-US" w:eastAsia="zh-CN"/>
                    </w:rPr>
                  </w:pPr>
                  <w:r>
                    <w:rPr>
                      <w:rFonts w:hint="eastAsia"/>
                      <w:color w:val="auto"/>
                      <w:kern w:val="0"/>
                      <w:lang w:val="en-US" w:eastAsia="zh-CN"/>
                    </w:rPr>
                    <w:t>烟尘正常排放</w:t>
                  </w:r>
                </w:p>
              </w:tc>
            </w:tr>
            <w:tr w14:paraId="2BF4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vAlign w:val="center"/>
                </w:tcPr>
                <w:p w14:paraId="6C25FD70">
                  <w:pPr>
                    <w:jc w:val="center"/>
                    <w:rPr>
                      <w:color w:val="auto"/>
                      <w:kern w:val="0"/>
                    </w:rPr>
                  </w:pPr>
                  <w:r>
                    <w:rPr>
                      <w:rFonts w:hint="eastAsia"/>
                      <w:color w:val="auto"/>
                      <w:kern w:val="0"/>
                    </w:rPr>
                    <w:t>危废仓库</w:t>
                  </w:r>
                </w:p>
              </w:tc>
              <w:tc>
                <w:tcPr>
                  <w:tcW w:w="1814" w:type="dxa"/>
                  <w:vAlign w:val="center"/>
                </w:tcPr>
                <w:p w14:paraId="7F320071">
                  <w:pPr>
                    <w:jc w:val="center"/>
                    <w:rPr>
                      <w:color w:val="auto"/>
                      <w:kern w:val="0"/>
                    </w:rPr>
                  </w:pPr>
                  <w:r>
                    <w:rPr>
                      <w:rFonts w:hint="eastAsia"/>
                      <w:color w:val="auto"/>
                      <w:kern w:val="0"/>
                    </w:rPr>
                    <w:t>/</w:t>
                  </w:r>
                </w:p>
              </w:tc>
              <w:tc>
                <w:tcPr>
                  <w:tcW w:w="1814" w:type="dxa"/>
                  <w:vAlign w:val="center"/>
                </w:tcPr>
                <w:p w14:paraId="41374C7D">
                  <w:pPr>
                    <w:jc w:val="center"/>
                    <w:rPr>
                      <w:color w:val="auto"/>
                      <w:kern w:val="0"/>
                    </w:rPr>
                  </w:pPr>
                  <w:r>
                    <w:rPr>
                      <w:rFonts w:hint="eastAsia"/>
                      <w:color w:val="auto"/>
                      <w:kern w:val="0"/>
                    </w:rPr>
                    <w:t>垂直入渗</w:t>
                  </w:r>
                </w:p>
              </w:tc>
              <w:tc>
                <w:tcPr>
                  <w:tcW w:w="1814" w:type="dxa"/>
                  <w:vAlign w:val="center"/>
                </w:tcPr>
                <w:p w14:paraId="31D7FDCE">
                  <w:pPr>
                    <w:jc w:val="center"/>
                    <w:rPr>
                      <w:color w:val="auto"/>
                      <w:kern w:val="0"/>
                    </w:rPr>
                  </w:pPr>
                  <w:r>
                    <w:rPr>
                      <w:rFonts w:hint="eastAsia"/>
                      <w:color w:val="auto"/>
                      <w:kern w:val="0"/>
                    </w:rPr>
                    <w:t>清洗废液</w:t>
                  </w:r>
                </w:p>
              </w:tc>
              <w:tc>
                <w:tcPr>
                  <w:tcW w:w="1815" w:type="dxa"/>
                  <w:vAlign w:val="center"/>
                </w:tcPr>
                <w:p w14:paraId="428046E2">
                  <w:pPr>
                    <w:jc w:val="center"/>
                    <w:rPr>
                      <w:color w:val="auto"/>
                      <w:kern w:val="0"/>
                    </w:rPr>
                  </w:pPr>
                  <w:r>
                    <w:rPr>
                      <w:rFonts w:hint="eastAsia"/>
                      <w:color w:val="auto"/>
                      <w:kern w:val="0"/>
                    </w:rPr>
                    <w:t>危废库房防渗漏措施不到位</w:t>
                  </w:r>
                </w:p>
              </w:tc>
            </w:tr>
          </w:tbl>
          <w:p w14:paraId="7EE122BF">
            <w:pPr>
              <w:spacing w:line="360" w:lineRule="auto"/>
              <w:ind w:firstLine="480" w:firstLineChars="200"/>
              <w:rPr>
                <w:color w:val="auto"/>
                <w:sz w:val="24"/>
              </w:rPr>
            </w:pPr>
            <w:r>
              <w:rPr>
                <w:rFonts w:hint="eastAsia"/>
                <w:color w:val="auto"/>
                <w:sz w:val="24"/>
              </w:rPr>
              <w:t>正常工况下，由于车间及厂区地面均由水泥硬化，危废库均采取了防渗措施，一般情况下不会发生液态物料泄漏污染土壤及地下水的情况。非正常工况下，如涉水构筑物破损，液态物料可能发生地面漫流，进而由裂缝渗入地下，对土壤造成污染。</w:t>
            </w:r>
          </w:p>
          <w:p w14:paraId="02B5B000">
            <w:pPr>
              <w:spacing w:line="360" w:lineRule="auto"/>
              <w:ind w:firstLine="480" w:firstLineChars="200"/>
              <w:rPr>
                <w:color w:val="auto"/>
                <w:sz w:val="24"/>
              </w:rPr>
            </w:pPr>
            <w:r>
              <w:rPr>
                <w:rFonts w:hint="eastAsia"/>
                <w:color w:val="auto"/>
                <w:sz w:val="24"/>
              </w:rPr>
              <w:t>综上，正常工况下，只要企业做好原材料的保存及区域防渗工作，本项目对土壤环境的影响较小。非正常工况，液态物料泄漏对周边土壤环境有一定影响，企业需采取措施避免非正常工况发生。</w:t>
            </w:r>
          </w:p>
          <w:p w14:paraId="7EC1EB77">
            <w:pPr>
              <w:spacing w:line="360" w:lineRule="auto"/>
              <w:ind w:firstLine="480" w:firstLineChars="200"/>
              <w:rPr>
                <w:color w:val="auto"/>
                <w:sz w:val="24"/>
              </w:rPr>
            </w:pPr>
            <w:r>
              <w:rPr>
                <w:rFonts w:hint="eastAsia"/>
                <w:color w:val="auto"/>
                <w:sz w:val="24"/>
              </w:rPr>
              <w:t>5.2建设项目土壤、地下水环境保护措施</w:t>
            </w:r>
          </w:p>
          <w:p w14:paraId="61C407F6">
            <w:pPr>
              <w:spacing w:line="360" w:lineRule="auto"/>
              <w:ind w:firstLine="480" w:firstLineChars="200"/>
              <w:rPr>
                <w:color w:val="auto"/>
                <w:sz w:val="24"/>
              </w:rPr>
            </w:pPr>
            <w:r>
              <w:rPr>
                <w:rFonts w:hint="eastAsia"/>
                <w:color w:val="auto"/>
                <w:sz w:val="24"/>
              </w:rPr>
              <w:t>①源头控制措施</w:t>
            </w:r>
          </w:p>
          <w:p w14:paraId="736F3BCF">
            <w:pPr>
              <w:spacing w:line="360" w:lineRule="auto"/>
              <w:ind w:firstLine="480" w:firstLineChars="200"/>
              <w:rPr>
                <w:color w:val="auto"/>
                <w:sz w:val="24"/>
              </w:rPr>
            </w:pPr>
            <w:r>
              <w:rPr>
                <w:rFonts w:hint="eastAsia"/>
                <w:color w:val="auto"/>
                <w:sz w:val="24"/>
              </w:rPr>
              <w:t>加强设备、输送管道的维护，定期检修，防止其破损、故障发生泄漏事故。</w:t>
            </w:r>
          </w:p>
          <w:p w14:paraId="55F5623E">
            <w:pPr>
              <w:spacing w:line="360" w:lineRule="auto"/>
              <w:ind w:firstLine="480" w:firstLineChars="200"/>
              <w:rPr>
                <w:color w:val="auto"/>
                <w:sz w:val="24"/>
              </w:rPr>
            </w:pPr>
            <w:r>
              <w:rPr>
                <w:rFonts w:hint="eastAsia"/>
                <w:color w:val="auto"/>
                <w:sz w:val="24"/>
              </w:rPr>
              <w:t>危废库房设置防渗漏及导流收集措施，防止渗漏事故。</w:t>
            </w:r>
          </w:p>
          <w:p w14:paraId="5226FA61">
            <w:pPr>
              <w:spacing w:line="360" w:lineRule="auto"/>
              <w:ind w:firstLine="480" w:firstLineChars="200"/>
              <w:rPr>
                <w:color w:val="auto"/>
                <w:sz w:val="24"/>
              </w:rPr>
            </w:pPr>
            <w:r>
              <w:rPr>
                <w:rFonts w:hint="eastAsia"/>
                <w:color w:val="auto"/>
                <w:sz w:val="24"/>
              </w:rPr>
              <w:t>②过程防控措施</w:t>
            </w:r>
          </w:p>
          <w:p w14:paraId="0A052B94">
            <w:pPr>
              <w:spacing w:line="360" w:lineRule="auto"/>
              <w:ind w:firstLine="480" w:firstLineChars="200"/>
              <w:rPr>
                <w:color w:val="auto"/>
                <w:sz w:val="24"/>
              </w:rPr>
            </w:pPr>
            <w:r>
              <w:rPr>
                <w:rFonts w:hint="eastAsia"/>
                <w:color w:val="auto"/>
                <w:sz w:val="24"/>
              </w:rPr>
              <w:t>优化车间地面布局，设置车间、地面硬化或围堰，防止地面漫流影响土壤、地下水。</w:t>
            </w:r>
          </w:p>
          <w:p w14:paraId="6AA62CC6">
            <w:pPr>
              <w:spacing w:line="360" w:lineRule="auto"/>
              <w:ind w:firstLine="480" w:firstLineChars="200"/>
              <w:rPr>
                <w:rFonts w:hint="eastAsia"/>
                <w:b/>
                <w:bCs/>
                <w:color w:val="auto"/>
                <w:sz w:val="24"/>
                <w:szCs w:val="24"/>
              </w:rPr>
            </w:pPr>
            <w:r>
              <w:rPr>
                <w:rFonts w:hint="eastAsia"/>
                <w:color w:val="auto"/>
                <w:sz w:val="24"/>
              </w:rPr>
              <w:t>根据相关标准规范要求，对设备设施采取相应的防渗措施，以防止土壤、地下水环境污染。本项目厂区应划分为简单防渗区、一般防渗区及重点防渗区。污染区则应按照不同分区要求，采取不同等级的防渗措施，并确保其可靠性和有效性。本项目防渗分区划分及防渗等级见下表。</w:t>
            </w:r>
          </w:p>
          <w:p w14:paraId="1A051FDE">
            <w:pPr>
              <w:spacing w:line="360" w:lineRule="auto"/>
              <w:jc w:val="center"/>
              <w:rPr>
                <w:color w:val="auto"/>
                <w:sz w:val="24"/>
              </w:rPr>
            </w:pPr>
            <w:r>
              <w:rPr>
                <w:rFonts w:hint="eastAsia"/>
                <w:b/>
                <w:bCs/>
                <w:color w:val="auto"/>
                <w:sz w:val="24"/>
                <w:szCs w:val="24"/>
              </w:rPr>
              <w:t>表4-30  土壤环境影响源及影响因子识别表</w:t>
            </w:r>
          </w:p>
          <w:tbl>
            <w:tblPr>
              <w:tblStyle w:val="23"/>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2260"/>
              <w:gridCol w:w="5502"/>
            </w:tblGrid>
            <w:tr w14:paraId="3EB6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Align w:val="center"/>
                </w:tcPr>
                <w:p w14:paraId="173B456F">
                  <w:pPr>
                    <w:jc w:val="center"/>
                    <w:rPr>
                      <w:b/>
                      <w:bCs/>
                      <w:color w:val="auto"/>
                      <w:kern w:val="0"/>
                    </w:rPr>
                  </w:pPr>
                  <w:r>
                    <w:rPr>
                      <w:rFonts w:hint="eastAsia"/>
                      <w:b/>
                      <w:bCs/>
                      <w:color w:val="auto"/>
                      <w:kern w:val="0"/>
                    </w:rPr>
                    <w:t>分区类型</w:t>
                  </w:r>
                </w:p>
              </w:tc>
              <w:tc>
                <w:tcPr>
                  <w:tcW w:w="2260" w:type="dxa"/>
                  <w:vAlign w:val="center"/>
                </w:tcPr>
                <w:p w14:paraId="1DE6DC57">
                  <w:pPr>
                    <w:jc w:val="center"/>
                    <w:rPr>
                      <w:b/>
                      <w:bCs/>
                      <w:color w:val="auto"/>
                      <w:kern w:val="0"/>
                    </w:rPr>
                  </w:pPr>
                  <w:r>
                    <w:rPr>
                      <w:rFonts w:hint="eastAsia"/>
                      <w:b/>
                      <w:bCs/>
                      <w:color w:val="auto"/>
                      <w:kern w:val="0"/>
                    </w:rPr>
                    <w:t>厂内分区</w:t>
                  </w:r>
                </w:p>
              </w:tc>
              <w:tc>
                <w:tcPr>
                  <w:tcW w:w="5502" w:type="dxa"/>
                  <w:vAlign w:val="center"/>
                </w:tcPr>
                <w:p w14:paraId="3E8FABAC">
                  <w:pPr>
                    <w:jc w:val="center"/>
                    <w:rPr>
                      <w:b/>
                      <w:bCs/>
                      <w:color w:val="auto"/>
                      <w:kern w:val="0"/>
                    </w:rPr>
                  </w:pPr>
                  <w:r>
                    <w:rPr>
                      <w:rFonts w:hint="eastAsia"/>
                      <w:b/>
                      <w:bCs/>
                      <w:color w:val="auto"/>
                      <w:kern w:val="0"/>
                    </w:rPr>
                    <w:t>防渗要求</w:t>
                  </w:r>
                </w:p>
              </w:tc>
            </w:tr>
            <w:tr w14:paraId="200F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Align w:val="center"/>
                </w:tcPr>
                <w:p w14:paraId="6ED37E74">
                  <w:pPr>
                    <w:jc w:val="center"/>
                    <w:rPr>
                      <w:color w:val="auto"/>
                      <w:kern w:val="0"/>
                    </w:rPr>
                  </w:pPr>
                  <w:r>
                    <w:rPr>
                      <w:rFonts w:hint="eastAsia"/>
                      <w:color w:val="auto"/>
                      <w:kern w:val="0"/>
                    </w:rPr>
                    <w:t>重点防渗</w:t>
                  </w:r>
                </w:p>
              </w:tc>
              <w:tc>
                <w:tcPr>
                  <w:tcW w:w="2260" w:type="dxa"/>
                  <w:vAlign w:val="center"/>
                </w:tcPr>
                <w:p w14:paraId="591A6D58">
                  <w:pPr>
                    <w:jc w:val="center"/>
                    <w:rPr>
                      <w:color w:val="auto"/>
                      <w:kern w:val="0"/>
                    </w:rPr>
                  </w:pPr>
                  <w:r>
                    <w:rPr>
                      <w:rFonts w:hint="eastAsia"/>
                      <w:color w:val="auto"/>
                      <w:kern w:val="0"/>
                    </w:rPr>
                    <w:t>原料仓库、清洗区、危废仓库</w:t>
                  </w:r>
                </w:p>
              </w:tc>
              <w:tc>
                <w:tcPr>
                  <w:tcW w:w="5502" w:type="dxa"/>
                  <w:vAlign w:val="center"/>
                </w:tcPr>
                <w:p w14:paraId="363BAD62">
                  <w:pPr>
                    <w:jc w:val="center"/>
                    <w:rPr>
                      <w:color w:val="auto"/>
                      <w:kern w:val="0"/>
                    </w:rPr>
                  </w:pPr>
                  <w:r>
                    <w:rPr>
                      <w:rFonts w:hint="eastAsia"/>
                      <w:color w:val="auto"/>
                      <w:kern w:val="0"/>
                    </w:rPr>
                    <w:t>防治区参照《危险废物安全填埋处置工程建设技术要求》和《危险废物贮存污染控制标准》（GB18597-2023），防渗层为至少</w:t>
                  </w:r>
                  <w:r>
                    <w:rPr>
                      <w:color w:val="auto"/>
                      <w:kern w:val="0"/>
                    </w:rPr>
                    <w:t>1m</w:t>
                  </w:r>
                  <w:r>
                    <w:rPr>
                      <w:rFonts w:hint="eastAsia"/>
                      <w:color w:val="auto"/>
                      <w:kern w:val="0"/>
                    </w:rPr>
                    <w:t>厚黏土层（渗透系数</w:t>
                  </w:r>
                  <w:r>
                    <w:rPr>
                      <w:color w:val="auto"/>
                      <w:kern w:val="0"/>
                    </w:rPr>
                    <w:t>K≤1.0×10</w:t>
                  </w:r>
                  <w:r>
                    <w:rPr>
                      <w:rFonts w:hint="eastAsia"/>
                      <w:color w:val="auto"/>
                      <w:kern w:val="0"/>
                      <w:vertAlign w:val="superscript"/>
                    </w:rPr>
                    <w:t>-7</w:t>
                  </w:r>
                  <w:r>
                    <w:rPr>
                      <w:rFonts w:hint="eastAsia"/>
                      <w:color w:val="auto"/>
                      <w:kern w:val="0"/>
                    </w:rPr>
                    <w:t>cm/s）；或</w:t>
                  </w:r>
                  <w:r>
                    <w:rPr>
                      <w:color w:val="auto"/>
                      <w:kern w:val="0"/>
                    </w:rPr>
                    <w:t>2mm</w:t>
                  </w:r>
                  <w:r>
                    <w:rPr>
                      <w:rFonts w:hint="eastAsia"/>
                      <w:color w:val="auto"/>
                      <w:kern w:val="0"/>
                    </w:rPr>
                    <w:t>厚高密度聚乙烯；或至少</w:t>
                  </w:r>
                  <w:r>
                    <w:rPr>
                      <w:color w:val="auto"/>
                      <w:kern w:val="0"/>
                    </w:rPr>
                    <w:t>2mm</w:t>
                  </w:r>
                  <w:r>
                    <w:rPr>
                      <w:rFonts w:hint="eastAsia"/>
                      <w:color w:val="auto"/>
                      <w:kern w:val="0"/>
                    </w:rPr>
                    <w:t>厚其它人工材料，渗透系数</w:t>
                  </w:r>
                  <w:r>
                    <w:rPr>
                      <w:color w:val="auto"/>
                      <w:kern w:val="0"/>
                    </w:rPr>
                    <w:t>≤1.0×10</w:t>
                  </w:r>
                  <w:r>
                    <w:rPr>
                      <w:rFonts w:hint="eastAsia"/>
                      <w:color w:val="auto"/>
                      <w:kern w:val="0"/>
                      <w:vertAlign w:val="superscript"/>
                    </w:rPr>
                    <w:t>-10</w:t>
                  </w:r>
                  <w:r>
                    <w:rPr>
                      <w:color w:val="auto"/>
                      <w:kern w:val="0"/>
                    </w:rPr>
                    <w:t>cm/s</w:t>
                  </w:r>
                  <w:r>
                    <w:rPr>
                      <w:rFonts w:hint="eastAsia"/>
                      <w:color w:val="auto"/>
                      <w:kern w:val="0"/>
                    </w:rPr>
                    <w:t>。</w:t>
                  </w:r>
                </w:p>
              </w:tc>
            </w:tr>
            <w:tr w14:paraId="1084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vAlign w:val="center"/>
                </w:tcPr>
                <w:p w14:paraId="657C2A49">
                  <w:pPr>
                    <w:jc w:val="center"/>
                    <w:rPr>
                      <w:color w:val="auto"/>
                      <w:kern w:val="0"/>
                    </w:rPr>
                  </w:pPr>
                  <w:r>
                    <w:rPr>
                      <w:rFonts w:hint="eastAsia"/>
                      <w:color w:val="auto"/>
                      <w:kern w:val="0"/>
                    </w:rPr>
                    <w:t>一般防渗区</w:t>
                  </w:r>
                </w:p>
              </w:tc>
              <w:tc>
                <w:tcPr>
                  <w:tcW w:w="2260" w:type="dxa"/>
                  <w:vAlign w:val="center"/>
                </w:tcPr>
                <w:p w14:paraId="7CEE5B35">
                  <w:pPr>
                    <w:jc w:val="center"/>
                    <w:rPr>
                      <w:rFonts w:hint="eastAsia" w:eastAsia="宋体"/>
                      <w:color w:val="auto"/>
                      <w:kern w:val="0"/>
                      <w:lang w:val="en-US" w:eastAsia="zh-CN"/>
                    </w:rPr>
                  </w:pPr>
                  <w:r>
                    <w:rPr>
                      <w:rFonts w:hint="eastAsia"/>
                      <w:color w:val="auto"/>
                      <w:kern w:val="0"/>
                    </w:rPr>
                    <w:t>生产车间</w:t>
                  </w:r>
                  <w:r>
                    <w:rPr>
                      <w:rFonts w:hint="eastAsia"/>
                      <w:color w:val="auto"/>
                      <w:kern w:val="0"/>
                      <w:lang w:eastAsia="zh-CN"/>
                    </w:rPr>
                    <w:t>、厂区道路、车间内其他不涉及化学品使用的区域</w:t>
                  </w:r>
                </w:p>
              </w:tc>
              <w:tc>
                <w:tcPr>
                  <w:tcW w:w="5502" w:type="dxa"/>
                  <w:vAlign w:val="center"/>
                </w:tcPr>
                <w:p w14:paraId="66976A35">
                  <w:pPr>
                    <w:jc w:val="center"/>
                    <w:rPr>
                      <w:color w:val="auto"/>
                      <w:kern w:val="0"/>
                    </w:rPr>
                  </w:pPr>
                  <w:r>
                    <w:rPr>
                      <w:rFonts w:hint="eastAsia"/>
                      <w:color w:val="auto"/>
                      <w:kern w:val="0"/>
                    </w:rPr>
                    <w:t>防治区参照《生活垃圾填埋场污染控制标准》</w:t>
                  </w:r>
                  <w:r>
                    <w:rPr>
                      <w:color w:val="auto"/>
                      <w:kern w:val="0"/>
                    </w:rPr>
                    <w:t>(GB1</w:t>
                  </w:r>
                  <w:r>
                    <w:rPr>
                      <w:rFonts w:hint="eastAsia"/>
                      <w:color w:val="auto"/>
                      <w:kern w:val="0"/>
                    </w:rPr>
                    <w:t>6889</w:t>
                  </w:r>
                  <w:r>
                    <w:rPr>
                      <w:color w:val="auto"/>
                      <w:kern w:val="0"/>
                    </w:rPr>
                    <w:t>-20</w:t>
                  </w:r>
                  <w:r>
                    <w:rPr>
                      <w:rFonts w:hint="eastAsia"/>
                      <w:color w:val="auto"/>
                      <w:kern w:val="0"/>
                    </w:rPr>
                    <w:t>24</w:t>
                  </w:r>
                  <w:r>
                    <w:rPr>
                      <w:color w:val="auto"/>
                      <w:kern w:val="0"/>
                    </w:rPr>
                    <w:t>)</w:t>
                  </w:r>
                  <w:r>
                    <w:rPr>
                      <w:rFonts w:hint="eastAsia"/>
                      <w:color w:val="auto"/>
                      <w:kern w:val="0"/>
                    </w:rPr>
                    <w:t>进行建设，具体措施为：人工合成材料衬层下应具有厚度不小于0.75m，且被压实后的饱和渗透系数不大于1.0*10</w:t>
                  </w:r>
                  <w:r>
                    <w:rPr>
                      <w:rFonts w:hint="eastAsia"/>
                      <w:color w:val="auto"/>
                      <w:kern w:val="0"/>
                      <w:vertAlign w:val="superscript"/>
                    </w:rPr>
                    <w:t>-7</w:t>
                  </w:r>
                  <w:r>
                    <w:rPr>
                      <w:rFonts w:hint="eastAsia"/>
                      <w:color w:val="auto"/>
                      <w:kern w:val="0"/>
                    </w:rPr>
                    <w:t>cm/s的天然粘土防渗衬层或改性粘土防渗衬层。</w:t>
                  </w:r>
                </w:p>
              </w:tc>
            </w:tr>
          </w:tbl>
          <w:p w14:paraId="71EE0771">
            <w:pPr>
              <w:spacing w:line="360" w:lineRule="auto"/>
              <w:ind w:firstLine="480" w:firstLineChars="200"/>
              <w:rPr>
                <w:color w:val="auto"/>
                <w:sz w:val="24"/>
              </w:rPr>
            </w:pPr>
            <w:r>
              <w:rPr>
                <w:rFonts w:hint="eastAsia"/>
                <w:color w:val="auto"/>
                <w:sz w:val="24"/>
              </w:rPr>
              <w:t>5.3环境影响分析</w:t>
            </w:r>
          </w:p>
          <w:p w14:paraId="3FCDF08B">
            <w:pPr>
              <w:spacing w:line="360" w:lineRule="auto"/>
              <w:ind w:firstLine="480" w:firstLineChars="200"/>
              <w:rPr>
                <w:color w:val="auto"/>
                <w:sz w:val="24"/>
              </w:rPr>
            </w:pPr>
            <w:r>
              <w:rPr>
                <w:rFonts w:hint="eastAsia"/>
                <w:color w:val="auto"/>
                <w:sz w:val="24"/>
              </w:rPr>
              <w:t>项目针对各类污染途径均采取了相应的污染防治措施，可从源头上控制项目对区域土壤、地下水环境的污染，确保项目对区域土壤、地下水环境的影响处于可接受水平。因此，在企业落实本报告提出的污染防治措施的前提下，项目对区域土壤、地下水环境影响是可接受的。</w:t>
            </w:r>
          </w:p>
          <w:p w14:paraId="74035B3A">
            <w:pPr>
              <w:spacing w:line="348" w:lineRule="auto"/>
              <w:ind w:firstLine="480" w:firstLineChars="200"/>
              <w:rPr>
                <w:color w:val="auto"/>
                <w:sz w:val="24"/>
              </w:rPr>
            </w:pPr>
          </w:p>
          <w:p w14:paraId="3F690B7D">
            <w:pPr>
              <w:spacing w:line="348" w:lineRule="auto"/>
              <w:ind w:firstLine="480" w:firstLineChars="200"/>
              <w:rPr>
                <w:color w:val="auto"/>
                <w:sz w:val="24"/>
              </w:rPr>
            </w:pPr>
            <w:r>
              <w:rPr>
                <w:color w:val="auto"/>
                <w:sz w:val="24"/>
              </w:rPr>
              <w:t>六、环境风险</w:t>
            </w:r>
          </w:p>
          <w:p w14:paraId="4836C6F9">
            <w:pPr>
              <w:spacing w:line="360" w:lineRule="auto"/>
              <w:ind w:firstLine="480" w:firstLineChars="200"/>
              <w:rPr>
                <w:color w:val="auto"/>
                <w:sz w:val="24"/>
              </w:rPr>
            </w:pPr>
            <w:r>
              <w:rPr>
                <w:rFonts w:hint="eastAsia"/>
                <w:color w:val="auto"/>
                <w:sz w:val="24"/>
              </w:rPr>
              <w:t>6.1环境风险评价等级</w:t>
            </w:r>
          </w:p>
          <w:p w14:paraId="06AA0CF1">
            <w:pPr>
              <w:spacing w:line="360" w:lineRule="auto"/>
              <w:ind w:firstLine="480" w:firstLineChars="200"/>
              <w:rPr>
                <w:color w:val="auto"/>
                <w:sz w:val="24"/>
              </w:rPr>
            </w:pPr>
            <w:r>
              <w:rPr>
                <w:rFonts w:hint="eastAsia"/>
                <w:color w:val="auto"/>
                <w:sz w:val="24"/>
              </w:rPr>
              <w:t>6.1.1危险物质质量与临界量比值Q</w:t>
            </w:r>
          </w:p>
          <w:p w14:paraId="0531B4F6">
            <w:pPr>
              <w:spacing w:line="360" w:lineRule="auto"/>
              <w:ind w:firstLine="480" w:firstLineChars="200"/>
              <w:rPr>
                <w:color w:val="auto"/>
                <w:sz w:val="24"/>
              </w:rPr>
            </w:pPr>
            <w:r>
              <w:rPr>
                <w:rFonts w:hint="eastAsia"/>
                <w:color w:val="auto"/>
                <w:sz w:val="24"/>
              </w:rPr>
              <w:t>对照《建设项目环境风险影响评价技术导则》（</w:t>
            </w:r>
            <w:r>
              <w:rPr>
                <w:color w:val="auto"/>
                <w:sz w:val="24"/>
              </w:rPr>
              <w:t>HJ169-2018</w:t>
            </w:r>
            <w:r>
              <w:rPr>
                <w:rFonts w:hint="eastAsia"/>
                <w:color w:val="auto"/>
                <w:sz w:val="24"/>
              </w:rPr>
              <w:t>）附录</w:t>
            </w:r>
            <w:r>
              <w:rPr>
                <w:color w:val="auto"/>
                <w:sz w:val="24"/>
              </w:rPr>
              <w:t>B</w:t>
            </w:r>
            <w:r>
              <w:rPr>
                <w:rFonts w:hint="eastAsia"/>
                <w:color w:val="auto"/>
                <w:sz w:val="24"/>
              </w:rPr>
              <w:t>，计算所涉及的每种危险物质在厂界内的最大存在总量与其在附录</w:t>
            </w:r>
            <w:r>
              <w:rPr>
                <w:color w:val="auto"/>
                <w:sz w:val="24"/>
              </w:rPr>
              <w:t>B</w:t>
            </w:r>
            <w:r>
              <w:rPr>
                <w:rFonts w:hint="eastAsia"/>
                <w:color w:val="auto"/>
                <w:sz w:val="24"/>
              </w:rPr>
              <w:t>中对应临界量的比值</w:t>
            </w:r>
            <w:r>
              <w:rPr>
                <w:color w:val="auto"/>
                <w:sz w:val="24"/>
              </w:rPr>
              <w:t>Q</w:t>
            </w:r>
            <w:r>
              <w:rPr>
                <w:rFonts w:hint="eastAsia"/>
                <w:color w:val="auto"/>
                <w:sz w:val="24"/>
              </w:rPr>
              <w:t>。</w:t>
            </w:r>
          </w:p>
          <w:p w14:paraId="5EA3D535">
            <w:pPr>
              <w:spacing w:line="360" w:lineRule="auto"/>
              <w:ind w:firstLine="480" w:firstLineChars="200"/>
              <w:rPr>
                <w:color w:val="auto"/>
                <w:sz w:val="24"/>
              </w:rPr>
            </w:pPr>
            <w:r>
              <w:rPr>
                <w:rFonts w:hint="eastAsia"/>
                <w:color w:val="auto"/>
                <w:sz w:val="24"/>
              </w:rPr>
              <w:t>当只涉及一种危险物质时，计算该物质的总量与其临界量比值，即为</w:t>
            </w:r>
            <w:r>
              <w:rPr>
                <w:color w:val="auto"/>
                <w:sz w:val="24"/>
              </w:rPr>
              <w:t>Q</w:t>
            </w:r>
            <w:r>
              <w:rPr>
                <w:rFonts w:hint="eastAsia"/>
                <w:color w:val="auto"/>
                <w:sz w:val="24"/>
              </w:rPr>
              <w:t>；</w:t>
            </w:r>
          </w:p>
          <w:p w14:paraId="28FBC85C">
            <w:pPr>
              <w:spacing w:line="360" w:lineRule="auto"/>
              <w:ind w:firstLine="480" w:firstLineChars="200"/>
              <w:rPr>
                <w:color w:val="auto"/>
                <w:sz w:val="24"/>
              </w:rPr>
            </w:pPr>
            <w:r>
              <w:rPr>
                <w:rFonts w:hint="eastAsia"/>
                <w:color w:val="auto"/>
                <w:sz w:val="24"/>
              </w:rPr>
              <w:t>当存在多种危险物质时，则按下式计算物质总量与其临界量比值（</w:t>
            </w:r>
            <w:r>
              <w:rPr>
                <w:color w:val="auto"/>
                <w:sz w:val="24"/>
              </w:rPr>
              <w:t>Q</w:t>
            </w:r>
            <w:r>
              <w:rPr>
                <w:rFonts w:hint="eastAsia"/>
                <w:color w:val="auto"/>
                <w:sz w:val="24"/>
              </w:rPr>
              <w:t>）：</w:t>
            </w:r>
          </w:p>
          <w:p w14:paraId="37CB58CA">
            <w:pPr>
              <w:spacing w:line="360" w:lineRule="auto"/>
              <w:ind w:firstLine="480" w:firstLineChars="200"/>
              <w:rPr>
                <w:color w:val="auto"/>
                <w:sz w:val="24"/>
              </w:rPr>
            </w:pPr>
            <w:r>
              <w:rPr>
                <w:rFonts w:hint="eastAsia"/>
                <w:color w:val="auto"/>
                <w:sz w:val="24"/>
              </w:rPr>
              <w:drawing>
                <wp:inline distT="0" distB="0" distL="114300" distR="114300">
                  <wp:extent cx="1066800" cy="352425"/>
                  <wp:effectExtent l="0" t="0" r="0" b="317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9"/>
                          <a:stretch>
                            <a:fillRect/>
                          </a:stretch>
                        </pic:blipFill>
                        <pic:spPr>
                          <a:xfrm>
                            <a:off x="0" y="0"/>
                            <a:ext cx="1066800" cy="352425"/>
                          </a:xfrm>
                          <a:prstGeom prst="rect">
                            <a:avLst/>
                          </a:prstGeom>
                          <a:noFill/>
                          <a:ln>
                            <a:noFill/>
                          </a:ln>
                        </pic:spPr>
                      </pic:pic>
                    </a:graphicData>
                  </a:graphic>
                </wp:inline>
              </w:drawing>
            </w:r>
          </w:p>
          <w:p w14:paraId="294E228B">
            <w:pPr>
              <w:spacing w:line="360" w:lineRule="auto"/>
              <w:ind w:firstLine="480" w:firstLineChars="200"/>
              <w:rPr>
                <w:color w:val="auto"/>
                <w:sz w:val="24"/>
              </w:rPr>
            </w:pPr>
            <w:r>
              <w:rPr>
                <w:rFonts w:hint="eastAsia"/>
                <w:color w:val="auto"/>
                <w:sz w:val="24"/>
              </w:rPr>
              <w:t>式中：</w:t>
            </w:r>
          </w:p>
          <w:p w14:paraId="40296078">
            <w:pPr>
              <w:spacing w:line="360" w:lineRule="auto"/>
              <w:ind w:firstLine="480" w:firstLineChars="200"/>
              <w:rPr>
                <w:color w:val="auto"/>
                <w:sz w:val="24"/>
              </w:rPr>
            </w:pPr>
            <w:r>
              <w:rPr>
                <w:color w:val="auto"/>
                <w:sz w:val="24"/>
              </w:rPr>
              <w:t>q1</w:t>
            </w:r>
            <w:r>
              <w:rPr>
                <w:rFonts w:hint="eastAsia"/>
                <w:color w:val="auto"/>
                <w:sz w:val="24"/>
              </w:rPr>
              <w:t>，</w:t>
            </w:r>
            <w:r>
              <w:rPr>
                <w:color w:val="auto"/>
                <w:sz w:val="24"/>
              </w:rPr>
              <w:t>q2</w:t>
            </w:r>
            <w:r>
              <w:rPr>
                <w:rFonts w:hint="eastAsia"/>
                <w:color w:val="auto"/>
                <w:sz w:val="24"/>
              </w:rPr>
              <w:t>，</w:t>
            </w:r>
            <w:r>
              <w:rPr>
                <w:color w:val="auto"/>
                <w:sz w:val="24"/>
              </w:rPr>
              <w:t>...</w:t>
            </w:r>
            <w:r>
              <w:rPr>
                <w:rFonts w:hint="eastAsia"/>
                <w:color w:val="auto"/>
                <w:sz w:val="24"/>
              </w:rPr>
              <w:t>，</w:t>
            </w:r>
            <w:r>
              <w:rPr>
                <w:color w:val="auto"/>
                <w:sz w:val="24"/>
              </w:rPr>
              <w:t>qn——</w:t>
            </w:r>
            <w:r>
              <w:rPr>
                <w:rFonts w:hint="eastAsia"/>
                <w:color w:val="auto"/>
                <w:sz w:val="24"/>
              </w:rPr>
              <w:t>每种环境风险物质的最大存在总量，</w:t>
            </w:r>
            <w:r>
              <w:rPr>
                <w:color w:val="auto"/>
                <w:sz w:val="24"/>
              </w:rPr>
              <w:t>t</w:t>
            </w:r>
            <w:r>
              <w:rPr>
                <w:rFonts w:hint="eastAsia"/>
                <w:color w:val="auto"/>
                <w:sz w:val="24"/>
              </w:rPr>
              <w:t>；</w:t>
            </w:r>
          </w:p>
          <w:p w14:paraId="34022511">
            <w:pPr>
              <w:spacing w:line="360" w:lineRule="auto"/>
              <w:ind w:firstLine="480" w:firstLineChars="200"/>
              <w:rPr>
                <w:color w:val="auto"/>
                <w:sz w:val="24"/>
              </w:rPr>
            </w:pPr>
            <w:r>
              <w:rPr>
                <w:color w:val="auto"/>
                <w:sz w:val="24"/>
              </w:rPr>
              <w:t>Q1</w:t>
            </w:r>
            <w:r>
              <w:rPr>
                <w:rFonts w:hint="eastAsia"/>
                <w:color w:val="auto"/>
                <w:sz w:val="24"/>
              </w:rPr>
              <w:t>，</w:t>
            </w:r>
            <w:r>
              <w:rPr>
                <w:color w:val="auto"/>
                <w:sz w:val="24"/>
              </w:rPr>
              <w:t>Q2</w:t>
            </w:r>
            <w:r>
              <w:rPr>
                <w:rFonts w:hint="eastAsia"/>
                <w:color w:val="auto"/>
                <w:sz w:val="24"/>
              </w:rPr>
              <w:t>，</w:t>
            </w:r>
            <w:r>
              <w:rPr>
                <w:color w:val="auto"/>
                <w:sz w:val="24"/>
              </w:rPr>
              <w:t>...</w:t>
            </w:r>
            <w:r>
              <w:rPr>
                <w:rFonts w:hint="eastAsia"/>
                <w:color w:val="auto"/>
                <w:sz w:val="24"/>
              </w:rPr>
              <w:t>，</w:t>
            </w:r>
            <w:r>
              <w:rPr>
                <w:color w:val="auto"/>
                <w:sz w:val="24"/>
              </w:rPr>
              <w:t>Qn——</w:t>
            </w:r>
            <w:r>
              <w:rPr>
                <w:rFonts w:hint="eastAsia"/>
                <w:color w:val="auto"/>
                <w:sz w:val="24"/>
              </w:rPr>
              <w:t>每种环境风险物质的临界量，</w:t>
            </w:r>
            <w:r>
              <w:rPr>
                <w:color w:val="auto"/>
                <w:sz w:val="24"/>
              </w:rPr>
              <w:t>t</w:t>
            </w:r>
            <w:r>
              <w:rPr>
                <w:rFonts w:hint="eastAsia"/>
                <w:color w:val="auto"/>
                <w:sz w:val="24"/>
              </w:rPr>
              <w:t>。</w:t>
            </w:r>
          </w:p>
          <w:p w14:paraId="5393E4AB">
            <w:pPr>
              <w:spacing w:line="360" w:lineRule="auto"/>
              <w:ind w:firstLine="480" w:firstLineChars="200"/>
              <w:rPr>
                <w:color w:val="auto"/>
                <w:sz w:val="24"/>
              </w:rPr>
            </w:pPr>
            <w:r>
              <w:rPr>
                <w:rFonts w:hint="eastAsia"/>
                <w:color w:val="auto"/>
                <w:sz w:val="24"/>
              </w:rPr>
              <w:t>当</w:t>
            </w:r>
            <w:r>
              <w:rPr>
                <w:color w:val="auto"/>
                <w:sz w:val="24"/>
              </w:rPr>
              <w:t>Q</w:t>
            </w:r>
            <w:r>
              <w:rPr>
                <w:rFonts w:hint="eastAsia"/>
                <w:color w:val="auto"/>
                <w:sz w:val="24"/>
              </w:rPr>
              <w:t>＜</w:t>
            </w:r>
            <w:r>
              <w:rPr>
                <w:color w:val="auto"/>
                <w:sz w:val="24"/>
              </w:rPr>
              <w:t>1</w:t>
            </w:r>
            <w:r>
              <w:rPr>
                <w:rFonts w:hint="eastAsia"/>
                <w:color w:val="auto"/>
                <w:sz w:val="24"/>
              </w:rPr>
              <w:t>时，该项目环境风险潜势为</w:t>
            </w:r>
            <w:r>
              <w:rPr>
                <w:color w:val="auto"/>
                <w:sz w:val="24"/>
              </w:rPr>
              <w:t>I</w:t>
            </w:r>
            <w:r>
              <w:rPr>
                <w:rFonts w:hint="eastAsia"/>
                <w:color w:val="auto"/>
                <w:sz w:val="24"/>
              </w:rPr>
              <w:t>。</w:t>
            </w:r>
          </w:p>
          <w:p w14:paraId="75451A1A">
            <w:pPr>
              <w:spacing w:line="360" w:lineRule="auto"/>
              <w:ind w:firstLine="480" w:firstLineChars="200"/>
              <w:rPr>
                <w:color w:val="auto"/>
                <w:sz w:val="24"/>
              </w:rPr>
            </w:pPr>
            <w:r>
              <w:rPr>
                <w:rFonts w:hint="eastAsia"/>
                <w:color w:val="auto"/>
                <w:sz w:val="24"/>
              </w:rPr>
              <w:t>当</w:t>
            </w:r>
            <w:r>
              <w:rPr>
                <w:color w:val="auto"/>
                <w:sz w:val="24"/>
              </w:rPr>
              <w:t>Q≥1</w:t>
            </w:r>
            <w:r>
              <w:rPr>
                <w:rFonts w:hint="eastAsia"/>
                <w:color w:val="auto"/>
                <w:sz w:val="24"/>
              </w:rPr>
              <w:t>时，将</w:t>
            </w:r>
            <w:r>
              <w:rPr>
                <w:color w:val="auto"/>
                <w:sz w:val="24"/>
              </w:rPr>
              <w:t>Q</w:t>
            </w:r>
            <w:r>
              <w:rPr>
                <w:rFonts w:hint="eastAsia"/>
                <w:color w:val="auto"/>
                <w:sz w:val="24"/>
              </w:rPr>
              <w:t>值划分为：</w:t>
            </w:r>
          </w:p>
          <w:p w14:paraId="40293C06">
            <w:pPr>
              <w:spacing w:line="360" w:lineRule="auto"/>
              <w:ind w:firstLine="480" w:firstLineChars="200"/>
              <w:rPr>
                <w:color w:val="auto"/>
                <w:sz w:val="24"/>
              </w:rPr>
            </w:pPr>
            <w:r>
              <w:rPr>
                <w:color w:val="auto"/>
                <w:sz w:val="24"/>
              </w:rPr>
              <w:t>a.1≤Q</w:t>
            </w:r>
            <w:r>
              <w:rPr>
                <w:rFonts w:hint="eastAsia"/>
                <w:color w:val="auto"/>
                <w:sz w:val="24"/>
              </w:rPr>
              <w:t>＜</w:t>
            </w:r>
            <w:r>
              <w:rPr>
                <w:color w:val="auto"/>
                <w:sz w:val="24"/>
              </w:rPr>
              <w:t>10</w:t>
            </w:r>
            <w:r>
              <w:rPr>
                <w:rFonts w:hint="eastAsia"/>
                <w:color w:val="auto"/>
                <w:sz w:val="24"/>
              </w:rPr>
              <w:t>；</w:t>
            </w:r>
            <w:r>
              <w:rPr>
                <w:color w:val="auto"/>
                <w:sz w:val="24"/>
              </w:rPr>
              <w:t>b.10≤Q</w:t>
            </w:r>
            <w:r>
              <w:rPr>
                <w:rFonts w:hint="eastAsia"/>
                <w:color w:val="auto"/>
                <w:sz w:val="24"/>
              </w:rPr>
              <w:t>＜</w:t>
            </w:r>
            <w:r>
              <w:rPr>
                <w:color w:val="auto"/>
                <w:sz w:val="24"/>
              </w:rPr>
              <w:t>100</w:t>
            </w:r>
            <w:r>
              <w:rPr>
                <w:rFonts w:hint="eastAsia"/>
                <w:color w:val="auto"/>
                <w:sz w:val="24"/>
              </w:rPr>
              <w:t>；</w:t>
            </w:r>
            <w:r>
              <w:rPr>
                <w:color w:val="auto"/>
                <w:sz w:val="24"/>
              </w:rPr>
              <w:t>c.Q≥100</w:t>
            </w:r>
            <w:r>
              <w:rPr>
                <w:rFonts w:hint="eastAsia"/>
                <w:color w:val="auto"/>
                <w:sz w:val="24"/>
              </w:rPr>
              <w:t>。</w:t>
            </w:r>
          </w:p>
          <w:p w14:paraId="315FF71F">
            <w:pPr>
              <w:spacing w:line="360" w:lineRule="auto"/>
              <w:ind w:firstLine="480" w:firstLineChars="200"/>
              <w:rPr>
                <w:color w:val="auto"/>
                <w:sz w:val="24"/>
              </w:rPr>
            </w:pPr>
            <w:r>
              <w:rPr>
                <w:rFonts w:hint="eastAsia"/>
                <w:color w:val="auto"/>
                <w:sz w:val="24"/>
              </w:rPr>
              <w:t>6.1.2风险潜势判断</w:t>
            </w:r>
          </w:p>
          <w:p w14:paraId="5463D44E">
            <w:pPr>
              <w:spacing w:line="360" w:lineRule="auto"/>
              <w:ind w:firstLine="480" w:firstLineChars="200"/>
              <w:rPr>
                <w:b/>
                <w:bCs/>
                <w:color w:val="auto"/>
                <w:sz w:val="24"/>
                <w:szCs w:val="24"/>
              </w:rPr>
            </w:pPr>
            <w:r>
              <w:rPr>
                <w:rFonts w:hint="eastAsia"/>
                <w:color w:val="auto"/>
                <w:sz w:val="24"/>
              </w:rPr>
              <w:t>对照《建设项目环境风险影响评价技术导则》（</w:t>
            </w:r>
            <w:r>
              <w:rPr>
                <w:color w:val="auto"/>
                <w:sz w:val="24"/>
              </w:rPr>
              <w:t>HJ169-2018</w:t>
            </w:r>
            <w:r>
              <w:rPr>
                <w:rFonts w:hint="eastAsia"/>
                <w:color w:val="auto"/>
                <w:sz w:val="24"/>
              </w:rPr>
              <w:t>）附录</w:t>
            </w:r>
            <w:r>
              <w:rPr>
                <w:color w:val="auto"/>
                <w:sz w:val="24"/>
              </w:rPr>
              <w:t>B</w:t>
            </w:r>
            <w:r>
              <w:rPr>
                <w:rFonts w:hint="eastAsia"/>
                <w:color w:val="auto"/>
                <w:sz w:val="24"/>
              </w:rPr>
              <w:t>，本项目风险物质判定以及危险物质数量与临界量比值（</w:t>
            </w:r>
            <w:r>
              <w:rPr>
                <w:color w:val="auto"/>
                <w:sz w:val="24"/>
              </w:rPr>
              <w:t>Q</w:t>
            </w:r>
            <w:r>
              <w:rPr>
                <w:rFonts w:hint="eastAsia"/>
                <w:color w:val="auto"/>
                <w:sz w:val="24"/>
              </w:rPr>
              <w:t>）计算见下表：</w:t>
            </w:r>
          </w:p>
          <w:p w14:paraId="4848E93B">
            <w:pPr>
              <w:spacing w:line="360" w:lineRule="auto"/>
              <w:jc w:val="center"/>
              <w:rPr>
                <w:b/>
                <w:bCs/>
                <w:color w:val="auto"/>
                <w:sz w:val="24"/>
                <w:szCs w:val="24"/>
              </w:rPr>
            </w:pPr>
            <w:r>
              <w:rPr>
                <w:rFonts w:hint="eastAsia"/>
                <w:b/>
                <w:bCs/>
                <w:color w:val="auto"/>
                <w:sz w:val="24"/>
                <w:szCs w:val="24"/>
              </w:rPr>
              <w:t>表4-31  危险物质物质特性</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73"/>
              <w:gridCol w:w="1136"/>
              <w:gridCol w:w="818"/>
              <w:gridCol w:w="745"/>
              <w:gridCol w:w="1227"/>
              <w:gridCol w:w="1005"/>
              <w:gridCol w:w="1456"/>
              <w:gridCol w:w="1008"/>
            </w:tblGrid>
            <w:tr w14:paraId="1978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7A74ED9A">
                  <w:pPr>
                    <w:jc w:val="center"/>
                    <w:rPr>
                      <w:b/>
                      <w:bCs/>
                      <w:color w:val="auto"/>
                      <w:kern w:val="0"/>
                    </w:rPr>
                  </w:pPr>
                  <w:r>
                    <w:rPr>
                      <w:rFonts w:hint="eastAsia"/>
                      <w:b/>
                      <w:bCs/>
                      <w:color w:val="auto"/>
                      <w:kern w:val="0"/>
                    </w:rPr>
                    <w:t>物质来源</w:t>
                  </w:r>
                </w:p>
              </w:tc>
              <w:tc>
                <w:tcPr>
                  <w:tcW w:w="873" w:type="dxa"/>
                  <w:vAlign w:val="center"/>
                </w:tcPr>
                <w:p w14:paraId="45A4A442">
                  <w:pPr>
                    <w:jc w:val="center"/>
                    <w:rPr>
                      <w:b/>
                      <w:bCs/>
                      <w:color w:val="auto"/>
                      <w:kern w:val="0"/>
                    </w:rPr>
                  </w:pPr>
                  <w:r>
                    <w:rPr>
                      <w:rFonts w:hint="eastAsia"/>
                      <w:b/>
                      <w:bCs/>
                      <w:color w:val="auto"/>
                      <w:kern w:val="0"/>
                    </w:rPr>
                    <w:t>物质名称</w:t>
                  </w:r>
                </w:p>
              </w:tc>
              <w:tc>
                <w:tcPr>
                  <w:tcW w:w="1136" w:type="dxa"/>
                  <w:vAlign w:val="center"/>
                </w:tcPr>
                <w:p w14:paraId="078CBC67">
                  <w:pPr>
                    <w:jc w:val="center"/>
                    <w:rPr>
                      <w:b/>
                      <w:bCs/>
                      <w:color w:val="auto"/>
                      <w:kern w:val="0"/>
                    </w:rPr>
                  </w:pPr>
                  <w:r>
                    <w:rPr>
                      <w:rFonts w:hint="eastAsia"/>
                      <w:b/>
                      <w:bCs/>
                      <w:color w:val="auto"/>
                      <w:kern w:val="0"/>
                    </w:rPr>
                    <w:t>状态</w:t>
                  </w:r>
                </w:p>
              </w:tc>
              <w:tc>
                <w:tcPr>
                  <w:tcW w:w="818" w:type="dxa"/>
                  <w:vAlign w:val="center"/>
                </w:tcPr>
                <w:p w14:paraId="0573C289">
                  <w:pPr>
                    <w:jc w:val="center"/>
                    <w:rPr>
                      <w:b/>
                      <w:bCs/>
                      <w:color w:val="auto"/>
                      <w:kern w:val="0"/>
                    </w:rPr>
                  </w:pPr>
                  <w:r>
                    <w:rPr>
                      <w:rFonts w:hint="eastAsia"/>
                      <w:b/>
                      <w:bCs/>
                      <w:color w:val="auto"/>
                      <w:kern w:val="0"/>
                    </w:rPr>
                    <w:t>闪点</w:t>
                  </w:r>
                </w:p>
              </w:tc>
              <w:tc>
                <w:tcPr>
                  <w:tcW w:w="745" w:type="dxa"/>
                  <w:vAlign w:val="center"/>
                </w:tcPr>
                <w:p w14:paraId="6342E39E">
                  <w:pPr>
                    <w:jc w:val="center"/>
                    <w:rPr>
                      <w:b/>
                      <w:bCs/>
                      <w:color w:val="auto"/>
                      <w:kern w:val="0"/>
                    </w:rPr>
                  </w:pPr>
                  <w:r>
                    <w:rPr>
                      <w:rFonts w:hint="eastAsia"/>
                      <w:b/>
                      <w:bCs/>
                      <w:color w:val="auto"/>
                      <w:kern w:val="0"/>
                    </w:rPr>
                    <w:t>熔点</w:t>
                  </w:r>
                </w:p>
              </w:tc>
              <w:tc>
                <w:tcPr>
                  <w:tcW w:w="1227" w:type="dxa"/>
                  <w:vAlign w:val="center"/>
                </w:tcPr>
                <w:p w14:paraId="5D21ADF0">
                  <w:pPr>
                    <w:jc w:val="center"/>
                    <w:rPr>
                      <w:b/>
                      <w:bCs/>
                      <w:color w:val="auto"/>
                      <w:kern w:val="0"/>
                    </w:rPr>
                  </w:pPr>
                  <w:r>
                    <w:rPr>
                      <w:rFonts w:hint="eastAsia"/>
                      <w:b/>
                      <w:bCs/>
                      <w:color w:val="auto"/>
                      <w:kern w:val="0"/>
                    </w:rPr>
                    <w:t>毒性（LD</w:t>
                  </w:r>
                  <w:r>
                    <w:rPr>
                      <w:rFonts w:hint="eastAsia"/>
                      <w:b/>
                      <w:bCs/>
                      <w:color w:val="auto"/>
                      <w:kern w:val="0"/>
                      <w:vertAlign w:val="subscript"/>
                    </w:rPr>
                    <w:t>50</w:t>
                  </w:r>
                  <w:r>
                    <w:rPr>
                      <w:rFonts w:hint="eastAsia"/>
                      <w:b/>
                      <w:bCs/>
                      <w:color w:val="auto"/>
                      <w:kern w:val="0"/>
                    </w:rPr>
                    <w:t>）</w:t>
                  </w:r>
                </w:p>
              </w:tc>
              <w:tc>
                <w:tcPr>
                  <w:tcW w:w="1005" w:type="dxa"/>
                  <w:vAlign w:val="center"/>
                </w:tcPr>
                <w:p w14:paraId="19743811">
                  <w:pPr>
                    <w:jc w:val="center"/>
                    <w:rPr>
                      <w:b/>
                      <w:bCs/>
                      <w:color w:val="auto"/>
                      <w:kern w:val="0"/>
                    </w:rPr>
                  </w:pPr>
                  <w:r>
                    <w:rPr>
                      <w:rFonts w:hint="eastAsia"/>
                      <w:b/>
                      <w:bCs/>
                      <w:color w:val="auto"/>
                      <w:kern w:val="0"/>
                    </w:rPr>
                    <w:t>燃烧性</w:t>
                  </w:r>
                </w:p>
              </w:tc>
              <w:tc>
                <w:tcPr>
                  <w:tcW w:w="1456" w:type="dxa"/>
                  <w:vAlign w:val="center"/>
                </w:tcPr>
                <w:p w14:paraId="1C27C95D">
                  <w:pPr>
                    <w:jc w:val="center"/>
                    <w:rPr>
                      <w:b/>
                      <w:bCs/>
                      <w:color w:val="auto"/>
                      <w:kern w:val="0"/>
                    </w:rPr>
                  </w:pPr>
                  <w:r>
                    <w:rPr>
                      <w:rFonts w:hint="eastAsia"/>
                      <w:b/>
                      <w:bCs/>
                      <w:color w:val="auto"/>
                      <w:kern w:val="0"/>
                    </w:rPr>
                    <w:t>爆炸极限（V/V%）</w:t>
                  </w:r>
                </w:p>
              </w:tc>
              <w:tc>
                <w:tcPr>
                  <w:tcW w:w="1008" w:type="dxa"/>
                  <w:vAlign w:val="center"/>
                </w:tcPr>
                <w:p w14:paraId="577FA28D">
                  <w:pPr>
                    <w:jc w:val="center"/>
                    <w:rPr>
                      <w:b/>
                      <w:bCs/>
                      <w:color w:val="auto"/>
                      <w:kern w:val="0"/>
                    </w:rPr>
                  </w:pPr>
                  <w:r>
                    <w:rPr>
                      <w:rFonts w:hint="eastAsia"/>
                      <w:b/>
                      <w:bCs/>
                      <w:color w:val="auto"/>
                      <w:kern w:val="0"/>
                    </w:rPr>
                    <w:t>物质风险类型</w:t>
                  </w:r>
                </w:p>
              </w:tc>
            </w:tr>
            <w:tr w14:paraId="4F14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restart"/>
                  <w:vAlign w:val="center"/>
                </w:tcPr>
                <w:p w14:paraId="6303340E">
                  <w:pPr>
                    <w:jc w:val="center"/>
                    <w:rPr>
                      <w:color w:val="auto"/>
                      <w:kern w:val="0"/>
                    </w:rPr>
                  </w:pPr>
                  <w:r>
                    <w:rPr>
                      <w:rFonts w:hint="eastAsia"/>
                      <w:color w:val="auto"/>
                      <w:kern w:val="0"/>
                    </w:rPr>
                    <w:t>原辅料</w:t>
                  </w:r>
                </w:p>
              </w:tc>
              <w:tc>
                <w:tcPr>
                  <w:tcW w:w="873" w:type="dxa"/>
                  <w:vAlign w:val="center"/>
                </w:tcPr>
                <w:p w14:paraId="7C86DFCA">
                  <w:pPr>
                    <w:jc w:val="center"/>
                    <w:rPr>
                      <w:color w:val="auto"/>
                      <w:kern w:val="0"/>
                    </w:rPr>
                  </w:pPr>
                  <w:r>
                    <w:rPr>
                      <w:rFonts w:hint="eastAsia"/>
                      <w:color w:val="auto"/>
                      <w:kern w:val="0"/>
                    </w:rPr>
                    <w:t>天然气</w:t>
                  </w:r>
                </w:p>
              </w:tc>
              <w:tc>
                <w:tcPr>
                  <w:tcW w:w="1136" w:type="dxa"/>
                  <w:vAlign w:val="center"/>
                </w:tcPr>
                <w:p w14:paraId="7A55E07A">
                  <w:pPr>
                    <w:jc w:val="center"/>
                    <w:rPr>
                      <w:color w:val="auto"/>
                      <w:kern w:val="0"/>
                    </w:rPr>
                  </w:pPr>
                  <w:r>
                    <w:rPr>
                      <w:rFonts w:hint="eastAsia"/>
                      <w:color w:val="auto"/>
                      <w:kern w:val="0"/>
                    </w:rPr>
                    <w:t>气态</w:t>
                  </w:r>
                </w:p>
              </w:tc>
              <w:tc>
                <w:tcPr>
                  <w:tcW w:w="818" w:type="dxa"/>
                  <w:vAlign w:val="center"/>
                </w:tcPr>
                <w:p w14:paraId="09DEA2C6">
                  <w:pPr>
                    <w:jc w:val="center"/>
                    <w:rPr>
                      <w:color w:val="auto"/>
                      <w:kern w:val="0"/>
                    </w:rPr>
                  </w:pPr>
                  <w:r>
                    <w:rPr>
                      <w:rFonts w:hint="eastAsia"/>
                      <w:color w:val="auto"/>
                      <w:kern w:val="0"/>
                    </w:rPr>
                    <w:t>-190℃</w:t>
                  </w:r>
                </w:p>
              </w:tc>
              <w:tc>
                <w:tcPr>
                  <w:tcW w:w="745" w:type="dxa"/>
                  <w:vAlign w:val="center"/>
                </w:tcPr>
                <w:p w14:paraId="5298999B">
                  <w:pPr>
                    <w:jc w:val="center"/>
                    <w:rPr>
                      <w:color w:val="auto"/>
                      <w:kern w:val="0"/>
                    </w:rPr>
                  </w:pPr>
                  <w:r>
                    <w:rPr>
                      <w:rFonts w:hint="eastAsia"/>
                      <w:color w:val="auto"/>
                      <w:kern w:val="0"/>
                    </w:rPr>
                    <w:t>/</w:t>
                  </w:r>
                </w:p>
              </w:tc>
              <w:tc>
                <w:tcPr>
                  <w:tcW w:w="1227" w:type="dxa"/>
                  <w:vAlign w:val="center"/>
                </w:tcPr>
                <w:p w14:paraId="4E24D016">
                  <w:pPr>
                    <w:jc w:val="center"/>
                    <w:rPr>
                      <w:color w:val="auto"/>
                      <w:kern w:val="0"/>
                    </w:rPr>
                  </w:pPr>
                  <w:r>
                    <w:rPr>
                      <w:rFonts w:hint="eastAsia"/>
                      <w:color w:val="auto"/>
                      <w:kern w:val="0"/>
                    </w:rPr>
                    <w:t>/</w:t>
                  </w:r>
                </w:p>
              </w:tc>
              <w:tc>
                <w:tcPr>
                  <w:tcW w:w="1005" w:type="dxa"/>
                  <w:vAlign w:val="center"/>
                </w:tcPr>
                <w:p w14:paraId="643814CE">
                  <w:pPr>
                    <w:jc w:val="center"/>
                    <w:rPr>
                      <w:color w:val="auto"/>
                      <w:kern w:val="0"/>
                    </w:rPr>
                  </w:pPr>
                  <w:r>
                    <w:rPr>
                      <w:rFonts w:hint="eastAsia"/>
                      <w:color w:val="auto"/>
                      <w:kern w:val="0"/>
                    </w:rPr>
                    <w:t>可燃</w:t>
                  </w:r>
                </w:p>
              </w:tc>
              <w:tc>
                <w:tcPr>
                  <w:tcW w:w="1456" w:type="dxa"/>
                  <w:vAlign w:val="center"/>
                </w:tcPr>
                <w:p w14:paraId="3A5A5F03">
                  <w:pPr>
                    <w:jc w:val="center"/>
                    <w:rPr>
                      <w:color w:val="auto"/>
                      <w:kern w:val="0"/>
                    </w:rPr>
                  </w:pPr>
                  <w:r>
                    <w:rPr>
                      <w:color w:val="auto"/>
                    </w:rPr>
                    <w:t>5-14%</w:t>
                  </w:r>
                </w:p>
              </w:tc>
              <w:tc>
                <w:tcPr>
                  <w:tcW w:w="1008" w:type="dxa"/>
                  <w:vAlign w:val="center"/>
                </w:tcPr>
                <w:p w14:paraId="66630F59">
                  <w:pPr>
                    <w:jc w:val="center"/>
                    <w:rPr>
                      <w:color w:val="auto"/>
                      <w:kern w:val="0"/>
                    </w:rPr>
                  </w:pPr>
                  <w:r>
                    <w:rPr>
                      <w:rFonts w:hint="eastAsia"/>
                      <w:color w:val="auto"/>
                      <w:kern w:val="0"/>
                    </w:rPr>
                    <w:t>火灾</w:t>
                  </w:r>
                </w:p>
              </w:tc>
            </w:tr>
            <w:tr w14:paraId="267A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vAlign w:val="center"/>
                </w:tcPr>
                <w:p w14:paraId="2D2FBB4E">
                  <w:pPr>
                    <w:jc w:val="center"/>
                    <w:rPr>
                      <w:color w:val="auto"/>
                      <w:kern w:val="0"/>
                    </w:rPr>
                  </w:pPr>
                </w:p>
              </w:tc>
              <w:tc>
                <w:tcPr>
                  <w:tcW w:w="873" w:type="dxa"/>
                  <w:vAlign w:val="center"/>
                </w:tcPr>
                <w:p w14:paraId="579B4C01">
                  <w:pPr>
                    <w:jc w:val="center"/>
                    <w:rPr>
                      <w:color w:val="auto"/>
                      <w:kern w:val="0"/>
                    </w:rPr>
                  </w:pPr>
                  <w:r>
                    <w:rPr>
                      <w:rFonts w:hint="eastAsia"/>
                      <w:color w:val="auto"/>
                      <w:kern w:val="0"/>
                    </w:rPr>
                    <w:t>白油</w:t>
                  </w:r>
                </w:p>
              </w:tc>
              <w:tc>
                <w:tcPr>
                  <w:tcW w:w="1136" w:type="dxa"/>
                  <w:vAlign w:val="center"/>
                </w:tcPr>
                <w:p w14:paraId="7EEC618A">
                  <w:pPr>
                    <w:jc w:val="center"/>
                    <w:rPr>
                      <w:color w:val="auto"/>
                      <w:kern w:val="0"/>
                    </w:rPr>
                  </w:pPr>
                  <w:r>
                    <w:rPr>
                      <w:rFonts w:hint="eastAsia"/>
                      <w:color w:val="auto"/>
                      <w:kern w:val="0"/>
                    </w:rPr>
                    <w:t>液态</w:t>
                  </w:r>
                </w:p>
              </w:tc>
              <w:tc>
                <w:tcPr>
                  <w:tcW w:w="818" w:type="dxa"/>
                  <w:vAlign w:val="center"/>
                </w:tcPr>
                <w:p w14:paraId="2827F8F9">
                  <w:pPr>
                    <w:jc w:val="center"/>
                    <w:rPr>
                      <w:color w:val="auto"/>
                      <w:kern w:val="0"/>
                    </w:rPr>
                  </w:pPr>
                  <w:r>
                    <w:rPr>
                      <w:rFonts w:hint="eastAsia"/>
                      <w:color w:val="auto"/>
                      <w:kern w:val="0"/>
                    </w:rPr>
                    <w:t>55-100℃</w:t>
                  </w:r>
                </w:p>
              </w:tc>
              <w:tc>
                <w:tcPr>
                  <w:tcW w:w="745" w:type="dxa"/>
                  <w:vAlign w:val="center"/>
                </w:tcPr>
                <w:p w14:paraId="0CD7C47D">
                  <w:pPr>
                    <w:jc w:val="center"/>
                    <w:rPr>
                      <w:color w:val="auto"/>
                      <w:kern w:val="0"/>
                    </w:rPr>
                  </w:pPr>
                  <w:r>
                    <w:rPr>
                      <w:rFonts w:hint="eastAsia"/>
                      <w:color w:val="auto"/>
                      <w:kern w:val="0"/>
                    </w:rPr>
                    <w:t>/</w:t>
                  </w:r>
                </w:p>
              </w:tc>
              <w:tc>
                <w:tcPr>
                  <w:tcW w:w="1227" w:type="dxa"/>
                  <w:vAlign w:val="center"/>
                </w:tcPr>
                <w:p w14:paraId="72E71C79">
                  <w:pPr>
                    <w:jc w:val="center"/>
                    <w:rPr>
                      <w:color w:val="auto"/>
                      <w:kern w:val="0"/>
                    </w:rPr>
                  </w:pPr>
                  <w:r>
                    <w:rPr>
                      <w:rFonts w:hint="eastAsia"/>
                      <w:color w:val="auto"/>
                      <w:kern w:val="0"/>
                    </w:rPr>
                    <w:t>/</w:t>
                  </w:r>
                </w:p>
              </w:tc>
              <w:tc>
                <w:tcPr>
                  <w:tcW w:w="1005" w:type="dxa"/>
                  <w:vAlign w:val="center"/>
                </w:tcPr>
                <w:p w14:paraId="5BA98FBF">
                  <w:pPr>
                    <w:jc w:val="center"/>
                    <w:rPr>
                      <w:color w:val="auto"/>
                      <w:kern w:val="0"/>
                    </w:rPr>
                  </w:pPr>
                  <w:r>
                    <w:rPr>
                      <w:rFonts w:hint="eastAsia"/>
                      <w:color w:val="auto"/>
                      <w:kern w:val="0"/>
                    </w:rPr>
                    <w:t>可燃</w:t>
                  </w:r>
                </w:p>
              </w:tc>
              <w:tc>
                <w:tcPr>
                  <w:tcW w:w="1456" w:type="dxa"/>
                  <w:vAlign w:val="center"/>
                </w:tcPr>
                <w:p w14:paraId="3678F051">
                  <w:pPr>
                    <w:jc w:val="center"/>
                    <w:rPr>
                      <w:color w:val="auto"/>
                      <w:kern w:val="0"/>
                    </w:rPr>
                  </w:pPr>
                  <w:r>
                    <w:rPr>
                      <w:rFonts w:hint="eastAsia"/>
                      <w:color w:val="auto"/>
                      <w:kern w:val="0"/>
                    </w:rPr>
                    <w:t>1.4-7.5%</w:t>
                  </w:r>
                </w:p>
              </w:tc>
              <w:tc>
                <w:tcPr>
                  <w:tcW w:w="1008" w:type="dxa"/>
                  <w:vAlign w:val="center"/>
                </w:tcPr>
                <w:p w14:paraId="0CF1D08C">
                  <w:pPr>
                    <w:jc w:val="center"/>
                    <w:rPr>
                      <w:color w:val="auto"/>
                      <w:kern w:val="0"/>
                    </w:rPr>
                  </w:pPr>
                  <w:r>
                    <w:rPr>
                      <w:rFonts w:hint="eastAsia"/>
                      <w:color w:val="auto"/>
                      <w:kern w:val="0"/>
                    </w:rPr>
                    <w:t>火灾</w:t>
                  </w:r>
                </w:p>
              </w:tc>
            </w:tr>
            <w:tr w14:paraId="4010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vAlign w:val="center"/>
                </w:tcPr>
                <w:p w14:paraId="2A3E5243">
                  <w:pPr>
                    <w:jc w:val="center"/>
                    <w:rPr>
                      <w:color w:val="auto"/>
                      <w:kern w:val="0"/>
                    </w:rPr>
                  </w:pPr>
                </w:p>
              </w:tc>
              <w:tc>
                <w:tcPr>
                  <w:tcW w:w="873" w:type="dxa"/>
                  <w:vAlign w:val="center"/>
                </w:tcPr>
                <w:p w14:paraId="542F21C8">
                  <w:pPr>
                    <w:jc w:val="center"/>
                    <w:rPr>
                      <w:color w:val="auto"/>
                      <w:kern w:val="0"/>
                    </w:rPr>
                  </w:pPr>
                  <w:r>
                    <w:rPr>
                      <w:rFonts w:hint="eastAsia"/>
                      <w:color w:val="auto"/>
                      <w:kern w:val="0"/>
                    </w:rPr>
                    <w:t>液压油</w:t>
                  </w:r>
                </w:p>
              </w:tc>
              <w:tc>
                <w:tcPr>
                  <w:tcW w:w="1136" w:type="dxa"/>
                  <w:vAlign w:val="center"/>
                </w:tcPr>
                <w:p w14:paraId="52BF38AA">
                  <w:pPr>
                    <w:jc w:val="center"/>
                    <w:rPr>
                      <w:color w:val="auto"/>
                      <w:kern w:val="0"/>
                    </w:rPr>
                  </w:pPr>
                  <w:r>
                    <w:rPr>
                      <w:rFonts w:hint="eastAsia"/>
                      <w:color w:val="auto"/>
                      <w:kern w:val="0"/>
                    </w:rPr>
                    <w:t>液态</w:t>
                  </w:r>
                </w:p>
              </w:tc>
              <w:tc>
                <w:tcPr>
                  <w:tcW w:w="818" w:type="dxa"/>
                  <w:vAlign w:val="center"/>
                </w:tcPr>
                <w:p w14:paraId="1ACD331C">
                  <w:pPr>
                    <w:jc w:val="center"/>
                    <w:rPr>
                      <w:color w:val="auto"/>
                      <w:kern w:val="0"/>
                    </w:rPr>
                  </w:pPr>
                  <w:r>
                    <w:rPr>
                      <w:rFonts w:hint="eastAsia"/>
                      <w:color w:val="auto"/>
                      <w:kern w:val="0"/>
                    </w:rPr>
                    <w:t>240℃</w:t>
                  </w:r>
                </w:p>
              </w:tc>
              <w:tc>
                <w:tcPr>
                  <w:tcW w:w="745" w:type="dxa"/>
                  <w:vAlign w:val="center"/>
                </w:tcPr>
                <w:p w14:paraId="67D3285D">
                  <w:pPr>
                    <w:jc w:val="center"/>
                    <w:rPr>
                      <w:color w:val="auto"/>
                      <w:kern w:val="0"/>
                    </w:rPr>
                  </w:pPr>
                  <w:r>
                    <w:rPr>
                      <w:rFonts w:hint="eastAsia"/>
                      <w:color w:val="auto"/>
                      <w:kern w:val="0"/>
                    </w:rPr>
                    <w:t>/</w:t>
                  </w:r>
                </w:p>
              </w:tc>
              <w:tc>
                <w:tcPr>
                  <w:tcW w:w="1227" w:type="dxa"/>
                  <w:vAlign w:val="center"/>
                </w:tcPr>
                <w:p w14:paraId="398757AB">
                  <w:pPr>
                    <w:jc w:val="center"/>
                    <w:rPr>
                      <w:color w:val="auto"/>
                      <w:kern w:val="0"/>
                    </w:rPr>
                  </w:pPr>
                  <w:r>
                    <w:rPr>
                      <w:rFonts w:hint="eastAsia"/>
                      <w:color w:val="auto"/>
                      <w:kern w:val="0"/>
                    </w:rPr>
                    <w:t>/</w:t>
                  </w:r>
                </w:p>
              </w:tc>
              <w:tc>
                <w:tcPr>
                  <w:tcW w:w="1005" w:type="dxa"/>
                  <w:vAlign w:val="center"/>
                </w:tcPr>
                <w:p w14:paraId="742C7531">
                  <w:pPr>
                    <w:jc w:val="center"/>
                    <w:rPr>
                      <w:color w:val="auto"/>
                      <w:kern w:val="0"/>
                    </w:rPr>
                  </w:pPr>
                  <w:r>
                    <w:rPr>
                      <w:rFonts w:hint="eastAsia"/>
                      <w:color w:val="auto"/>
                      <w:kern w:val="0"/>
                    </w:rPr>
                    <w:t>可燃</w:t>
                  </w:r>
                </w:p>
              </w:tc>
              <w:tc>
                <w:tcPr>
                  <w:tcW w:w="1456" w:type="dxa"/>
                  <w:vAlign w:val="center"/>
                </w:tcPr>
                <w:p w14:paraId="415E8E4C">
                  <w:pPr>
                    <w:jc w:val="center"/>
                    <w:rPr>
                      <w:rFonts w:hint="default" w:eastAsia="宋体"/>
                      <w:color w:val="auto"/>
                      <w:kern w:val="0"/>
                      <w:lang w:val="en-US" w:eastAsia="zh-CN"/>
                    </w:rPr>
                  </w:pPr>
                  <w:r>
                    <w:rPr>
                      <w:rFonts w:hint="eastAsia"/>
                      <w:color w:val="auto"/>
                      <w:kern w:val="0"/>
                      <w:lang w:val="en-US" w:eastAsia="zh-CN"/>
                    </w:rPr>
                    <w:t>0.9-7%</w:t>
                  </w:r>
                </w:p>
              </w:tc>
              <w:tc>
                <w:tcPr>
                  <w:tcW w:w="1008" w:type="dxa"/>
                  <w:vAlign w:val="center"/>
                </w:tcPr>
                <w:p w14:paraId="108B3F96">
                  <w:pPr>
                    <w:jc w:val="center"/>
                    <w:rPr>
                      <w:color w:val="auto"/>
                      <w:kern w:val="0"/>
                    </w:rPr>
                  </w:pPr>
                  <w:r>
                    <w:rPr>
                      <w:rFonts w:hint="eastAsia"/>
                      <w:color w:val="auto"/>
                      <w:kern w:val="0"/>
                    </w:rPr>
                    <w:t>火灾</w:t>
                  </w:r>
                </w:p>
              </w:tc>
            </w:tr>
            <w:tr w14:paraId="5DAC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vAlign w:val="center"/>
                </w:tcPr>
                <w:p w14:paraId="388C1FF4">
                  <w:pPr>
                    <w:jc w:val="center"/>
                    <w:rPr>
                      <w:color w:val="auto"/>
                      <w:kern w:val="0"/>
                    </w:rPr>
                  </w:pPr>
                </w:p>
              </w:tc>
              <w:tc>
                <w:tcPr>
                  <w:tcW w:w="873" w:type="dxa"/>
                  <w:vAlign w:val="center"/>
                </w:tcPr>
                <w:p w14:paraId="66C60FE2">
                  <w:pPr>
                    <w:jc w:val="center"/>
                    <w:rPr>
                      <w:color w:val="auto"/>
                      <w:kern w:val="0"/>
                    </w:rPr>
                  </w:pPr>
                  <w:r>
                    <w:rPr>
                      <w:rFonts w:hint="eastAsia"/>
                      <w:color w:val="auto"/>
                      <w:kern w:val="0"/>
                    </w:rPr>
                    <w:t>磨削液</w:t>
                  </w:r>
                </w:p>
              </w:tc>
              <w:tc>
                <w:tcPr>
                  <w:tcW w:w="1136" w:type="dxa"/>
                  <w:vAlign w:val="center"/>
                </w:tcPr>
                <w:p w14:paraId="66C0E918">
                  <w:pPr>
                    <w:jc w:val="center"/>
                    <w:rPr>
                      <w:color w:val="auto"/>
                      <w:kern w:val="0"/>
                    </w:rPr>
                  </w:pPr>
                  <w:r>
                    <w:rPr>
                      <w:rFonts w:hint="eastAsia"/>
                      <w:color w:val="auto"/>
                      <w:kern w:val="0"/>
                    </w:rPr>
                    <w:t>液态</w:t>
                  </w:r>
                </w:p>
              </w:tc>
              <w:tc>
                <w:tcPr>
                  <w:tcW w:w="818" w:type="dxa"/>
                  <w:vAlign w:val="center"/>
                </w:tcPr>
                <w:p w14:paraId="284A380A">
                  <w:pPr>
                    <w:jc w:val="center"/>
                    <w:rPr>
                      <w:color w:val="auto"/>
                      <w:kern w:val="0"/>
                    </w:rPr>
                  </w:pPr>
                  <w:r>
                    <w:rPr>
                      <w:rFonts w:hint="eastAsia"/>
                      <w:color w:val="auto"/>
                      <w:kern w:val="0"/>
                    </w:rPr>
                    <w:t>/</w:t>
                  </w:r>
                </w:p>
              </w:tc>
              <w:tc>
                <w:tcPr>
                  <w:tcW w:w="745" w:type="dxa"/>
                  <w:vAlign w:val="center"/>
                </w:tcPr>
                <w:p w14:paraId="167D4682">
                  <w:pPr>
                    <w:jc w:val="center"/>
                    <w:rPr>
                      <w:color w:val="auto"/>
                      <w:kern w:val="0"/>
                    </w:rPr>
                  </w:pPr>
                  <w:r>
                    <w:rPr>
                      <w:rFonts w:hint="eastAsia"/>
                      <w:color w:val="auto"/>
                      <w:kern w:val="0"/>
                    </w:rPr>
                    <w:t>/</w:t>
                  </w:r>
                </w:p>
              </w:tc>
              <w:tc>
                <w:tcPr>
                  <w:tcW w:w="1227" w:type="dxa"/>
                  <w:vAlign w:val="center"/>
                </w:tcPr>
                <w:p w14:paraId="63469EB2">
                  <w:pPr>
                    <w:jc w:val="center"/>
                    <w:rPr>
                      <w:color w:val="auto"/>
                      <w:kern w:val="0"/>
                    </w:rPr>
                  </w:pPr>
                  <w:r>
                    <w:rPr>
                      <w:color w:val="auto"/>
                    </w:rPr>
                    <w:t>2000</w:t>
                  </w:r>
                  <w:r>
                    <w:rPr>
                      <w:rFonts w:hint="eastAsia"/>
                      <w:color w:val="auto"/>
                    </w:rPr>
                    <w:t>mg/kg</w:t>
                  </w:r>
                </w:p>
              </w:tc>
              <w:tc>
                <w:tcPr>
                  <w:tcW w:w="1005" w:type="dxa"/>
                  <w:vAlign w:val="center"/>
                </w:tcPr>
                <w:p w14:paraId="7213275A">
                  <w:pPr>
                    <w:jc w:val="center"/>
                    <w:rPr>
                      <w:color w:val="auto"/>
                      <w:kern w:val="0"/>
                    </w:rPr>
                  </w:pPr>
                  <w:r>
                    <w:rPr>
                      <w:rFonts w:hint="eastAsia"/>
                      <w:color w:val="auto"/>
                      <w:kern w:val="0"/>
                    </w:rPr>
                    <w:t>不燃</w:t>
                  </w:r>
                </w:p>
              </w:tc>
              <w:tc>
                <w:tcPr>
                  <w:tcW w:w="1456" w:type="dxa"/>
                  <w:vAlign w:val="center"/>
                </w:tcPr>
                <w:p w14:paraId="2CBEE4DD">
                  <w:pPr>
                    <w:jc w:val="center"/>
                    <w:rPr>
                      <w:color w:val="auto"/>
                      <w:kern w:val="0"/>
                    </w:rPr>
                  </w:pPr>
                  <w:r>
                    <w:rPr>
                      <w:rFonts w:hint="eastAsia"/>
                      <w:color w:val="auto"/>
                      <w:kern w:val="0"/>
                    </w:rPr>
                    <w:t>/</w:t>
                  </w:r>
                </w:p>
              </w:tc>
              <w:tc>
                <w:tcPr>
                  <w:tcW w:w="1008" w:type="dxa"/>
                  <w:vAlign w:val="center"/>
                </w:tcPr>
                <w:p w14:paraId="216C6085">
                  <w:pPr>
                    <w:jc w:val="center"/>
                    <w:rPr>
                      <w:color w:val="auto"/>
                      <w:kern w:val="0"/>
                    </w:rPr>
                  </w:pPr>
                  <w:r>
                    <w:rPr>
                      <w:rFonts w:hint="eastAsia"/>
                      <w:color w:val="auto"/>
                      <w:kern w:val="0"/>
                    </w:rPr>
                    <w:t>泄漏</w:t>
                  </w:r>
                </w:p>
              </w:tc>
            </w:tr>
          </w:tbl>
          <w:p w14:paraId="0F38F6B5">
            <w:pPr>
              <w:spacing w:line="360" w:lineRule="auto"/>
              <w:jc w:val="center"/>
              <w:rPr>
                <w:color w:val="auto"/>
                <w:sz w:val="24"/>
              </w:rPr>
            </w:pPr>
            <w:r>
              <w:rPr>
                <w:rFonts w:hint="eastAsia"/>
                <w:b/>
                <w:bCs/>
                <w:color w:val="auto"/>
                <w:sz w:val="24"/>
                <w:szCs w:val="24"/>
              </w:rPr>
              <w:t>表4-32  建设项目Q值确定表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223"/>
              <w:gridCol w:w="655"/>
              <w:gridCol w:w="730"/>
              <w:gridCol w:w="1256"/>
              <w:gridCol w:w="1390"/>
              <w:gridCol w:w="3230"/>
            </w:tblGrid>
            <w:tr w14:paraId="4E33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4A567D09">
                  <w:pPr>
                    <w:jc w:val="center"/>
                    <w:rPr>
                      <w:b/>
                      <w:bCs/>
                      <w:color w:val="auto"/>
                      <w:kern w:val="0"/>
                    </w:rPr>
                  </w:pPr>
                  <w:r>
                    <w:rPr>
                      <w:rFonts w:hint="eastAsia"/>
                      <w:b/>
                      <w:bCs/>
                      <w:color w:val="auto"/>
                      <w:kern w:val="0"/>
                    </w:rPr>
                    <w:t>序号</w:t>
                  </w:r>
                </w:p>
              </w:tc>
              <w:tc>
                <w:tcPr>
                  <w:tcW w:w="1223" w:type="dxa"/>
                  <w:vAlign w:val="center"/>
                </w:tcPr>
                <w:p w14:paraId="4D44231D">
                  <w:pPr>
                    <w:jc w:val="center"/>
                    <w:rPr>
                      <w:b/>
                      <w:bCs/>
                      <w:color w:val="auto"/>
                      <w:kern w:val="0"/>
                    </w:rPr>
                  </w:pPr>
                  <w:r>
                    <w:rPr>
                      <w:rFonts w:hint="eastAsia"/>
                      <w:b/>
                      <w:bCs/>
                      <w:color w:val="auto"/>
                      <w:kern w:val="0"/>
                    </w:rPr>
                    <w:t>风险物质名称</w:t>
                  </w:r>
                </w:p>
              </w:tc>
              <w:tc>
                <w:tcPr>
                  <w:tcW w:w="655" w:type="dxa"/>
                  <w:vAlign w:val="center"/>
                </w:tcPr>
                <w:p w14:paraId="5EE814E0">
                  <w:pPr>
                    <w:jc w:val="center"/>
                    <w:rPr>
                      <w:b/>
                      <w:bCs/>
                      <w:color w:val="auto"/>
                      <w:kern w:val="0"/>
                    </w:rPr>
                  </w:pPr>
                  <w:r>
                    <w:rPr>
                      <w:rFonts w:hint="eastAsia"/>
                      <w:b/>
                      <w:bCs/>
                      <w:color w:val="auto"/>
                      <w:kern w:val="0"/>
                    </w:rPr>
                    <w:t>CAS号</w:t>
                  </w:r>
                </w:p>
              </w:tc>
              <w:tc>
                <w:tcPr>
                  <w:tcW w:w="730" w:type="dxa"/>
                  <w:vAlign w:val="center"/>
                </w:tcPr>
                <w:p w14:paraId="584B74C2">
                  <w:pPr>
                    <w:jc w:val="center"/>
                    <w:rPr>
                      <w:b/>
                      <w:bCs/>
                      <w:color w:val="auto"/>
                      <w:kern w:val="0"/>
                    </w:rPr>
                  </w:pPr>
                  <w:r>
                    <w:rPr>
                      <w:rFonts w:hint="eastAsia"/>
                      <w:b/>
                      <w:bCs/>
                      <w:color w:val="auto"/>
                      <w:kern w:val="0"/>
                    </w:rPr>
                    <w:t>临界量</w:t>
                  </w:r>
                </w:p>
              </w:tc>
              <w:tc>
                <w:tcPr>
                  <w:tcW w:w="1256" w:type="dxa"/>
                  <w:shd w:val="clear" w:color="auto" w:fill="auto"/>
                  <w:vAlign w:val="center"/>
                </w:tcPr>
                <w:p w14:paraId="33793BCA">
                  <w:pPr>
                    <w:jc w:val="center"/>
                    <w:rPr>
                      <w:b/>
                      <w:bCs/>
                      <w:color w:val="auto"/>
                      <w:kern w:val="0"/>
                    </w:rPr>
                  </w:pPr>
                  <w:r>
                    <w:rPr>
                      <w:rFonts w:hint="eastAsia"/>
                      <w:b/>
                      <w:bCs/>
                      <w:color w:val="auto"/>
                      <w:kern w:val="0"/>
                    </w:rPr>
                    <w:t>企业最大存在量</w:t>
                  </w:r>
                  <w:r>
                    <w:rPr>
                      <w:rFonts w:hint="eastAsia"/>
                      <w:b/>
                      <w:bCs/>
                      <w:color w:val="auto"/>
                    </w:rPr>
                    <w:t>（t）</w:t>
                  </w:r>
                </w:p>
              </w:tc>
              <w:tc>
                <w:tcPr>
                  <w:tcW w:w="1390" w:type="dxa"/>
                  <w:shd w:val="clear" w:color="auto" w:fill="auto"/>
                  <w:vAlign w:val="center"/>
                </w:tcPr>
                <w:p w14:paraId="1B255F11">
                  <w:pPr>
                    <w:jc w:val="center"/>
                    <w:rPr>
                      <w:b/>
                      <w:bCs/>
                      <w:color w:val="auto"/>
                      <w:kern w:val="0"/>
                    </w:rPr>
                  </w:pPr>
                  <w:r>
                    <w:rPr>
                      <w:rFonts w:hint="eastAsia"/>
                      <w:b/>
                      <w:bCs/>
                      <w:color w:val="auto"/>
                      <w:kern w:val="0"/>
                    </w:rPr>
                    <w:t>Q值</w:t>
                  </w:r>
                </w:p>
              </w:tc>
              <w:tc>
                <w:tcPr>
                  <w:tcW w:w="3230" w:type="dxa"/>
                  <w:vAlign w:val="center"/>
                </w:tcPr>
                <w:p w14:paraId="51C2A604">
                  <w:pPr>
                    <w:jc w:val="center"/>
                    <w:rPr>
                      <w:b/>
                      <w:bCs/>
                      <w:color w:val="auto"/>
                      <w:kern w:val="0"/>
                    </w:rPr>
                  </w:pPr>
                  <w:r>
                    <w:rPr>
                      <w:rFonts w:hint="eastAsia"/>
                      <w:b/>
                      <w:bCs/>
                      <w:color w:val="auto"/>
                      <w:kern w:val="0"/>
                    </w:rPr>
                    <w:t>判定依据</w:t>
                  </w:r>
                </w:p>
              </w:tc>
            </w:tr>
            <w:tr w14:paraId="4028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03DAF383">
                  <w:pPr>
                    <w:jc w:val="center"/>
                    <w:rPr>
                      <w:color w:val="auto"/>
                      <w:kern w:val="0"/>
                    </w:rPr>
                  </w:pPr>
                  <w:r>
                    <w:rPr>
                      <w:rFonts w:hint="eastAsia"/>
                      <w:color w:val="auto"/>
                      <w:kern w:val="0"/>
                    </w:rPr>
                    <w:t>1</w:t>
                  </w:r>
                </w:p>
              </w:tc>
              <w:tc>
                <w:tcPr>
                  <w:tcW w:w="1223" w:type="dxa"/>
                  <w:vAlign w:val="center"/>
                </w:tcPr>
                <w:p w14:paraId="7E5358CD">
                  <w:pPr>
                    <w:jc w:val="center"/>
                    <w:rPr>
                      <w:color w:val="auto"/>
                      <w:kern w:val="0"/>
                    </w:rPr>
                  </w:pPr>
                  <w:r>
                    <w:rPr>
                      <w:rFonts w:hint="eastAsia"/>
                      <w:color w:val="auto"/>
                      <w:kern w:val="0"/>
                    </w:rPr>
                    <w:t>天然气</w:t>
                  </w:r>
                </w:p>
              </w:tc>
              <w:tc>
                <w:tcPr>
                  <w:tcW w:w="655" w:type="dxa"/>
                  <w:vAlign w:val="center"/>
                </w:tcPr>
                <w:p w14:paraId="594C49B4">
                  <w:pPr>
                    <w:jc w:val="center"/>
                    <w:rPr>
                      <w:color w:val="auto"/>
                      <w:kern w:val="0"/>
                    </w:rPr>
                  </w:pPr>
                  <w:r>
                    <w:rPr>
                      <w:rFonts w:hint="eastAsia"/>
                      <w:color w:val="auto"/>
                      <w:kern w:val="0"/>
                    </w:rPr>
                    <w:t>/</w:t>
                  </w:r>
                </w:p>
              </w:tc>
              <w:tc>
                <w:tcPr>
                  <w:tcW w:w="730" w:type="dxa"/>
                  <w:vAlign w:val="center"/>
                </w:tcPr>
                <w:p w14:paraId="1ED52785">
                  <w:pPr>
                    <w:jc w:val="center"/>
                    <w:rPr>
                      <w:color w:val="auto"/>
                      <w:kern w:val="0"/>
                    </w:rPr>
                  </w:pPr>
                  <w:r>
                    <w:rPr>
                      <w:rFonts w:hint="eastAsia"/>
                      <w:color w:val="auto"/>
                      <w:kern w:val="0"/>
                    </w:rPr>
                    <w:t>10</w:t>
                  </w:r>
                </w:p>
              </w:tc>
              <w:tc>
                <w:tcPr>
                  <w:tcW w:w="1256" w:type="dxa"/>
                  <w:vAlign w:val="center"/>
                </w:tcPr>
                <w:p w14:paraId="5A694CC0">
                  <w:pPr>
                    <w:jc w:val="center"/>
                    <w:rPr>
                      <w:color w:val="auto"/>
                      <w:kern w:val="0"/>
                    </w:rPr>
                  </w:pPr>
                  <w:r>
                    <w:rPr>
                      <w:rFonts w:hint="eastAsia"/>
                      <w:color w:val="auto"/>
                      <w:kern w:val="0"/>
                    </w:rPr>
                    <w:t>0.007</w:t>
                  </w:r>
                </w:p>
              </w:tc>
              <w:tc>
                <w:tcPr>
                  <w:tcW w:w="1390" w:type="dxa"/>
                  <w:vAlign w:val="center"/>
                </w:tcPr>
                <w:p w14:paraId="17350CA0">
                  <w:pPr>
                    <w:jc w:val="center"/>
                    <w:rPr>
                      <w:color w:val="auto"/>
                      <w:kern w:val="0"/>
                    </w:rPr>
                  </w:pPr>
                  <w:r>
                    <w:rPr>
                      <w:rFonts w:hint="eastAsia"/>
                      <w:color w:val="auto"/>
                      <w:kern w:val="0"/>
                    </w:rPr>
                    <w:t>0.0007</w:t>
                  </w:r>
                </w:p>
              </w:tc>
              <w:tc>
                <w:tcPr>
                  <w:tcW w:w="3230" w:type="dxa"/>
                  <w:vMerge w:val="restart"/>
                  <w:vAlign w:val="center"/>
                </w:tcPr>
                <w:p w14:paraId="1928BDCD">
                  <w:pPr>
                    <w:jc w:val="center"/>
                    <w:rPr>
                      <w:color w:val="auto"/>
                      <w:kern w:val="0"/>
                    </w:rPr>
                  </w:pPr>
                  <w:r>
                    <w:rPr>
                      <w:rFonts w:hint="eastAsia"/>
                      <w:color w:val="auto"/>
                      <w:kern w:val="0"/>
                    </w:rPr>
                    <w:t>《建设项目环境风险影响评价技术导则》</w:t>
                  </w:r>
                  <w:r>
                    <w:rPr>
                      <w:color w:val="auto"/>
                      <w:kern w:val="0"/>
                    </w:rPr>
                    <w:t>(HJ</w:t>
                  </w:r>
                  <w:r>
                    <w:rPr>
                      <w:rFonts w:hint="eastAsia"/>
                      <w:color w:val="auto"/>
                      <w:kern w:val="0"/>
                      <w:lang w:val="en-US" w:eastAsia="zh-CN"/>
                    </w:rPr>
                    <w:t>1</w:t>
                  </w:r>
                  <w:r>
                    <w:rPr>
                      <w:color w:val="auto"/>
                      <w:kern w:val="0"/>
                    </w:rPr>
                    <w:t>69-2018)</w:t>
                  </w:r>
                  <w:r>
                    <w:rPr>
                      <w:rFonts w:hint="eastAsia"/>
                      <w:color w:val="auto"/>
                      <w:kern w:val="0"/>
                    </w:rPr>
                    <w:t>附录</w:t>
                  </w:r>
                  <w:r>
                    <w:rPr>
                      <w:color w:val="auto"/>
                      <w:kern w:val="0"/>
                    </w:rPr>
                    <w:t>B</w:t>
                  </w:r>
                  <w:r>
                    <w:rPr>
                      <w:rFonts w:hint="eastAsia"/>
                      <w:color w:val="auto"/>
                      <w:kern w:val="0"/>
                    </w:rPr>
                    <w:t>表</w:t>
                  </w:r>
                  <w:r>
                    <w:rPr>
                      <w:color w:val="auto"/>
                      <w:kern w:val="0"/>
                    </w:rPr>
                    <w:t>B.1</w:t>
                  </w:r>
                </w:p>
              </w:tc>
            </w:tr>
            <w:tr w14:paraId="1751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02E96D92">
                  <w:pPr>
                    <w:jc w:val="center"/>
                    <w:rPr>
                      <w:color w:val="auto"/>
                      <w:kern w:val="0"/>
                    </w:rPr>
                  </w:pPr>
                  <w:r>
                    <w:rPr>
                      <w:rFonts w:hint="eastAsia"/>
                      <w:color w:val="auto"/>
                      <w:kern w:val="0"/>
                    </w:rPr>
                    <w:t>2</w:t>
                  </w:r>
                </w:p>
              </w:tc>
              <w:tc>
                <w:tcPr>
                  <w:tcW w:w="1223" w:type="dxa"/>
                  <w:vAlign w:val="center"/>
                </w:tcPr>
                <w:p w14:paraId="457AA788">
                  <w:pPr>
                    <w:jc w:val="center"/>
                    <w:rPr>
                      <w:color w:val="auto"/>
                      <w:kern w:val="0"/>
                    </w:rPr>
                  </w:pPr>
                  <w:r>
                    <w:rPr>
                      <w:rFonts w:hint="eastAsia"/>
                      <w:color w:val="auto"/>
                      <w:kern w:val="0"/>
                    </w:rPr>
                    <w:t>白油</w:t>
                  </w:r>
                </w:p>
              </w:tc>
              <w:tc>
                <w:tcPr>
                  <w:tcW w:w="655" w:type="dxa"/>
                  <w:vAlign w:val="center"/>
                </w:tcPr>
                <w:p w14:paraId="78D3332A">
                  <w:pPr>
                    <w:jc w:val="center"/>
                    <w:rPr>
                      <w:color w:val="auto"/>
                      <w:kern w:val="0"/>
                    </w:rPr>
                  </w:pPr>
                  <w:r>
                    <w:rPr>
                      <w:rFonts w:hint="eastAsia"/>
                      <w:color w:val="auto"/>
                      <w:kern w:val="0"/>
                    </w:rPr>
                    <w:t>/</w:t>
                  </w:r>
                </w:p>
              </w:tc>
              <w:tc>
                <w:tcPr>
                  <w:tcW w:w="730" w:type="dxa"/>
                  <w:shd w:val="clear" w:color="auto" w:fill="auto"/>
                  <w:vAlign w:val="center"/>
                </w:tcPr>
                <w:p w14:paraId="1BB9FCDB">
                  <w:pPr>
                    <w:jc w:val="center"/>
                    <w:rPr>
                      <w:color w:val="auto"/>
                      <w:kern w:val="0"/>
                    </w:rPr>
                  </w:pPr>
                  <w:r>
                    <w:rPr>
                      <w:rFonts w:hint="eastAsia"/>
                      <w:color w:val="auto"/>
                      <w:kern w:val="0"/>
                    </w:rPr>
                    <w:t>2500</w:t>
                  </w:r>
                </w:p>
              </w:tc>
              <w:tc>
                <w:tcPr>
                  <w:tcW w:w="1256" w:type="dxa"/>
                  <w:vAlign w:val="center"/>
                </w:tcPr>
                <w:p w14:paraId="700E175B">
                  <w:pPr>
                    <w:jc w:val="center"/>
                    <w:rPr>
                      <w:color w:val="auto"/>
                      <w:kern w:val="0"/>
                    </w:rPr>
                  </w:pPr>
                  <w:r>
                    <w:rPr>
                      <w:rFonts w:hint="eastAsia"/>
                      <w:color w:val="auto"/>
                      <w:kern w:val="0"/>
                    </w:rPr>
                    <w:t>0.2</w:t>
                  </w:r>
                </w:p>
              </w:tc>
              <w:tc>
                <w:tcPr>
                  <w:tcW w:w="1390" w:type="dxa"/>
                  <w:vAlign w:val="center"/>
                </w:tcPr>
                <w:p w14:paraId="649BA002">
                  <w:pPr>
                    <w:jc w:val="center"/>
                    <w:rPr>
                      <w:color w:val="auto"/>
                      <w:kern w:val="0"/>
                    </w:rPr>
                  </w:pPr>
                  <w:r>
                    <w:rPr>
                      <w:rFonts w:hint="eastAsia"/>
                      <w:color w:val="auto"/>
                      <w:kern w:val="0"/>
                    </w:rPr>
                    <w:t>0.00008</w:t>
                  </w:r>
                </w:p>
              </w:tc>
              <w:tc>
                <w:tcPr>
                  <w:tcW w:w="3230" w:type="dxa"/>
                  <w:vMerge w:val="continue"/>
                  <w:vAlign w:val="center"/>
                </w:tcPr>
                <w:p w14:paraId="62819BB3">
                  <w:pPr>
                    <w:jc w:val="center"/>
                    <w:rPr>
                      <w:color w:val="auto"/>
                      <w:kern w:val="0"/>
                    </w:rPr>
                  </w:pPr>
                </w:p>
              </w:tc>
            </w:tr>
            <w:tr w14:paraId="63978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dxa"/>
                  <w:vAlign w:val="center"/>
                </w:tcPr>
                <w:p w14:paraId="708CEFBE">
                  <w:pPr>
                    <w:jc w:val="center"/>
                    <w:rPr>
                      <w:color w:val="auto"/>
                      <w:kern w:val="0"/>
                    </w:rPr>
                  </w:pPr>
                  <w:r>
                    <w:rPr>
                      <w:rFonts w:hint="eastAsia"/>
                      <w:color w:val="auto"/>
                      <w:kern w:val="0"/>
                    </w:rPr>
                    <w:t>3</w:t>
                  </w:r>
                </w:p>
              </w:tc>
              <w:tc>
                <w:tcPr>
                  <w:tcW w:w="1223" w:type="dxa"/>
                  <w:vAlign w:val="center"/>
                </w:tcPr>
                <w:p w14:paraId="6AE26AD1">
                  <w:pPr>
                    <w:jc w:val="center"/>
                    <w:rPr>
                      <w:color w:val="auto"/>
                      <w:kern w:val="0"/>
                    </w:rPr>
                  </w:pPr>
                  <w:r>
                    <w:rPr>
                      <w:rFonts w:hint="eastAsia"/>
                      <w:color w:val="auto"/>
                      <w:kern w:val="0"/>
                    </w:rPr>
                    <w:t>液压油</w:t>
                  </w:r>
                </w:p>
              </w:tc>
              <w:tc>
                <w:tcPr>
                  <w:tcW w:w="655" w:type="dxa"/>
                  <w:vAlign w:val="center"/>
                </w:tcPr>
                <w:p w14:paraId="374DE8C3">
                  <w:pPr>
                    <w:jc w:val="center"/>
                    <w:rPr>
                      <w:color w:val="auto"/>
                      <w:kern w:val="0"/>
                    </w:rPr>
                  </w:pPr>
                  <w:r>
                    <w:rPr>
                      <w:rFonts w:hint="eastAsia"/>
                      <w:color w:val="auto"/>
                      <w:kern w:val="0"/>
                    </w:rPr>
                    <w:t>/</w:t>
                  </w:r>
                </w:p>
              </w:tc>
              <w:tc>
                <w:tcPr>
                  <w:tcW w:w="730" w:type="dxa"/>
                  <w:shd w:val="clear" w:color="auto" w:fill="auto"/>
                  <w:vAlign w:val="center"/>
                </w:tcPr>
                <w:p w14:paraId="0FE2B341">
                  <w:pPr>
                    <w:jc w:val="center"/>
                    <w:rPr>
                      <w:color w:val="auto"/>
                      <w:kern w:val="0"/>
                    </w:rPr>
                  </w:pPr>
                  <w:r>
                    <w:rPr>
                      <w:rFonts w:hint="eastAsia"/>
                      <w:color w:val="auto"/>
                      <w:kern w:val="0"/>
                    </w:rPr>
                    <w:t>2500</w:t>
                  </w:r>
                </w:p>
              </w:tc>
              <w:tc>
                <w:tcPr>
                  <w:tcW w:w="1256" w:type="dxa"/>
                  <w:vAlign w:val="center"/>
                </w:tcPr>
                <w:p w14:paraId="673F1129">
                  <w:pPr>
                    <w:jc w:val="center"/>
                    <w:rPr>
                      <w:color w:val="auto"/>
                      <w:kern w:val="0"/>
                    </w:rPr>
                  </w:pPr>
                  <w:r>
                    <w:rPr>
                      <w:rFonts w:hint="eastAsia"/>
                      <w:color w:val="auto"/>
                      <w:kern w:val="0"/>
                    </w:rPr>
                    <w:t>1.8</w:t>
                  </w:r>
                </w:p>
              </w:tc>
              <w:tc>
                <w:tcPr>
                  <w:tcW w:w="1390" w:type="dxa"/>
                  <w:vAlign w:val="center"/>
                </w:tcPr>
                <w:p w14:paraId="0B601507">
                  <w:pPr>
                    <w:jc w:val="center"/>
                    <w:rPr>
                      <w:color w:val="auto"/>
                      <w:kern w:val="0"/>
                    </w:rPr>
                  </w:pPr>
                  <w:r>
                    <w:rPr>
                      <w:rFonts w:hint="eastAsia"/>
                      <w:color w:val="auto"/>
                      <w:kern w:val="0"/>
                    </w:rPr>
                    <w:t>0.00072</w:t>
                  </w:r>
                </w:p>
              </w:tc>
              <w:tc>
                <w:tcPr>
                  <w:tcW w:w="3230" w:type="dxa"/>
                  <w:vMerge w:val="continue"/>
                  <w:vAlign w:val="center"/>
                </w:tcPr>
                <w:p w14:paraId="4349F791">
                  <w:pPr>
                    <w:jc w:val="center"/>
                    <w:rPr>
                      <w:color w:val="auto"/>
                      <w:kern w:val="0"/>
                    </w:rPr>
                  </w:pPr>
                </w:p>
              </w:tc>
            </w:tr>
            <w:tr w14:paraId="21E0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6310D4A1">
                  <w:pPr>
                    <w:jc w:val="center"/>
                    <w:rPr>
                      <w:rFonts w:hint="eastAsia" w:eastAsia="宋体"/>
                      <w:color w:val="auto"/>
                      <w:kern w:val="0"/>
                      <w:lang w:eastAsia="zh-CN"/>
                    </w:rPr>
                  </w:pPr>
                  <w:r>
                    <w:rPr>
                      <w:rFonts w:hint="eastAsia"/>
                      <w:color w:val="auto"/>
                      <w:kern w:val="0"/>
                      <w:lang w:val="en-US" w:eastAsia="zh-CN"/>
                    </w:rPr>
                    <w:t>4</w:t>
                  </w:r>
                </w:p>
              </w:tc>
              <w:tc>
                <w:tcPr>
                  <w:tcW w:w="1223" w:type="dxa"/>
                  <w:vAlign w:val="center"/>
                </w:tcPr>
                <w:p w14:paraId="61091ABB">
                  <w:pPr>
                    <w:jc w:val="center"/>
                    <w:rPr>
                      <w:color w:val="auto"/>
                      <w:kern w:val="0"/>
                    </w:rPr>
                  </w:pPr>
                  <w:r>
                    <w:rPr>
                      <w:rFonts w:hint="eastAsia"/>
                      <w:color w:val="auto"/>
                      <w:kern w:val="0"/>
                    </w:rPr>
                    <w:t>锰及其化合物</w:t>
                  </w:r>
                </w:p>
              </w:tc>
              <w:tc>
                <w:tcPr>
                  <w:tcW w:w="655" w:type="dxa"/>
                  <w:vAlign w:val="center"/>
                </w:tcPr>
                <w:p w14:paraId="13F9EA08">
                  <w:pPr>
                    <w:jc w:val="center"/>
                    <w:rPr>
                      <w:color w:val="auto"/>
                      <w:kern w:val="0"/>
                    </w:rPr>
                  </w:pPr>
                  <w:r>
                    <w:rPr>
                      <w:rFonts w:hint="eastAsia"/>
                      <w:color w:val="auto"/>
                      <w:kern w:val="0"/>
                    </w:rPr>
                    <w:t>/</w:t>
                  </w:r>
                </w:p>
              </w:tc>
              <w:tc>
                <w:tcPr>
                  <w:tcW w:w="730" w:type="dxa"/>
                  <w:shd w:val="clear" w:color="auto" w:fill="auto"/>
                  <w:vAlign w:val="center"/>
                </w:tcPr>
                <w:p w14:paraId="61CBAD02">
                  <w:pPr>
                    <w:jc w:val="center"/>
                    <w:rPr>
                      <w:color w:val="auto"/>
                      <w:kern w:val="0"/>
                    </w:rPr>
                  </w:pPr>
                  <w:r>
                    <w:rPr>
                      <w:rFonts w:hint="eastAsia"/>
                      <w:color w:val="auto"/>
                      <w:kern w:val="0"/>
                    </w:rPr>
                    <w:t>0.25</w:t>
                  </w:r>
                </w:p>
              </w:tc>
              <w:tc>
                <w:tcPr>
                  <w:tcW w:w="1256" w:type="dxa"/>
                  <w:vAlign w:val="center"/>
                </w:tcPr>
                <w:p w14:paraId="79D4FE46">
                  <w:pPr>
                    <w:jc w:val="center"/>
                    <w:rPr>
                      <w:color w:val="auto"/>
                      <w:kern w:val="0"/>
                    </w:rPr>
                  </w:pPr>
                  <w:r>
                    <w:rPr>
                      <w:rFonts w:hint="eastAsia"/>
                      <w:color w:val="auto"/>
                      <w:kern w:val="0"/>
                    </w:rPr>
                    <w:t>0.001</w:t>
                  </w:r>
                </w:p>
              </w:tc>
              <w:tc>
                <w:tcPr>
                  <w:tcW w:w="1390" w:type="dxa"/>
                  <w:vAlign w:val="center"/>
                </w:tcPr>
                <w:p w14:paraId="1A89CAD5">
                  <w:pPr>
                    <w:jc w:val="center"/>
                    <w:rPr>
                      <w:color w:val="auto"/>
                      <w:kern w:val="0"/>
                    </w:rPr>
                  </w:pPr>
                  <w:r>
                    <w:rPr>
                      <w:rFonts w:hint="eastAsia"/>
                      <w:color w:val="auto"/>
                      <w:kern w:val="0"/>
                    </w:rPr>
                    <w:t>0.004</w:t>
                  </w:r>
                </w:p>
              </w:tc>
              <w:tc>
                <w:tcPr>
                  <w:tcW w:w="3230" w:type="dxa"/>
                  <w:vMerge w:val="continue"/>
                  <w:vAlign w:val="center"/>
                </w:tcPr>
                <w:p w14:paraId="6895457D">
                  <w:pPr>
                    <w:jc w:val="center"/>
                    <w:rPr>
                      <w:color w:val="auto"/>
                      <w:kern w:val="0"/>
                    </w:rPr>
                  </w:pPr>
                </w:p>
              </w:tc>
            </w:tr>
            <w:tr w14:paraId="5999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77E6BE8A">
                  <w:pPr>
                    <w:jc w:val="center"/>
                    <w:rPr>
                      <w:rFonts w:hint="eastAsia" w:eastAsia="宋体"/>
                      <w:color w:val="auto"/>
                      <w:kern w:val="0"/>
                      <w:lang w:eastAsia="zh-CN"/>
                    </w:rPr>
                  </w:pPr>
                  <w:r>
                    <w:rPr>
                      <w:rFonts w:hint="eastAsia"/>
                      <w:color w:val="auto"/>
                      <w:kern w:val="0"/>
                      <w:lang w:val="en-US" w:eastAsia="zh-CN"/>
                    </w:rPr>
                    <w:t>5</w:t>
                  </w:r>
                </w:p>
              </w:tc>
              <w:tc>
                <w:tcPr>
                  <w:tcW w:w="1223" w:type="dxa"/>
                  <w:vAlign w:val="center"/>
                </w:tcPr>
                <w:p w14:paraId="67603DA0">
                  <w:pPr>
                    <w:jc w:val="center"/>
                    <w:rPr>
                      <w:color w:val="auto"/>
                      <w:kern w:val="0"/>
                    </w:rPr>
                  </w:pPr>
                  <w:r>
                    <w:rPr>
                      <w:rFonts w:hint="eastAsia"/>
                      <w:color w:val="auto"/>
                      <w:kern w:val="0"/>
                    </w:rPr>
                    <w:t>铜及其化合物</w:t>
                  </w:r>
                </w:p>
              </w:tc>
              <w:tc>
                <w:tcPr>
                  <w:tcW w:w="655" w:type="dxa"/>
                  <w:vAlign w:val="center"/>
                </w:tcPr>
                <w:p w14:paraId="28D619DC">
                  <w:pPr>
                    <w:jc w:val="center"/>
                    <w:rPr>
                      <w:color w:val="auto"/>
                      <w:kern w:val="0"/>
                    </w:rPr>
                  </w:pPr>
                  <w:r>
                    <w:rPr>
                      <w:rFonts w:hint="eastAsia"/>
                      <w:color w:val="auto"/>
                      <w:kern w:val="0"/>
                    </w:rPr>
                    <w:t>/</w:t>
                  </w:r>
                </w:p>
              </w:tc>
              <w:tc>
                <w:tcPr>
                  <w:tcW w:w="730" w:type="dxa"/>
                  <w:shd w:val="clear" w:color="auto" w:fill="auto"/>
                  <w:vAlign w:val="center"/>
                </w:tcPr>
                <w:p w14:paraId="7A3FAD2B">
                  <w:pPr>
                    <w:jc w:val="center"/>
                    <w:rPr>
                      <w:color w:val="auto"/>
                      <w:kern w:val="0"/>
                    </w:rPr>
                  </w:pPr>
                  <w:r>
                    <w:rPr>
                      <w:rFonts w:hint="eastAsia"/>
                      <w:color w:val="auto"/>
                      <w:kern w:val="0"/>
                    </w:rPr>
                    <w:t>0.25</w:t>
                  </w:r>
                </w:p>
              </w:tc>
              <w:tc>
                <w:tcPr>
                  <w:tcW w:w="1256" w:type="dxa"/>
                  <w:vAlign w:val="center"/>
                </w:tcPr>
                <w:p w14:paraId="5AA75037">
                  <w:pPr>
                    <w:jc w:val="center"/>
                    <w:rPr>
                      <w:color w:val="auto"/>
                      <w:kern w:val="0"/>
                    </w:rPr>
                  </w:pPr>
                  <w:r>
                    <w:rPr>
                      <w:rFonts w:hint="eastAsia"/>
                      <w:color w:val="auto"/>
                      <w:kern w:val="0"/>
                    </w:rPr>
                    <w:t>0.00004</w:t>
                  </w:r>
                </w:p>
              </w:tc>
              <w:tc>
                <w:tcPr>
                  <w:tcW w:w="1390" w:type="dxa"/>
                  <w:vAlign w:val="center"/>
                </w:tcPr>
                <w:p w14:paraId="544D747C">
                  <w:pPr>
                    <w:jc w:val="center"/>
                    <w:rPr>
                      <w:color w:val="auto"/>
                      <w:kern w:val="0"/>
                    </w:rPr>
                  </w:pPr>
                  <w:r>
                    <w:rPr>
                      <w:rFonts w:hint="eastAsia"/>
                      <w:color w:val="auto"/>
                      <w:kern w:val="0"/>
                    </w:rPr>
                    <w:t>0.0001</w:t>
                  </w:r>
                </w:p>
              </w:tc>
              <w:tc>
                <w:tcPr>
                  <w:tcW w:w="3230" w:type="dxa"/>
                  <w:vMerge w:val="continue"/>
                  <w:vAlign w:val="center"/>
                </w:tcPr>
                <w:p w14:paraId="5DA65064">
                  <w:pPr>
                    <w:jc w:val="center"/>
                    <w:rPr>
                      <w:color w:val="auto"/>
                      <w:kern w:val="0"/>
                    </w:rPr>
                  </w:pPr>
                </w:p>
              </w:tc>
            </w:tr>
            <w:tr w14:paraId="2F6B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7047237B">
                  <w:pPr>
                    <w:jc w:val="center"/>
                    <w:rPr>
                      <w:rFonts w:hint="eastAsia" w:eastAsia="宋体"/>
                      <w:color w:val="auto"/>
                      <w:kern w:val="0"/>
                      <w:lang w:eastAsia="zh-CN"/>
                    </w:rPr>
                  </w:pPr>
                  <w:r>
                    <w:rPr>
                      <w:rFonts w:hint="eastAsia"/>
                      <w:color w:val="auto"/>
                      <w:kern w:val="0"/>
                      <w:lang w:val="en-US" w:eastAsia="zh-CN"/>
                    </w:rPr>
                    <w:t>6</w:t>
                  </w:r>
                </w:p>
              </w:tc>
              <w:tc>
                <w:tcPr>
                  <w:tcW w:w="1223" w:type="dxa"/>
                  <w:vAlign w:val="center"/>
                </w:tcPr>
                <w:p w14:paraId="4B773AA4">
                  <w:pPr>
                    <w:jc w:val="center"/>
                    <w:rPr>
                      <w:color w:val="auto"/>
                      <w:kern w:val="0"/>
                    </w:rPr>
                  </w:pPr>
                  <w:r>
                    <w:rPr>
                      <w:rFonts w:hint="eastAsia"/>
                      <w:color w:val="auto"/>
                      <w:kern w:val="0"/>
                    </w:rPr>
                    <w:t>磨削液</w:t>
                  </w:r>
                </w:p>
              </w:tc>
              <w:tc>
                <w:tcPr>
                  <w:tcW w:w="655" w:type="dxa"/>
                  <w:vAlign w:val="center"/>
                </w:tcPr>
                <w:p w14:paraId="1BF4A520">
                  <w:pPr>
                    <w:jc w:val="center"/>
                    <w:rPr>
                      <w:color w:val="auto"/>
                      <w:kern w:val="0"/>
                    </w:rPr>
                  </w:pPr>
                  <w:r>
                    <w:rPr>
                      <w:rFonts w:hint="eastAsia"/>
                      <w:color w:val="auto"/>
                      <w:kern w:val="0"/>
                    </w:rPr>
                    <w:t>/</w:t>
                  </w:r>
                </w:p>
              </w:tc>
              <w:tc>
                <w:tcPr>
                  <w:tcW w:w="730" w:type="dxa"/>
                  <w:vAlign w:val="center"/>
                </w:tcPr>
                <w:p w14:paraId="1E29DF64">
                  <w:pPr>
                    <w:jc w:val="center"/>
                    <w:rPr>
                      <w:color w:val="auto"/>
                      <w:kern w:val="0"/>
                    </w:rPr>
                  </w:pPr>
                  <w:r>
                    <w:rPr>
                      <w:rFonts w:hint="eastAsia"/>
                      <w:color w:val="auto"/>
                      <w:kern w:val="0"/>
                    </w:rPr>
                    <w:t>100</w:t>
                  </w:r>
                </w:p>
              </w:tc>
              <w:tc>
                <w:tcPr>
                  <w:tcW w:w="1256" w:type="dxa"/>
                  <w:vAlign w:val="center"/>
                </w:tcPr>
                <w:p w14:paraId="5C7EEA8A">
                  <w:pPr>
                    <w:jc w:val="center"/>
                    <w:rPr>
                      <w:color w:val="auto"/>
                      <w:kern w:val="0"/>
                    </w:rPr>
                  </w:pPr>
                  <w:r>
                    <w:rPr>
                      <w:rFonts w:hint="eastAsia"/>
                      <w:color w:val="auto"/>
                      <w:kern w:val="0"/>
                    </w:rPr>
                    <w:t>0.36</w:t>
                  </w:r>
                </w:p>
              </w:tc>
              <w:tc>
                <w:tcPr>
                  <w:tcW w:w="1390" w:type="dxa"/>
                  <w:vAlign w:val="center"/>
                </w:tcPr>
                <w:p w14:paraId="41D1AAD4">
                  <w:pPr>
                    <w:jc w:val="center"/>
                    <w:rPr>
                      <w:color w:val="auto"/>
                      <w:kern w:val="0"/>
                    </w:rPr>
                  </w:pPr>
                  <w:r>
                    <w:rPr>
                      <w:rFonts w:hint="eastAsia"/>
                      <w:color w:val="auto"/>
                      <w:kern w:val="0"/>
                    </w:rPr>
                    <w:t>0.0036</w:t>
                  </w:r>
                </w:p>
              </w:tc>
              <w:tc>
                <w:tcPr>
                  <w:tcW w:w="3230" w:type="dxa"/>
                  <w:vMerge w:val="restart"/>
                  <w:vAlign w:val="center"/>
                </w:tcPr>
                <w:p w14:paraId="69EDD20D">
                  <w:pPr>
                    <w:jc w:val="center"/>
                    <w:rPr>
                      <w:color w:val="auto"/>
                      <w:kern w:val="0"/>
                    </w:rPr>
                  </w:pPr>
                  <w:r>
                    <w:rPr>
                      <w:rFonts w:hint="eastAsia"/>
                      <w:color w:val="auto"/>
                      <w:kern w:val="0"/>
                    </w:rPr>
                    <w:t>《建设项目环境风险影响评价技术导则》</w:t>
                  </w:r>
                  <w:r>
                    <w:rPr>
                      <w:color w:val="auto"/>
                      <w:kern w:val="0"/>
                    </w:rPr>
                    <w:t>(HJ169-2018)</w:t>
                  </w:r>
                  <w:r>
                    <w:rPr>
                      <w:rFonts w:hint="eastAsia"/>
                      <w:color w:val="auto"/>
                      <w:kern w:val="0"/>
                    </w:rPr>
                    <w:t>附录</w:t>
                  </w:r>
                  <w:r>
                    <w:rPr>
                      <w:color w:val="auto"/>
                      <w:kern w:val="0"/>
                    </w:rPr>
                    <w:t>B</w:t>
                  </w:r>
                  <w:r>
                    <w:rPr>
                      <w:rFonts w:hint="eastAsia"/>
                      <w:color w:val="auto"/>
                      <w:kern w:val="0"/>
                    </w:rPr>
                    <w:t>表</w:t>
                  </w:r>
                  <w:r>
                    <w:rPr>
                      <w:color w:val="auto"/>
                      <w:kern w:val="0"/>
                    </w:rPr>
                    <w:t>B.2</w:t>
                  </w:r>
                </w:p>
              </w:tc>
            </w:tr>
            <w:tr w14:paraId="0CFB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87" w:type="dxa"/>
                  <w:vAlign w:val="center"/>
                </w:tcPr>
                <w:p w14:paraId="2905772E">
                  <w:pPr>
                    <w:jc w:val="center"/>
                    <w:rPr>
                      <w:rFonts w:hint="eastAsia" w:eastAsia="宋体"/>
                      <w:color w:val="auto"/>
                      <w:kern w:val="0"/>
                      <w:lang w:eastAsia="zh-CN"/>
                    </w:rPr>
                  </w:pPr>
                  <w:r>
                    <w:rPr>
                      <w:rFonts w:hint="eastAsia"/>
                      <w:color w:val="auto"/>
                      <w:kern w:val="0"/>
                      <w:lang w:val="en-US" w:eastAsia="zh-CN"/>
                    </w:rPr>
                    <w:t>7</w:t>
                  </w:r>
                </w:p>
              </w:tc>
              <w:tc>
                <w:tcPr>
                  <w:tcW w:w="1223" w:type="dxa"/>
                  <w:vAlign w:val="center"/>
                </w:tcPr>
                <w:p w14:paraId="1F0115E3">
                  <w:pPr>
                    <w:jc w:val="center"/>
                    <w:rPr>
                      <w:color w:val="auto"/>
                      <w:kern w:val="0"/>
                    </w:rPr>
                  </w:pPr>
                  <w:r>
                    <w:rPr>
                      <w:color w:val="auto"/>
                    </w:rPr>
                    <w:t>废</w:t>
                  </w:r>
                  <w:r>
                    <w:rPr>
                      <w:rFonts w:hint="eastAsia"/>
                      <w:color w:val="auto"/>
                    </w:rPr>
                    <w:t>油泥</w:t>
                  </w:r>
                </w:p>
              </w:tc>
              <w:tc>
                <w:tcPr>
                  <w:tcW w:w="655" w:type="dxa"/>
                  <w:vAlign w:val="center"/>
                </w:tcPr>
                <w:p w14:paraId="0BC988BD">
                  <w:pPr>
                    <w:jc w:val="center"/>
                    <w:rPr>
                      <w:color w:val="auto"/>
                      <w:kern w:val="0"/>
                    </w:rPr>
                  </w:pPr>
                  <w:r>
                    <w:rPr>
                      <w:rFonts w:hint="eastAsia"/>
                      <w:color w:val="auto"/>
                      <w:kern w:val="0"/>
                    </w:rPr>
                    <w:t>/</w:t>
                  </w:r>
                </w:p>
              </w:tc>
              <w:tc>
                <w:tcPr>
                  <w:tcW w:w="730" w:type="dxa"/>
                  <w:vAlign w:val="center"/>
                </w:tcPr>
                <w:p w14:paraId="476EDB41">
                  <w:pPr>
                    <w:jc w:val="center"/>
                    <w:rPr>
                      <w:color w:val="auto"/>
                      <w:kern w:val="0"/>
                    </w:rPr>
                  </w:pPr>
                  <w:r>
                    <w:rPr>
                      <w:rFonts w:hint="eastAsia"/>
                      <w:color w:val="auto"/>
                      <w:kern w:val="0"/>
                    </w:rPr>
                    <w:t>100</w:t>
                  </w:r>
                </w:p>
              </w:tc>
              <w:tc>
                <w:tcPr>
                  <w:tcW w:w="1256" w:type="dxa"/>
                  <w:vAlign w:val="center"/>
                </w:tcPr>
                <w:p w14:paraId="203D83EC">
                  <w:pPr>
                    <w:jc w:val="center"/>
                    <w:rPr>
                      <w:color w:val="auto"/>
                      <w:kern w:val="0"/>
                    </w:rPr>
                  </w:pPr>
                  <w:r>
                    <w:rPr>
                      <w:rFonts w:hint="eastAsia"/>
                      <w:color w:val="auto"/>
                      <w:kern w:val="0"/>
                    </w:rPr>
                    <w:t>1.5</w:t>
                  </w:r>
                </w:p>
              </w:tc>
              <w:tc>
                <w:tcPr>
                  <w:tcW w:w="1390" w:type="dxa"/>
                  <w:vAlign w:val="center"/>
                </w:tcPr>
                <w:p w14:paraId="056F90C6">
                  <w:pPr>
                    <w:jc w:val="center"/>
                    <w:rPr>
                      <w:color w:val="auto"/>
                      <w:kern w:val="0"/>
                    </w:rPr>
                  </w:pPr>
                  <w:r>
                    <w:rPr>
                      <w:rFonts w:hint="eastAsia"/>
                      <w:color w:val="auto"/>
                      <w:kern w:val="0"/>
                    </w:rPr>
                    <w:t>0.015</w:t>
                  </w:r>
                </w:p>
              </w:tc>
              <w:tc>
                <w:tcPr>
                  <w:tcW w:w="3230" w:type="dxa"/>
                  <w:vMerge w:val="continue"/>
                  <w:vAlign w:val="center"/>
                </w:tcPr>
                <w:p w14:paraId="61661E29">
                  <w:pPr>
                    <w:jc w:val="center"/>
                    <w:rPr>
                      <w:color w:val="auto"/>
                      <w:kern w:val="0"/>
                    </w:rPr>
                  </w:pPr>
                </w:p>
              </w:tc>
            </w:tr>
            <w:tr w14:paraId="302F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dxa"/>
                  <w:vAlign w:val="center"/>
                </w:tcPr>
                <w:p w14:paraId="22929219">
                  <w:pPr>
                    <w:jc w:val="center"/>
                    <w:rPr>
                      <w:rFonts w:hint="eastAsia" w:eastAsia="宋体"/>
                      <w:color w:val="auto"/>
                      <w:kern w:val="0"/>
                      <w:lang w:eastAsia="zh-CN"/>
                    </w:rPr>
                  </w:pPr>
                  <w:r>
                    <w:rPr>
                      <w:rFonts w:hint="eastAsia"/>
                      <w:color w:val="auto"/>
                      <w:kern w:val="0"/>
                      <w:lang w:val="en-US" w:eastAsia="zh-CN"/>
                    </w:rPr>
                    <w:t>8</w:t>
                  </w:r>
                </w:p>
              </w:tc>
              <w:tc>
                <w:tcPr>
                  <w:tcW w:w="1223" w:type="dxa"/>
                  <w:vAlign w:val="center"/>
                </w:tcPr>
                <w:p w14:paraId="7445E44B">
                  <w:pPr>
                    <w:jc w:val="center"/>
                    <w:rPr>
                      <w:color w:val="auto"/>
                      <w:kern w:val="0"/>
                    </w:rPr>
                  </w:pPr>
                  <w:r>
                    <w:rPr>
                      <w:color w:val="auto"/>
                    </w:rPr>
                    <w:t>清洗废液</w:t>
                  </w:r>
                </w:p>
              </w:tc>
              <w:tc>
                <w:tcPr>
                  <w:tcW w:w="655" w:type="dxa"/>
                  <w:vAlign w:val="center"/>
                </w:tcPr>
                <w:p w14:paraId="24751386">
                  <w:pPr>
                    <w:jc w:val="center"/>
                    <w:rPr>
                      <w:color w:val="auto"/>
                      <w:kern w:val="0"/>
                    </w:rPr>
                  </w:pPr>
                  <w:r>
                    <w:rPr>
                      <w:rFonts w:hint="eastAsia"/>
                      <w:color w:val="auto"/>
                      <w:kern w:val="0"/>
                    </w:rPr>
                    <w:t>/</w:t>
                  </w:r>
                </w:p>
              </w:tc>
              <w:tc>
                <w:tcPr>
                  <w:tcW w:w="730" w:type="dxa"/>
                  <w:vAlign w:val="center"/>
                </w:tcPr>
                <w:p w14:paraId="288653CC">
                  <w:pPr>
                    <w:jc w:val="center"/>
                    <w:rPr>
                      <w:color w:val="auto"/>
                      <w:kern w:val="0"/>
                    </w:rPr>
                  </w:pPr>
                  <w:r>
                    <w:rPr>
                      <w:rFonts w:hint="eastAsia"/>
                      <w:color w:val="auto"/>
                      <w:kern w:val="0"/>
                    </w:rPr>
                    <w:t>10</w:t>
                  </w:r>
                </w:p>
              </w:tc>
              <w:tc>
                <w:tcPr>
                  <w:tcW w:w="1256" w:type="dxa"/>
                  <w:vAlign w:val="center"/>
                </w:tcPr>
                <w:p w14:paraId="5D7D8350">
                  <w:pPr>
                    <w:jc w:val="center"/>
                    <w:rPr>
                      <w:color w:val="auto"/>
                      <w:kern w:val="0"/>
                    </w:rPr>
                  </w:pPr>
                  <w:r>
                    <w:rPr>
                      <w:rFonts w:hint="eastAsia"/>
                      <w:color w:val="auto"/>
                      <w:kern w:val="0"/>
                    </w:rPr>
                    <w:t>0.1</w:t>
                  </w:r>
                </w:p>
              </w:tc>
              <w:tc>
                <w:tcPr>
                  <w:tcW w:w="1390" w:type="dxa"/>
                  <w:vAlign w:val="center"/>
                </w:tcPr>
                <w:p w14:paraId="35CA6BCC">
                  <w:pPr>
                    <w:jc w:val="center"/>
                    <w:rPr>
                      <w:color w:val="auto"/>
                      <w:kern w:val="0"/>
                    </w:rPr>
                  </w:pPr>
                  <w:r>
                    <w:rPr>
                      <w:rFonts w:hint="eastAsia"/>
                      <w:color w:val="auto"/>
                      <w:kern w:val="0"/>
                    </w:rPr>
                    <w:t>0.01</w:t>
                  </w:r>
                </w:p>
              </w:tc>
              <w:tc>
                <w:tcPr>
                  <w:tcW w:w="3230" w:type="dxa"/>
                  <w:vMerge w:val="continue"/>
                  <w:vAlign w:val="center"/>
                </w:tcPr>
                <w:p w14:paraId="2B4D5084">
                  <w:pPr>
                    <w:jc w:val="center"/>
                    <w:rPr>
                      <w:color w:val="auto"/>
                      <w:kern w:val="0"/>
                    </w:rPr>
                  </w:pPr>
                </w:p>
              </w:tc>
            </w:tr>
            <w:tr w14:paraId="313E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dxa"/>
                  <w:vAlign w:val="center"/>
                </w:tcPr>
                <w:p w14:paraId="4E2456D4">
                  <w:pPr>
                    <w:jc w:val="center"/>
                    <w:rPr>
                      <w:rFonts w:hint="eastAsia" w:eastAsia="宋体"/>
                      <w:color w:val="auto"/>
                      <w:kern w:val="0"/>
                      <w:lang w:eastAsia="zh-CN"/>
                    </w:rPr>
                  </w:pPr>
                  <w:r>
                    <w:rPr>
                      <w:rFonts w:hint="eastAsia"/>
                      <w:color w:val="auto"/>
                      <w:kern w:val="0"/>
                      <w:lang w:val="en-US" w:eastAsia="zh-CN"/>
                    </w:rPr>
                    <w:t>9</w:t>
                  </w:r>
                </w:p>
              </w:tc>
              <w:tc>
                <w:tcPr>
                  <w:tcW w:w="1223" w:type="dxa"/>
                  <w:vAlign w:val="center"/>
                </w:tcPr>
                <w:p w14:paraId="19A77189">
                  <w:pPr>
                    <w:jc w:val="center"/>
                    <w:rPr>
                      <w:color w:val="auto"/>
                      <w:kern w:val="0"/>
                    </w:rPr>
                  </w:pPr>
                  <w:r>
                    <w:rPr>
                      <w:color w:val="auto"/>
                    </w:rPr>
                    <w:t>废包装桶</w:t>
                  </w:r>
                </w:p>
              </w:tc>
              <w:tc>
                <w:tcPr>
                  <w:tcW w:w="655" w:type="dxa"/>
                  <w:vAlign w:val="center"/>
                </w:tcPr>
                <w:p w14:paraId="61FDCF23">
                  <w:pPr>
                    <w:jc w:val="center"/>
                    <w:rPr>
                      <w:color w:val="auto"/>
                      <w:kern w:val="0"/>
                    </w:rPr>
                  </w:pPr>
                  <w:r>
                    <w:rPr>
                      <w:rFonts w:hint="eastAsia"/>
                      <w:color w:val="auto"/>
                      <w:kern w:val="0"/>
                    </w:rPr>
                    <w:t>/</w:t>
                  </w:r>
                </w:p>
              </w:tc>
              <w:tc>
                <w:tcPr>
                  <w:tcW w:w="730" w:type="dxa"/>
                  <w:vAlign w:val="center"/>
                </w:tcPr>
                <w:p w14:paraId="27BC988F">
                  <w:pPr>
                    <w:jc w:val="center"/>
                    <w:rPr>
                      <w:color w:val="auto"/>
                      <w:kern w:val="0"/>
                    </w:rPr>
                  </w:pPr>
                  <w:r>
                    <w:rPr>
                      <w:rFonts w:hint="eastAsia"/>
                      <w:color w:val="auto"/>
                      <w:kern w:val="0"/>
                    </w:rPr>
                    <w:t>100</w:t>
                  </w:r>
                </w:p>
              </w:tc>
              <w:tc>
                <w:tcPr>
                  <w:tcW w:w="1256" w:type="dxa"/>
                  <w:vAlign w:val="center"/>
                </w:tcPr>
                <w:p w14:paraId="15163D1B">
                  <w:pPr>
                    <w:jc w:val="center"/>
                    <w:rPr>
                      <w:color w:val="auto"/>
                      <w:kern w:val="0"/>
                    </w:rPr>
                  </w:pPr>
                  <w:r>
                    <w:rPr>
                      <w:rFonts w:hint="eastAsia"/>
                      <w:color w:val="auto"/>
                      <w:kern w:val="0"/>
                    </w:rPr>
                    <w:t>0.06</w:t>
                  </w:r>
                </w:p>
              </w:tc>
              <w:tc>
                <w:tcPr>
                  <w:tcW w:w="1390" w:type="dxa"/>
                  <w:vAlign w:val="center"/>
                </w:tcPr>
                <w:p w14:paraId="1F3E3119">
                  <w:pPr>
                    <w:jc w:val="center"/>
                    <w:rPr>
                      <w:color w:val="auto"/>
                      <w:kern w:val="0"/>
                    </w:rPr>
                  </w:pPr>
                  <w:r>
                    <w:rPr>
                      <w:rFonts w:hint="eastAsia"/>
                      <w:color w:val="auto"/>
                      <w:kern w:val="0"/>
                    </w:rPr>
                    <w:t>0.0006</w:t>
                  </w:r>
                </w:p>
              </w:tc>
              <w:tc>
                <w:tcPr>
                  <w:tcW w:w="3230" w:type="dxa"/>
                  <w:vMerge w:val="continue"/>
                  <w:vAlign w:val="center"/>
                </w:tcPr>
                <w:p w14:paraId="6460BC43">
                  <w:pPr>
                    <w:jc w:val="center"/>
                    <w:rPr>
                      <w:color w:val="auto"/>
                      <w:kern w:val="0"/>
                    </w:rPr>
                  </w:pPr>
                </w:p>
              </w:tc>
            </w:tr>
            <w:tr w14:paraId="3105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dxa"/>
                  <w:vAlign w:val="center"/>
                </w:tcPr>
                <w:p w14:paraId="0BB8049D">
                  <w:pPr>
                    <w:jc w:val="center"/>
                    <w:rPr>
                      <w:rFonts w:hint="eastAsia" w:eastAsia="宋体"/>
                      <w:color w:val="auto"/>
                      <w:kern w:val="0"/>
                      <w:lang w:eastAsia="zh-CN"/>
                    </w:rPr>
                  </w:pPr>
                  <w:r>
                    <w:rPr>
                      <w:rFonts w:hint="eastAsia"/>
                      <w:color w:val="auto"/>
                      <w:kern w:val="0"/>
                      <w:lang w:val="en-US" w:eastAsia="zh-CN"/>
                    </w:rPr>
                    <w:t>10</w:t>
                  </w:r>
                </w:p>
              </w:tc>
              <w:tc>
                <w:tcPr>
                  <w:tcW w:w="1223" w:type="dxa"/>
                  <w:vAlign w:val="center"/>
                </w:tcPr>
                <w:p w14:paraId="031E777C">
                  <w:pPr>
                    <w:jc w:val="center"/>
                    <w:rPr>
                      <w:color w:val="auto"/>
                      <w:kern w:val="0"/>
                    </w:rPr>
                  </w:pPr>
                  <w:r>
                    <w:rPr>
                      <w:color w:val="auto"/>
                    </w:rPr>
                    <w:t>废活性炭</w:t>
                  </w:r>
                </w:p>
              </w:tc>
              <w:tc>
                <w:tcPr>
                  <w:tcW w:w="655" w:type="dxa"/>
                  <w:vAlign w:val="center"/>
                </w:tcPr>
                <w:p w14:paraId="604456A9">
                  <w:pPr>
                    <w:jc w:val="center"/>
                    <w:rPr>
                      <w:color w:val="auto"/>
                      <w:kern w:val="0"/>
                    </w:rPr>
                  </w:pPr>
                  <w:r>
                    <w:rPr>
                      <w:rFonts w:hint="eastAsia"/>
                      <w:color w:val="auto"/>
                      <w:kern w:val="0"/>
                    </w:rPr>
                    <w:t>/</w:t>
                  </w:r>
                </w:p>
              </w:tc>
              <w:tc>
                <w:tcPr>
                  <w:tcW w:w="730" w:type="dxa"/>
                  <w:vAlign w:val="center"/>
                </w:tcPr>
                <w:p w14:paraId="4CAE1562">
                  <w:pPr>
                    <w:jc w:val="center"/>
                    <w:rPr>
                      <w:color w:val="auto"/>
                      <w:kern w:val="0"/>
                    </w:rPr>
                  </w:pPr>
                  <w:r>
                    <w:rPr>
                      <w:rFonts w:hint="eastAsia"/>
                      <w:color w:val="auto"/>
                      <w:kern w:val="0"/>
                    </w:rPr>
                    <w:t>50</w:t>
                  </w:r>
                </w:p>
              </w:tc>
              <w:tc>
                <w:tcPr>
                  <w:tcW w:w="1256" w:type="dxa"/>
                  <w:vAlign w:val="center"/>
                </w:tcPr>
                <w:p w14:paraId="0239CCF8">
                  <w:pPr>
                    <w:jc w:val="center"/>
                    <w:rPr>
                      <w:color w:val="auto"/>
                      <w:kern w:val="0"/>
                    </w:rPr>
                  </w:pPr>
                  <w:r>
                    <w:rPr>
                      <w:rFonts w:hint="eastAsia"/>
                      <w:color w:val="auto"/>
                      <w:kern w:val="0"/>
                    </w:rPr>
                    <w:t>3</w:t>
                  </w:r>
                </w:p>
              </w:tc>
              <w:tc>
                <w:tcPr>
                  <w:tcW w:w="1390" w:type="dxa"/>
                  <w:vAlign w:val="center"/>
                </w:tcPr>
                <w:p w14:paraId="29A99AF1">
                  <w:pPr>
                    <w:jc w:val="center"/>
                    <w:rPr>
                      <w:color w:val="auto"/>
                      <w:kern w:val="0"/>
                    </w:rPr>
                  </w:pPr>
                  <w:r>
                    <w:rPr>
                      <w:rFonts w:hint="eastAsia"/>
                      <w:color w:val="auto"/>
                      <w:kern w:val="0"/>
                    </w:rPr>
                    <w:t>0.06</w:t>
                  </w:r>
                </w:p>
              </w:tc>
              <w:tc>
                <w:tcPr>
                  <w:tcW w:w="3230" w:type="dxa"/>
                  <w:vMerge w:val="continue"/>
                  <w:vAlign w:val="center"/>
                </w:tcPr>
                <w:p w14:paraId="04D57B3D">
                  <w:pPr>
                    <w:jc w:val="center"/>
                    <w:rPr>
                      <w:color w:val="auto"/>
                      <w:kern w:val="0"/>
                    </w:rPr>
                  </w:pPr>
                </w:p>
              </w:tc>
            </w:tr>
            <w:tr w14:paraId="0D6F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87" w:type="dxa"/>
                  <w:vAlign w:val="center"/>
                </w:tcPr>
                <w:p w14:paraId="2C00407F">
                  <w:pPr>
                    <w:jc w:val="center"/>
                    <w:rPr>
                      <w:rFonts w:hint="eastAsia" w:eastAsia="宋体"/>
                      <w:color w:val="auto"/>
                      <w:kern w:val="0"/>
                      <w:lang w:eastAsia="zh-CN"/>
                    </w:rPr>
                  </w:pPr>
                  <w:r>
                    <w:rPr>
                      <w:rFonts w:hint="eastAsia"/>
                      <w:color w:val="auto"/>
                      <w:kern w:val="0"/>
                    </w:rPr>
                    <w:t>1</w:t>
                  </w:r>
                  <w:r>
                    <w:rPr>
                      <w:rFonts w:hint="eastAsia"/>
                      <w:color w:val="auto"/>
                      <w:kern w:val="0"/>
                      <w:lang w:val="en-US" w:eastAsia="zh-CN"/>
                    </w:rPr>
                    <w:t>1</w:t>
                  </w:r>
                </w:p>
              </w:tc>
              <w:tc>
                <w:tcPr>
                  <w:tcW w:w="1223" w:type="dxa"/>
                  <w:vAlign w:val="center"/>
                </w:tcPr>
                <w:p w14:paraId="3F736784">
                  <w:pPr>
                    <w:jc w:val="center"/>
                    <w:rPr>
                      <w:rFonts w:hint="default" w:eastAsia="宋体"/>
                      <w:color w:val="auto"/>
                      <w:lang w:val="en-US" w:eastAsia="zh-CN"/>
                    </w:rPr>
                  </w:pPr>
                  <w:r>
                    <w:rPr>
                      <w:rFonts w:hint="eastAsia"/>
                      <w:color w:val="auto"/>
                      <w:lang w:val="en-US" w:eastAsia="zh-CN"/>
                    </w:rPr>
                    <w:t>磨削灰</w:t>
                  </w:r>
                </w:p>
              </w:tc>
              <w:tc>
                <w:tcPr>
                  <w:tcW w:w="655" w:type="dxa"/>
                  <w:vAlign w:val="center"/>
                </w:tcPr>
                <w:p w14:paraId="1EFDF748">
                  <w:pPr>
                    <w:jc w:val="center"/>
                    <w:rPr>
                      <w:color w:val="auto"/>
                      <w:kern w:val="0"/>
                    </w:rPr>
                  </w:pPr>
                  <w:r>
                    <w:rPr>
                      <w:rFonts w:hint="eastAsia"/>
                      <w:color w:val="auto"/>
                      <w:kern w:val="0"/>
                    </w:rPr>
                    <w:t>/</w:t>
                  </w:r>
                </w:p>
              </w:tc>
              <w:tc>
                <w:tcPr>
                  <w:tcW w:w="730" w:type="dxa"/>
                  <w:vAlign w:val="center"/>
                </w:tcPr>
                <w:p w14:paraId="4EFF14D8">
                  <w:pPr>
                    <w:jc w:val="center"/>
                    <w:rPr>
                      <w:color w:val="auto"/>
                      <w:kern w:val="0"/>
                    </w:rPr>
                  </w:pPr>
                  <w:r>
                    <w:rPr>
                      <w:rFonts w:hint="eastAsia"/>
                      <w:color w:val="auto"/>
                      <w:kern w:val="0"/>
                    </w:rPr>
                    <w:t>100</w:t>
                  </w:r>
                </w:p>
              </w:tc>
              <w:tc>
                <w:tcPr>
                  <w:tcW w:w="1256" w:type="dxa"/>
                  <w:vAlign w:val="center"/>
                </w:tcPr>
                <w:p w14:paraId="6F88BBAB">
                  <w:pPr>
                    <w:jc w:val="center"/>
                    <w:rPr>
                      <w:color w:val="auto"/>
                      <w:kern w:val="0"/>
                    </w:rPr>
                  </w:pPr>
                  <w:r>
                    <w:rPr>
                      <w:rFonts w:hint="eastAsia"/>
                      <w:color w:val="auto"/>
                      <w:kern w:val="0"/>
                    </w:rPr>
                    <w:t>0.5</w:t>
                  </w:r>
                </w:p>
              </w:tc>
              <w:tc>
                <w:tcPr>
                  <w:tcW w:w="1390" w:type="dxa"/>
                  <w:vAlign w:val="center"/>
                </w:tcPr>
                <w:p w14:paraId="686DE01B">
                  <w:pPr>
                    <w:jc w:val="center"/>
                    <w:rPr>
                      <w:color w:val="auto"/>
                      <w:kern w:val="0"/>
                    </w:rPr>
                  </w:pPr>
                  <w:r>
                    <w:rPr>
                      <w:rFonts w:hint="eastAsia"/>
                      <w:color w:val="auto"/>
                      <w:kern w:val="0"/>
                    </w:rPr>
                    <w:t>0.005</w:t>
                  </w:r>
                </w:p>
              </w:tc>
              <w:tc>
                <w:tcPr>
                  <w:tcW w:w="3230" w:type="dxa"/>
                  <w:vMerge w:val="continue"/>
                  <w:vAlign w:val="center"/>
                </w:tcPr>
                <w:p w14:paraId="35ED385B">
                  <w:pPr>
                    <w:jc w:val="center"/>
                    <w:rPr>
                      <w:color w:val="auto"/>
                      <w:kern w:val="0"/>
                    </w:rPr>
                  </w:pPr>
                </w:p>
              </w:tc>
            </w:tr>
            <w:tr w14:paraId="2E11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7" w:type="dxa"/>
                  <w:vAlign w:val="center"/>
                </w:tcPr>
                <w:p w14:paraId="0D1B16AB">
                  <w:pPr>
                    <w:jc w:val="center"/>
                    <w:rPr>
                      <w:rFonts w:hint="default" w:eastAsia="宋体"/>
                      <w:color w:val="auto"/>
                      <w:kern w:val="0"/>
                      <w:lang w:val="en-US" w:eastAsia="zh-CN"/>
                    </w:rPr>
                  </w:pPr>
                  <w:r>
                    <w:rPr>
                      <w:rFonts w:hint="eastAsia"/>
                      <w:color w:val="auto"/>
                      <w:kern w:val="0"/>
                      <w:lang w:val="en-US" w:eastAsia="zh-CN"/>
                    </w:rPr>
                    <w:t>12</w:t>
                  </w:r>
                </w:p>
              </w:tc>
              <w:tc>
                <w:tcPr>
                  <w:tcW w:w="1223" w:type="dxa"/>
                  <w:vAlign w:val="center"/>
                </w:tcPr>
                <w:p w14:paraId="4D554A50">
                  <w:pPr>
                    <w:jc w:val="center"/>
                    <w:rPr>
                      <w:rFonts w:hint="default"/>
                      <w:color w:val="auto"/>
                      <w:lang w:val="en-US" w:eastAsia="zh-CN"/>
                    </w:rPr>
                  </w:pPr>
                  <w:r>
                    <w:rPr>
                      <w:rFonts w:hint="eastAsia"/>
                      <w:color w:val="auto"/>
                      <w:lang w:val="en-US" w:eastAsia="zh-CN"/>
                    </w:rPr>
                    <w:t>废机油</w:t>
                  </w:r>
                </w:p>
              </w:tc>
              <w:tc>
                <w:tcPr>
                  <w:tcW w:w="655" w:type="dxa"/>
                  <w:vAlign w:val="center"/>
                </w:tcPr>
                <w:p w14:paraId="3C2D79E5">
                  <w:pPr>
                    <w:jc w:val="center"/>
                    <w:rPr>
                      <w:rFonts w:hint="eastAsia"/>
                      <w:color w:val="auto"/>
                      <w:kern w:val="0"/>
                    </w:rPr>
                  </w:pPr>
                  <w:r>
                    <w:rPr>
                      <w:rFonts w:hint="eastAsia"/>
                      <w:color w:val="auto"/>
                      <w:kern w:val="0"/>
                    </w:rPr>
                    <w:t>/</w:t>
                  </w:r>
                </w:p>
              </w:tc>
              <w:tc>
                <w:tcPr>
                  <w:tcW w:w="730" w:type="dxa"/>
                  <w:vAlign w:val="center"/>
                </w:tcPr>
                <w:p w14:paraId="27DA664C">
                  <w:pPr>
                    <w:jc w:val="center"/>
                    <w:rPr>
                      <w:rFonts w:hint="default" w:eastAsia="宋体"/>
                      <w:color w:val="auto"/>
                      <w:kern w:val="0"/>
                      <w:lang w:val="en-US" w:eastAsia="zh-CN"/>
                    </w:rPr>
                  </w:pPr>
                  <w:r>
                    <w:rPr>
                      <w:rFonts w:hint="eastAsia"/>
                      <w:color w:val="auto"/>
                      <w:kern w:val="0"/>
                      <w:lang w:val="en-US" w:eastAsia="zh-CN"/>
                    </w:rPr>
                    <w:t>2500</w:t>
                  </w:r>
                </w:p>
              </w:tc>
              <w:tc>
                <w:tcPr>
                  <w:tcW w:w="1256" w:type="dxa"/>
                  <w:vAlign w:val="center"/>
                </w:tcPr>
                <w:p w14:paraId="320DAC0F">
                  <w:pPr>
                    <w:jc w:val="center"/>
                    <w:rPr>
                      <w:rFonts w:hint="default" w:eastAsia="宋体"/>
                      <w:color w:val="auto"/>
                      <w:kern w:val="0"/>
                      <w:lang w:val="en-US" w:eastAsia="zh-CN"/>
                    </w:rPr>
                  </w:pPr>
                  <w:r>
                    <w:rPr>
                      <w:rFonts w:hint="eastAsia"/>
                      <w:color w:val="auto"/>
                      <w:kern w:val="0"/>
                      <w:lang w:val="en-US" w:eastAsia="zh-CN"/>
                    </w:rPr>
                    <w:t>0.5</w:t>
                  </w:r>
                </w:p>
              </w:tc>
              <w:tc>
                <w:tcPr>
                  <w:tcW w:w="1390" w:type="dxa"/>
                  <w:vAlign w:val="center"/>
                </w:tcPr>
                <w:p w14:paraId="2C6B9344">
                  <w:pPr>
                    <w:jc w:val="center"/>
                    <w:rPr>
                      <w:rFonts w:hint="default" w:eastAsia="宋体"/>
                      <w:color w:val="auto"/>
                      <w:kern w:val="0"/>
                      <w:lang w:val="en-US" w:eastAsia="zh-CN"/>
                    </w:rPr>
                  </w:pPr>
                  <w:r>
                    <w:rPr>
                      <w:rFonts w:hint="eastAsia"/>
                      <w:color w:val="auto"/>
                      <w:kern w:val="0"/>
                      <w:lang w:val="en-US" w:eastAsia="zh-CN"/>
                    </w:rPr>
                    <w:t>0.0002</w:t>
                  </w:r>
                </w:p>
              </w:tc>
              <w:tc>
                <w:tcPr>
                  <w:tcW w:w="3230" w:type="dxa"/>
                  <w:vMerge w:val="continue"/>
                  <w:vAlign w:val="center"/>
                </w:tcPr>
                <w:p w14:paraId="123A728A">
                  <w:pPr>
                    <w:jc w:val="center"/>
                    <w:rPr>
                      <w:color w:val="auto"/>
                      <w:kern w:val="0"/>
                    </w:rPr>
                  </w:pPr>
                </w:p>
              </w:tc>
            </w:tr>
            <w:tr w14:paraId="29A6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1" w:type="dxa"/>
                  <w:gridSpan w:val="5"/>
                  <w:vAlign w:val="center"/>
                </w:tcPr>
                <w:p w14:paraId="1741B153">
                  <w:pPr>
                    <w:jc w:val="center"/>
                    <w:rPr>
                      <w:color w:val="auto"/>
                      <w:kern w:val="0"/>
                    </w:rPr>
                  </w:pPr>
                  <w:r>
                    <w:rPr>
                      <w:rFonts w:hint="eastAsia"/>
                      <w:color w:val="auto"/>
                      <w:kern w:val="0"/>
                    </w:rPr>
                    <w:t>合计</w:t>
                  </w:r>
                </w:p>
              </w:tc>
              <w:tc>
                <w:tcPr>
                  <w:tcW w:w="1390" w:type="dxa"/>
                  <w:vAlign w:val="center"/>
                </w:tcPr>
                <w:p w14:paraId="2F192C21">
                  <w:pPr>
                    <w:jc w:val="center"/>
                    <w:rPr>
                      <w:rFonts w:hint="default" w:eastAsia="宋体"/>
                      <w:color w:val="auto"/>
                      <w:kern w:val="0"/>
                      <w:lang w:val="en-US" w:eastAsia="zh-CN"/>
                    </w:rPr>
                  </w:pPr>
                  <w:r>
                    <w:rPr>
                      <w:rFonts w:hint="eastAsia"/>
                      <w:color w:val="auto"/>
                      <w:kern w:val="0"/>
                    </w:rPr>
                    <w:t>0.</w:t>
                  </w:r>
                  <w:r>
                    <w:rPr>
                      <w:rFonts w:hint="eastAsia"/>
                      <w:color w:val="auto"/>
                      <w:kern w:val="0"/>
                      <w:lang w:val="en-US" w:eastAsia="zh-CN"/>
                    </w:rPr>
                    <w:t>1</w:t>
                  </w:r>
                </w:p>
              </w:tc>
              <w:tc>
                <w:tcPr>
                  <w:tcW w:w="3230" w:type="dxa"/>
                  <w:vAlign w:val="center"/>
                </w:tcPr>
                <w:p w14:paraId="3626CC45">
                  <w:pPr>
                    <w:jc w:val="center"/>
                    <w:rPr>
                      <w:color w:val="auto"/>
                      <w:kern w:val="0"/>
                    </w:rPr>
                  </w:pPr>
                  <w:r>
                    <w:rPr>
                      <w:rFonts w:hint="eastAsia"/>
                      <w:color w:val="auto"/>
                      <w:kern w:val="0"/>
                    </w:rPr>
                    <w:t>/</w:t>
                  </w:r>
                </w:p>
              </w:tc>
            </w:tr>
          </w:tbl>
          <w:p w14:paraId="2AEFC340">
            <w:pPr>
              <w:spacing w:line="360" w:lineRule="auto"/>
              <w:ind w:firstLine="480" w:firstLineChars="200"/>
              <w:rPr>
                <w:color w:val="auto"/>
                <w:sz w:val="24"/>
              </w:rPr>
            </w:pPr>
            <w:r>
              <w:rPr>
                <w:color w:val="auto"/>
                <w:sz w:val="24"/>
              </w:rPr>
              <w:t>本项目风险物质数量与临界量比值Q=0</w:t>
            </w:r>
            <w:r>
              <w:rPr>
                <w:rFonts w:hint="eastAsia"/>
                <w:color w:val="auto"/>
                <w:sz w:val="24"/>
              </w:rPr>
              <w:t>.</w:t>
            </w:r>
            <w:r>
              <w:rPr>
                <w:rFonts w:hint="eastAsia"/>
                <w:color w:val="auto"/>
                <w:sz w:val="24"/>
                <w:lang w:val="en-US" w:eastAsia="zh-CN"/>
              </w:rPr>
              <w:t>1</w:t>
            </w:r>
            <w:r>
              <w:rPr>
                <w:color w:val="auto"/>
                <w:sz w:val="24"/>
              </w:rPr>
              <w:t>&lt;1，则本项目环境风险潜势为Ⅰ。</w:t>
            </w:r>
          </w:p>
          <w:p w14:paraId="7F76DFEE">
            <w:pPr>
              <w:spacing w:line="360" w:lineRule="auto"/>
              <w:ind w:firstLine="480" w:firstLineChars="200"/>
              <w:rPr>
                <w:b/>
                <w:bCs/>
                <w:color w:val="auto"/>
                <w:sz w:val="24"/>
                <w:szCs w:val="24"/>
              </w:rPr>
            </w:pPr>
            <w:r>
              <w:rPr>
                <w:rFonts w:hint="eastAsia"/>
                <w:color w:val="auto"/>
                <w:sz w:val="24"/>
              </w:rPr>
              <w:t>6.1.3评价等级</w:t>
            </w:r>
          </w:p>
          <w:p w14:paraId="4E9847F3">
            <w:pPr>
              <w:spacing w:line="360" w:lineRule="auto"/>
              <w:ind w:firstLine="482" w:firstLineChars="200"/>
              <w:jc w:val="center"/>
              <w:rPr>
                <w:b/>
                <w:bCs/>
                <w:color w:val="auto"/>
                <w:sz w:val="24"/>
              </w:rPr>
            </w:pPr>
            <w:r>
              <w:rPr>
                <w:rFonts w:hint="eastAsia"/>
                <w:b/>
                <w:bCs/>
                <w:color w:val="auto"/>
                <w:sz w:val="24"/>
                <w:szCs w:val="24"/>
              </w:rPr>
              <w:t xml:space="preserve">表4-33  </w:t>
            </w:r>
            <w:r>
              <w:rPr>
                <w:rFonts w:hint="eastAsia"/>
                <w:b/>
                <w:bCs/>
                <w:color w:val="auto"/>
                <w:sz w:val="24"/>
              </w:rPr>
              <w:t>评价工作等级划分</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814"/>
              <w:gridCol w:w="1814"/>
              <w:gridCol w:w="1814"/>
              <w:gridCol w:w="1814"/>
            </w:tblGrid>
            <w:tr w14:paraId="1D07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0" w:type="dxa"/>
                  <w:vAlign w:val="center"/>
                </w:tcPr>
                <w:p w14:paraId="4594FE25">
                  <w:pPr>
                    <w:jc w:val="center"/>
                    <w:rPr>
                      <w:b/>
                      <w:bCs/>
                      <w:color w:val="auto"/>
                      <w:kern w:val="0"/>
                    </w:rPr>
                  </w:pPr>
                  <w:r>
                    <w:rPr>
                      <w:rFonts w:hint="eastAsia"/>
                      <w:b/>
                      <w:bCs/>
                      <w:color w:val="auto"/>
                      <w:kern w:val="0"/>
                    </w:rPr>
                    <w:t>环境风险潜势</w:t>
                  </w:r>
                </w:p>
              </w:tc>
              <w:tc>
                <w:tcPr>
                  <w:tcW w:w="2540" w:type="dxa"/>
                  <w:vAlign w:val="center"/>
                </w:tcPr>
                <w:p w14:paraId="779DE652">
                  <w:pPr>
                    <w:jc w:val="center"/>
                    <w:rPr>
                      <w:b/>
                      <w:bCs/>
                      <w:color w:val="auto"/>
                      <w:kern w:val="0"/>
                    </w:rPr>
                  </w:pPr>
                  <w:r>
                    <w:rPr>
                      <w:b/>
                      <w:bCs/>
                      <w:color w:val="auto"/>
                      <w:kern w:val="0"/>
                    </w:rPr>
                    <w:t>Ⅳ</w:t>
                  </w:r>
                  <w:r>
                    <w:rPr>
                      <w:rFonts w:hint="eastAsia"/>
                      <w:b/>
                      <w:bCs/>
                      <w:color w:val="auto"/>
                      <w:kern w:val="0"/>
                    </w:rPr>
                    <w:t>、</w:t>
                  </w:r>
                  <w:r>
                    <w:rPr>
                      <w:b/>
                      <w:bCs/>
                      <w:color w:val="auto"/>
                      <w:kern w:val="0"/>
                    </w:rPr>
                    <w:t>Ⅳ</w:t>
                  </w:r>
                  <w:r>
                    <w:rPr>
                      <w:rFonts w:hint="eastAsia"/>
                      <w:b/>
                      <w:bCs/>
                      <w:color w:val="auto"/>
                      <w:kern w:val="0"/>
                    </w:rPr>
                    <w:t>+</w:t>
                  </w:r>
                </w:p>
              </w:tc>
              <w:tc>
                <w:tcPr>
                  <w:tcW w:w="2541" w:type="dxa"/>
                  <w:vAlign w:val="center"/>
                </w:tcPr>
                <w:p w14:paraId="283D56C4">
                  <w:pPr>
                    <w:jc w:val="center"/>
                    <w:rPr>
                      <w:b/>
                      <w:bCs/>
                      <w:color w:val="auto"/>
                      <w:kern w:val="0"/>
                    </w:rPr>
                  </w:pPr>
                  <w:r>
                    <w:rPr>
                      <w:b/>
                      <w:bCs/>
                      <w:color w:val="auto"/>
                      <w:kern w:val="0"/>
                    </w:rPr>
                    <w:t>Ⅲ</w:t>
                  </w:r>
                </w:p>
              </w:tc>
              <w:tc>
                <w:tcPr>
                  <w:tcW w:w="2541" w:type="dxa"/>
                  <w:vAlign w:val="center"/>
                </w:tcPr>
                <w:p w14:paraId="32691278">
                  <w:pPr>
                    <w:jc w:val="center"/>
                    <w:rPr>
                      <w:b/>
                      <w:bCs/>
                      <w:color w:val="auto"/>
                      <w:kern w:val="0"/>
                    </w:rPr>
                  </w:pPr>
                  <w:r>
                    <w:rPr>
                      <w:b/>
                      <w:bCs/>
                      <w:color w:val="auto"/>
                      <w:kern w:val="0"/>
                    </w:rPr>
                    <w:t>Ⅱ</w:t>
                  </w:r>
                </w:p>
              </w:tc>
              <w:tc>
                <w:tcPr>
                  <w:tcW w:w="2541" w:type="dxa"/>
                  <w:vAlign w:val="center"/>
                </w:tcPr>
                <w:p w14:paraId="6348F019">
                  <w:pPr>
                    <w:jc w:val="center"/>
                    <w:rPr>
                      <w:b/>
                      <w:bCs/>
                      <w:color w:val="auto"/>
                      <w:kern w:val="0"/>
                    </w:rPr>
                  </w:pPr>
                  <w:r>
                    <w:rPr>
                      <w:b/>
                      <w:bCs/>
                      <w:color w:val="auto"/>
                      <w:kern w:val="0"/>
                    </w:rPr>
                    <w:t>Ⅰ</w:t>
                  </w:r>
                </w:p>
              </w:tc>
            </w:tr>
            <w:tr w14:paraId="3627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0" w:type="dxa"/>
                  <w:vAlign w:val="center"/>
                </w:tcPr>
                <w:p w14:paraId="030DF46F">
                  <w:pPr>
                    <w:jc w:val="center"/>
                    <w:rPr>
                      <w:color w:val="auto"/>
                      <w:kern w:val="0"/>
                    </w:rPr>
                  </w:pPr>
                  <w:r>
                    <w:rPr>
                      <w:rFonts w:hint="eastAsia"/>
                      <w:color w:val="auto"/>
                      <w:kern w:val="0"/>
                    </w:rPr>
                    <w:t>评价工作等级</w:t>
                  </w:r>
                </w:p>
              </w:tc>
              <w:tc>
                <w:tcPr>
                  <w:tcW w:w="2540" w:type="dxa"/>
                  <w:vAlign w:val="center"/>
                </w:tcPr>
                <w:p w14:paraId="390BAD35">
                  <w:pPr>
                    <w:jc w:val="center"/>
                    <w:rPr>
                      <w:color w:val="auto"/>
                      <w:kern w:val="0"/>
                    </w:rPr>
                  </w:pPr>
                  <w:r>
                    <w:rPr>
                      <w:rFonts w:hint="eastAsia"/>
                      <w:color w:val="auto"/>
                      <w:kern w:val="0"/>
                    </w:rPr>
                    <w:t>一</w:t>
                  </w:r>
                </w:p>
              </w:tc>
              <w:tc>
                <w:tcPr>
                  <w:tcW w:w="2541" w:type="dxa"/>
                  <w:vAlign w:val="center"/>
                </w:tcPr>
                <w:p w14:paraId="4E6B0D23">
                  <w:pPr>
                    <w:jc w:val="center"/>
                    <w:rPr>
                      <w:color w:val="auto"/>
                      <w:kern w:val="0"/>
                    </w:rPr>
                  </w:pPr>
                  <w:r>
                    <w:rPr>
                      <w:rFonts w:hint="eastAsia"/>
                      <w:color w:val="auto"/>
                      <w:kern w:val="0"/>
                    </w:rPr>
                    <w:t>二</w:t>
                  </w:r>
                </w:p>
              </w:tc>
              <w:tc>
                <w:tcPr>
                  <w:tcW w:w="2541" w:type="dxa"/>
                  <w:vAlign w:val="center"/>
                </w:tcPr>
                <w:p w14:paraId="70A878BC">
                  <w:pPr>
                    <w:jc w:val="center"/>
                    <w:rPr>
                      <w:color w:val="auto"/>
                      <w:kern w:val="0"/>
                    </w:rPr>
                  </w:pPr>
                  <w:r>
                    <w:rPr>
                      <w:rFonts w:hint="eastAsia"/>
                      <w:color w:val="auto"/>
                      <w:kern w:val="0"/>
                    </w:rPr>
                    <w:t>三</w:t>
                  </w:r>
                </w:p>
              </w:tc>
              <w:tc>
                <w:tcPr>
                  <w:tcW w:w="2541" w:type="dxa"/>
                  <w:vAlign w:val="center"/>
                </w:tcPr>
                <w:p w14:paraId="37255A12">
                  <w:pPr>
                    <w:jc w:val="center"/>
                    <w:rPr>
                      <w:color w:val="auto"/>
                      <w:kern w:val="0"/>
                    </w:rPr>
                  </w:pPr>
                  <w:r>
                    <w:rPr>
                      <w:rFonts w:hint="eastAsia"/>
                      <w:color w:val="auto"/>
                      <w:kern w:val="0"/>
                    </w:rPr>
                    <w:t>简单分析a</w:t>
                  </w:r>
                </w:p>
              </w:tc>
            </w:tr>
            <w:tr w14:paraId="1974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3" w:type="dxa"/>
                  <w:gridSpan w:val="5"/>
                  <w:vAlign w:val="center"/>
                </w:tcPr>
                <w:p w14:paraId="233F75A7">
                  <w:pPr>
                    <w:jc w:val="center"/>
                    <w:rPr>
                      <w:color w:val="auto"/>
                      <w:kern w:val="0"/>
                    </w:rPr>
                  </w:pPr>
                  <w:r>
                    <w:rPr>
                      <w:color w:val="auto"/>
                      <w:kern w:val="0"/>
                    </w:rPr>
                    <w:t>a</w:t>
                  </w:r>
                  <w:r>
                    <w:rPr>
                      <w:rFonts w:hint="eastAsia"/>
                      <w:color w:val="auto"/>
                      <w:kern w:val="0"/>
                    </w:rPr>
                    <w:t>是相对于详细评价工作内容而言，在描述危险物质、环境影响途径、环境危害后果、风险防范措施等方面做出定性的说明。见附录</w:t>
                  </w:r>
                  <w:r>
                    <w:rPr>
                      <w:color w:val="auto"/>
                      <w:kern w:val="0"/>
                    </w:rPr>
                    <w:t>A</w:t>
                  </w:r>
                  <w:r>
                    <w:rPr>
                      <w:rFonts w:hint="eastAsia"/>
                      <w:color w:val="auto"/>
                      <w:kern w:val="0"/>
                    </w:rPr>
                    <w:t>。</w:t>
                  </w:r>
                </w:p>
              </w:tc>
            </w:tr>
          </w:tbl>
          <w:p w14:paraId="32F30AC6">
            <w:pPr>
              <w:spacing w:line="360" w:lineRule="auto"/>
              <w:ind w:firstLine="480" w:firstLineChars="200"/>
              <w:rPr>
                <w:color w:val="auto"/>
                <w:sz w:val="24"/>
              </w:rPr>
            </w:pPr>
            <w:r>
              <w:rPr>
                <w:rFonts w:hint="eastAsia"/>
                <w:color w:val="auto"/>
                <w:sz w:val="24"/>
              </w:rPr>
              <w:t>本项目环境风险潜势为</w:t>
            </w:r>
            <w:r>
              <w:rPr>
                <w:color w:val="auto"/>
                <w:sz w:val="24"/>
              </w:rPr>
              <w:t>I</w:t>
            </w:r>
            <w:r>
              <w:rPr>
                <w:rFonts w:hint="eastAsia"/>
                <w:color w:val="auto"/>
                <w:sz w:val="24"/>
              </w:rPr>
              <w:t>，可按照《建设项目环境风险评价技术导则》（</w:t>
            </w:r>
            <w:r>
              <w:rPr>
                <w:color w:val="auto"/>
                <w:sz w:val="24"/>
              </w:rPr>
              <w:t>HJ169-2018</w:t>
            </w:r>
            <w:r>
              <w:rPr>
                <w:rFonts w:hint="eastAsia"/>
                <w:color w:val="auto"/>
                <w:sz w:val="24"/>
              </w:rPr>
              <w:t>）附录</w:t>
            </w:r>
            <w:r>
              <w:rPr>
                <w:color w:val="auto"/>
                <w:sz w:val="24"/>
              </w:rPr>
              <w:t>A</w:t>
            </w:r>
            <w:r>
              <w:rPr>
                <w:rFonts w:hint="eastAsia"/>
                <w:color w:val="auto"/>
                <w:sz w:val="24"/>
              </w:rPr>
              <w:t>只做简单分析。</w:t>
            </w:r>
          </w:p>
          <w:p w14:paraId="43D5B39E">
            <w:pPr>
              <w:spacing w:line="360" w:lineRule="auto"/>
              <w:ind w:firstLine="480" w:firstLineChars="200"/>
              <w:rPr>
                <w:color w:val="auto"/>
                <w:sz w:val="24"/>
              </w:rPr>
            </w:pPr>
            <w:r>
              <w:rPr>
                <w:rFonts w:hint="eastAsia"/>
                <w:color w:val="auto"/>
                <w:sz w:val="24"/>
              </w:rPr>
              <w:t>6.2环境风险识别</w:t>
            </w:r>
          </w:p>
          <w:p w14:paraId="62F44BA8">
            <w:pPr>
              <w:spacing w:line="360" w:lineRule="auto"/>
              <w:ind w:firstLine="480" w:firstLineChars="200"/>
              <w:rPr>
                <w:color w:val="auto"/>
                <w:sz w:val="24"/>
              </w:rPr>
            </w:pPr>
            <w:r>
              <w:rPr>
                <w:rFonts w:hint="eastAsia"/>
                <w:color w:val="auto"/>
                <w:sz w:val="24"/>
              </w:rPr>
              <w:t>①物质危险性识别</w:t>
            </w:r>
          </w:p>
          <w:p w14:paraId="6DE96DBE">
            <w:pPr>
              <w:spacing w:line="360" w:lineRule="auto"/>
              <w:ind w:firstLine="480" w:firstLineChars="200"/>
              <w:rPr>
                <w:color w:val="auto"/>
                <w:sz w:val="24"/>
              </w:rPr>
            </w:pPr>
            <w:r>
              <w:rPr>
                <w:rFonts w:hint="eastAsia"/>
                <w:color w:val="auto"/>
                <w:sz w:val="24"/>
              </w:rPr>
              <w:t>对照《建设项目环境风险评价技术导则》（</w:t>
            </w:r>
            <w:r>
              <w:rPr>
                <w:color w:val="auto"/>
                <w:sz w:val="24"/>
              </w:rPr>
              <w:t>HJ169-2018</w:t>
            </w:r>
            <w:r>
              <w:rPr>
                <w:rFonts w:hint="eastAsia"/>
                <w:color w:val="auto"/>
                <w:sz w:val="24"/>
              </w:rPr>
              <w:t>）附录</w:t>
            </w:r>
            <w:r>
              <w:rPr>
                <w:color w:val="auto"/>
                <w:sz w:val="24"/>
              </w:rPr>
              <w:t>B</w:t>
            </w:r>
            <w:r>
              <w:rPr>
                <w:rFonts w:hint="eastAsia"/>
                <w:color w:val="auto"/>
                <w:sz w:val="24"/>
              </w:rPr>
              <w:t>，本项目风险物质的种类及最大存在量见前表《突发环境事件风险物质临界量比值</w:t>
            </w:r>
            <w:r>
              <w:rPr>
                <w:color w:val="auto"/>
                <w:sz w:val="24"/>
              </w:rPr>
              <w:t>Q</w:t>
            </w:r>
            <w:r>
              <w:rPr>
                <w:rFonts w:hint="eastAsia"/>
                <w:color w:val="auto"/>
                <w:sz w:val="24"/>
              </w:rPr>
              <w:t>计算一览表》，厂区主要风险物质有天然气、白油等，有泄漏、火灾爆炸产生次生污染等风险。</w:t>
            </w:r>
          </w:p>
          <w:p w14:paraId="43FDC618">
            <w:pPr>
              <w:spacing w:line="360" w:lineRule="auto"/>
              <w:ind w:firstLine="480" w:firstLineChars="200"/>
              <w:rPr>
                <w:b/>
                <w:bCs/>
                <w:color w:val="auto"/>
                <w:sz w:val="24"/>
                <w:szCs w:val="24"/>
              </w:rPr>
            </w:pPr>
            <w:r>
              <w:rPr>
                <w:rFonts w:hint="eastAsia"/>
                <w:color w:val="auto"/>
                <w:sz w:val="24"/>
              </w:rPr>
              <w:t>②生产系统危险性识别</w:t>
            </w:r>
          </w:p>
          <w:p w14:paraId="35265822">
            <w:pPr>
              <w:spacing w:line="360" w:lineRule="auto"/>
              <w:jc w:val="center"/>
              <w:rPr>
                <w:b/>
                <w:bCs/>
                <w:color w:val="auto"/>
                <w:sz w:val="24"/>
              </w:rPr>
            </w:pPr>
            <w:r>
              <w:rPr>
                <w:rFonts w:hint="eastAsia"/>
                <w:b/>
                <w:bCs/>
                <w:color w:val="auto"/>
                <w:sz w:val="24"/>
                <w:szCs w:val="24"/>
              </w:rPr>
              <w:t xml:space="preserve">表4-34  </w:t>
            </w:r>
            <w:r>
              <w:rPr>
                <w:rFonts w:hint="eastAsia"/>
                <w:b/>
                <w:bCs/>
                <w:color w:val="auto"/>
                <w:sz w:val="24"/>
              </w:rPr>
              <w:t>企业环境风险识别</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904"/>
              <w:gridCol w:w="6984"/>
            </w:tblGrid>
            <w:tr w14:paraId="608B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Align w:val="center"/>
                </w:tcPr>
                <w:p w14:paraId="77B2CCA9">
                  <w:pPr>
                    <w:jc w:val="center"/>
                    <w:rPr>
                      <w:b/>
                      <w:bCs/>
                      <w:color w:val="auto"/>
                      <w:kern w:val="0"/>
                    </w:rPr>
                  </w:pPr>
                  <w:r>
                    <w:rPr>
                      <w:rFonts w:hint="eastAsia"/>
                      <w:b/>
                      <w:bCs/>
                      <w:color w:val="auto"/>
                      <w:kern w:val="0"/>
                    </w:rPr>
                    <w:t>危险物质类别</w:t>
                  </w:r>
                </w:p>
              </w:tc>
              <w:tc>
                <w:tcPr>
                  <w:tcW w:w="904" w:type="dxa"/>
                  <w:vAlign w:val="center"/>
                </w:tcPr>
                <w:p w14:paraId="0C12AFA5">
                  <w:pPr>
                    <w:jc w:val="center"/>
                    <w:rPr>
                      <w:b/>
                      <w:bCs/>
                      <w:color w:val="auto"/>
                      <w:kern w:val="0"/>
                    </w:rPr>
                  </w:pPr>
                  <w:r>
                    <w:rPr>
                      <w:rFonts w:hint="eastAsia"/>
                      <w:b/>
                      <w:bCs/>
                      <w:color w:val="auto"/>
                      <w:kern w:val="0"/>
                    </w:rPr>
                    <w:t>分布位置</w:t>
                  </w:r>
                </w:p>
              </w:tc>
              <w:tc>
                <w:tcPr>
                  <w:tcW w:w="6984" w:type="dxa"/>
                  <w:vAlign w:val="center"/>
                </w:tcPr>
                <w:p w14:paraId="123FF76E">
                  <w:pPr>
                    <w:jc w:val="center"/>
                    <w:rPr>
                      <w:b/>
                      <w:bCs/>
                      <w:color w:val="auto"/>
                      <w:kern w:val="0"/>
                    </w:rPr>
                  </w:pPr>
                  <w:r>
                    <w:rPr>
                      <w:rFonts w:hint="eastAsia"/>
                      <w:b/>
                      <w:bCs/>
                      <w:color w:val="auto"/>
                      <w:kern w:val="0"/>
                    </w:rPr>
                    <w:t>影响途径</w:t>
                  </w:r>
                </w:p>
              </w:tc>
            </w:tr>
            <w:tr w14:paraId="4F5E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restart"/>
                  <w:vAlign w:val="center"/>
                </w:tcPr>
                <w:p w14:paraId="06A56ED5">
                  <w:pPr>
                    <w:jc w:val="center"/>
                    <w:rPr>
                      <w:color w:val="auto"/>
                      <w:kern w:val="0"/>
                    </w:rPr>
                  </w:pPr>
                  <w:r>
                    <w:rPr>
                      <w:rFonts w:hint="eastAsia"/>
                      <w:color w:val="auto"/>
                      <w:kern w:val="0"/>
                    </w:rPr>
                    <w:t>白油、液压油、磨削液</w:t>
                  </w:r>
                </w:p>
              </w:tc>
              <w:tc>
                <w:tcPr>
                  <w:tcW w:w="904" w:type="dxa"/>
                  <w:vAlign w:val="center"/>
                </w:tcPr>
                <w:p w14:paraId="4506BCA0">
                  <w:pPr>
                    <w:jc w:val="center"/>
                    <w:rPr>
                      <w:color w:val="auto"/>
                      <w:kern w:val="0"/>
                    </w:rPr>
                  </w:pPr>
                  <w:r>
                    <w:rPr>
                      <w:rFonts w:hint="eastAsia"/>
                      <w:color w:val="auto"/>
                      <w:kern w:val="0"/>
                    </w:rPr>
                    <w:t>仓储区</w:t>
                  </w:r>
                </w:p>
              </w:tc>
              <w:tc>
                <w:tcPr>
                  <w:tcW w:w="6984" w:type="dxa"/>
                  <w:vAlign w:val="center"/>
                </w:tcPr>
                <w:p w14:paraId="12A12DD2">
                  <w:pPr>
                    <w:jc w:val="center"/>
                    <w:rPr>
                      <w:color w:val="auto"/>
                      <w:kern w:val="0"/>
                    </w:rPr>
                  </w:pPr>
                  <w:r>
                    <w:rPr>
                      <w:rFonts w:hint="eastAsia"/>
                      <w:color w:val="auto"/>
                      <w:kern w:val="0"/>
                    </w:rPr>
                    <w:t>包装桶破损导致切削液泄漏，未能及时有效收集或拦截，扩散出厂界，可污染周边水体。遇明火等引发火灾事故，燃烧废气污染周边大气环境；事故废水未能及时收集扩散出厂界，可污染周边地表水。</w:t>
                  </w:r>
                </w:p>
              </w:tc>
            </w:tr>
            <w:tr w14:paraId="50CF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Merge w:val="continue"/>
                  <w:vAlign w:val="center"/>
                </w:tcPr>
                <w:p w14:paraId="2FDA9318">
                  <w:pPr>
                    <w:jc w:val="center"/>
                    <w:rPr>
                      <w:color w:val="auto"/>
                      <w:kern w:val="0"/>
                    </w:rPr>
                  </w:pPr>
                </w:p>
              </w:tc>
              <w:tc>
                <w:tcPr>
                  <w:tcW w:w="904" w:type="dxa"/>
                  <w:vAlign w:val="center"/>
                </w:tcPr>
                <w:p w14:paraId="569587D9">
                  <w:pPr>
                    <w:jc w:val="center"/>
                    <w:rPr>
                      <w:color w:val="auto"/>
                      <w:kern w:val="0"/>
                    </w:rPr>
                  </w:pPr>
                  <w:r>
                    <w:rPr>
                      <w:rFonts w:hint="eastAsia"/>
                      <w:color w:val="auto"/>
                      <w:kern w:val="0"/>
                    </w:rPr>
                    <w:t>设备区域</w:t>
                  </w:r>
                </w:p>
              </w:tc>
              <w:tc>
                <w:tcPr>
                  <w:tcW w:w="6984" w:type="dxa"/>
                  <w:vAlign w:val="center"/>
                </w:tcPr>
                <w:p w14:paraId="00726654">
                  <w:pPr>
                    <w:jc w:val="center"/>
                    <w:rPr>
                      <w:color w:val="auto"/>
                      <w:kern w:val="0"/>
                    </w:rPr>
                  </w:pPr>
                  <w:r>
                    <w:rPr>
                      <w:rFonts w:hint="eastAsia"/>
                      <w:color w:val="auto"/>
                      <w:kern w:val="0"/>
                    </w:rPr>
                    <w:t>切削液在设备内循环使用，如设备故障等导致切削液跑冒滴漏，如周边防渗漏措施不到位，可引发土壤、地下水污染事件。遇明火等引发火灾事故，燃烧废气污染周边大气环境；事故废水未能及时收集扩散出厂界，可污染周边地表水。</w:t>
                  </w:r>
                </w:p>
              </w:tc>
            </w:tr>
            <w:tr w14:paraId="3147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Align w:val="center"/>
                </w:tcPr>
                <w:p w14:paraId="21415733">
                  <w:pPr>
                    <w:jc w:val="center"/>
                    <w:rPr>
                      <w:color w:val="auto"/>
                      <w:kern w:val="0"/>
                    </w:rPr>
                  </w:pPr>
                  <w:r>
                    <w:rPr>
                      <w:rFonts w:hint="eastAsia"/>
                      <w:color w:val="auto"/>
                      <w:kern w:val="0"/>
                    </w:rPr>
                    <w:t>天然气</w:t>
                  </w:r>
                </w:p>
              </w:tc>
              <w:tc>
                <w:tcPr>
                  <w:tcW w:w="904" w:type="dxa"/>
                  <w:vAlign w:val="center"/>
                </w:tcPr>
                <w:p w14:paraId="3164FC94">
                  <w:pPr>
                    <w:jc w:val="center"/>
                    <w:rPr>
                      <w:color w:val="auto"/>
                      <w:kern w:val="0"/>
                    </w:rPr>
                  </w:pPr>
                  <w:r>
                    <w:rPr>
                      <w:rFonts w:hint="eastAsia"/>
                      <w:color w:val="auto"/>
                      <w:kern w:val="0"/>
                    </w:rPr>
                    <w:t>天然气管道</w:t>
                  </w:r>
                </w:p>
              </w:tc>
              <w:tc>
                <w:tcPr>
                  <w:tcW w:w="6984" w:type="dxa"/>
                  <w:vAlign w:val="center"/>
                </w:tcPr>
                <w:p w14:paraId="0D2F4F9C">
                  <w:pPr>
                    <w:jc w:val="center"/>
                    <w:rPr>
                      <w:color w:val="auto"/>
                      <w:kern w:val="0"/>
                    </w:rPr>
                  </w:pPr>
                  <w:r>
                    <w:rPr>
                      <w:rFonts w:hint="eastAsia" w:ascii="宋体" w:hAnsi="宋体" w:cs="宋体"/>
                      <w:color w:val="auto"/>
                    </w:rPr>
                    <w:t>管道因不及时维护保养，导致管道腐蚀或破损，工作人员未及时发现，天然气泄漏至一定浓度遇到点火源发生火灾爆炸事故，产生有毒气体污染大气环境。</w:t>
                  </w:r>
                </w:p>
              </w:tc>
            </w:tr>
            <w:tr w14:paraId="699F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Align w:val="center"/>
                </w:tcPr>
                <w:p w14:paraId="0B9E9AB8">
                  <w:pPr>
                    <w:jc w:val="center"/>
                    <w:rPr>
                      <w:color w:val="auto"/>
                      <w:kern w:val="0"/>
                    </w:rPr>
                  </w:pPr>
                  <w:r>
                    <w:rPr>
                      <w:rFonts w:hint="eastAsia"/>
                      <w:color w:val="auto"/>
                      <w:kern w:val="0"/>
                    </w:rPr>
                    <w:t>废气（非甲烷总烃）</w:t>
                  </w:r>
                </w:p>
              </w:tc>
              <w:tc>
                <w:tcPr>
                  <w:tcW w:w="904" w:type="dxa"/>
                  <w:vAlign w:val="center"/>
                </w:tcPr>
                <w:p w14:paraId="2416447F">
                  <w:pPr>
                    <w:jc w:val="center"/>
                    <w:rPr>
                      <w:color w:val="auto"/>
                      <w:kern w:val="0"/>
                    </w:rPr>
                  </w:pPr>
                  <w:r>
                    <w:rPr>
                      <w:rFonts w:hint="eastAsia"/>
                      <w:color w:val="auto"/>
                      <w:kern w:val="0"/>
                    </w:rPr>
                    <w:t>废气治理设施</w:t>
                  </w:r>
                </w:p>
              </w:tc>
              <w:tc>
                <w:tcPr>
                  <w:tcW w:w="6984" w:type="dxa"/>
                  <w:vAlign w:val="center"/>
                </w:tcPr>
                <w:p w14:paraId="6C6AD487">
                  <w:pPr>
                    <w:jc w:val="center"/>
                    <w:rPr>
                      <w:color w:val="auto"/>
                      <w:kern w:val="0"/>
                    </w:rPr>
                  </w:pPr>
                  <w:r>
                    <w:rPr>
                      <w:rFonts w:hint="eastAsia"/>
                      <w:color w:val="auto"/>
                      <w:kern w:val="0"/>
                    </w:rPr>
                    <w:t>二级活性炭吸附装置发生故障未及时处理，导致有机废气事故排放。</w:t>
                  </w:r>
                </w:p>
              </w:tc>
            </w:tr>
            <w:tr w14:paraId="1C70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vAlign w:val="center"/>
                </w:tcPr>
                <w:p w14:paraId="1D3E06CE">
                  <w:pPr>
                    <w:jc w:val="center"/>
                    <w:rPr>
                      <w:color w:val="auto"/>
                      <w:kern w:val="0"/>
                    </w:rPr>
                  </w:pPr>
                  <w:r>
                    <w:rPr>
                      <w:rFonts w:hint="eastAsia"/>
                      <w:color w:val="auto"/>
                      <w:kern w:val="0"/>
                    </w:rPr>
                    <w:t>危险废物</w:t>
                  </w:r>
                </w:p>
              </w:tc>
              <w:tc>
                <w:tcPr>
                  <w:tcW w:w="904" w:type="dxa"/>
                  <w:vAlign w:val="center"/>
                </w:tcPr>
                <w:p w14:paraId="38B021DD">
                  <w:pPr>
                    <w:jc w:val="center"/>
                    <w:rPr>
                      <w:color w:val="auto"/>
                      <w:kern w:val="0"/>
                    </w:rPr>
                  </w:pPr>
                  <w:r>
                    <w:rPr>
                      <w:rFonts w:hint="eastAsia"/>
                      <w:color w:val="auto"/>
                      <w:kern w:val="0"/>
                    </w:rPr>
                    <w:t>危废仓库</w:t>
                  </w:r>
                </w:p>
              </w:tc>
              <w:tc>
                <w:tcPr>
                  <w:tcW w:w="6984" w:type="dxa"/>
                  <w:vAlign w:val="center"/>
                </w:tcPr>
                <w:p w14:paraId="70A80BCD">
                  <w:pPr>
                    <w:jc w:val="center"/>
                    <w:rPr>
                      <w:color w:val="auto"/>
                      <w:kern w:val="0"/>
                    </w:rPr>
                  </w:pPr>
                  <w:r>
                    <w:rPr>
                      <w:rFonts w:hint="eastAsia"/>
                      <w:color w:val="auto"/>
                      <w:kern w:val="0"/>
                    </w:rPr>
                    <w:t>危废库房防渗漏措施、收集措施不到位，可能导致危废渗漏，污染土壤、地下水；危废库房发生火灾事故，燃烧废气污染周边大气环境；事故废水未能及时收集扩散出厂界，可污染周边地表水。</w:t>
                  </w:r>
                </w:p>
              </w:tc>
            </w:tr>
          </w:tbl>
          <w:p w14:paraId="4D961D06">
            <w:pPr>
              <w:spacing w:line="360" w:lineRule="auto"/>
              <w:ind w:firstLine="480" w:firstLineChars="200"/>
              <w:rPr>
                <w:color w:val="auto"/>
                <w:sz w:val="24"/>
              </w:rPr>
            </w:pPr>
            <w:r>
              <w:rPr>
                <w:rFonts w:hint="eastAsia"/>
                <w:color w:val="auto"/>
                <w:sz w:val="24"/>
              </w:rPr>
              <w:t>6.3环境风险事故情形分析</w:t>
            </w:r>
          </w:p>
          <w:p w14:paraId="4E5D7FE5">
            <w:pPr>
              <w:spacing w:line="360" w:lineRule="auto"/>
              <w:ind w:firstLine="480" w:firstLineChars="200"/>
              <w:rPr>
                <w:b/>
                <w:bCs/>
                <w:color w:val="auto"/>
                <w:sz w:val="24"/>
                <w:szCs w:val="24"/>
              </w:rPr>
            </w:pPr>
            <w:r>
              <w:rPr>
                <w:rFonts w:hint="eastAsia"/>
                <w:color w:val="auto"/>
                <w:sz w:val="24"/>
              </w:rPr>
              <w:t>根据前文环境风险识别，企业突发环境风险事故情形分析见下表：</w:t>
            </w:r>
          </w:p>
          <w:p w14:paraId="59C2E33E">
            <w:pPr>
              <w:spacing w:line="360" w:lineRule="auto"/>
              <w:ind w:firstLine="482" w:firstLineChars="200"/>
              <w:jc w:val="center"/>
              <w:rPr>
                <w:b/>
                <w:bCs/>
                <w:color w:val="auto"/>
                <w:sz w:val="24"/>
              </w:rPr>
            </w:pPr>
            <w:r>
              <w:rPr>
                <w:rFonts w:hint="eastAsia"/>
                <w:b/>
                <w:bCs/>
                <w:color w:val="auto"/>
                <w:sz w:val="24"/>
                <w:szCs w:val="24"/>
              </w:rPr>
              <w:t xml:space="preserve">表4-35  </w:t>
            </w:r>
            <w:r>
              <w:rPr>
                <w:rFonts w:hint="eastAsia"/>
                <w:b/>
                <w:bCs/>
                <w:color w:val="auto"/>
                <w:sz w:val="24"/>
              </w:rPr>
              <w:t>企业突发环境事故情形分析</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7952"/>
            </w:tblGrid>
            <w:tr w14:paraId="766A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vAlign w:val="center"/>
                </w:tcPr>
                <w:p w14:paraId="0A780249">
                  <w:pPr>
                    <w:jc w:val="center"/>
                    <w:rPr>
                      <w:b/>
                      <w:bCs/>
                      <w:color w:val="auto"/>
                      <w:kern w:val="0"/>
                    </w:rPr>
                  </w:pPr>
                  <w:r>
                    <w:rPr>
                      <w:rFonts w:hint="eastAsia"/>
                      <w:b/>
                      <w:bCs/>
                      <w:color w:val="auto"/>
                      <w:kern w:val="0"/>
                    </w:rPr>
                    <w:t>环境要素</w:t>
                  </w:r>
                </w:p>
              </w:tc>
              <w:tc>
                <w:tcPr>
                  <w:tcW w:w="7952" w:type="dxa"/>
                  <w:vAlign w:val="center"/>
                </w:tcPr>
                <w:p w14:paraId="6D37F4FC">
                  <w:pPr>
                    <w:jc w:val="center"/>
                    <w:rPr>
                      <w:b/>
                      <w:bCs/>
                      <w:color w:val="auto"/>
                      <w:kern w:val="0"/>
                    </w:rPr>
                  </w:pPr>
                  <w:r>
                    <w:rPr>
                      <w:rFonts w:hint="eastAsia"/>
                      <w:b/>
                      <w:bCs/>
                      <w:color w:val="auto"/>
                      <w:kern w:val="0"/>
                    </w:rPr>
                    <w:t>危害后果</w:t>
                  </w:r>
                </w:p>
              </w:tc>
            </w:tr>
            <w:tr w14:paraId="0DA1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vAlign w:val="center"/>
                </w:tcPr>
                <w:p w14:paraId="12940153">
                  <w:pPr>
                    <w:jc w:val="center"/>
                    <w:rPr>
                      <w:color w:val="auto"/>
                      <w:kern w:val="0"/>
                    </w:rPr>
                  </w:pPr>
                  <w:r>
                    <w:rPr>
                      <w:rFonts w:hint="eastAsia"/>
                      <w:color w:val="auto"/>
                      <w:kern w:val="0"/>
                    </w:rPr>
                    <w:t>大气</w:t>
                  </w:r>
                </w:p>
              </w:tc>
              <w:tc>
                <w:tcPr>
                  <w:tcW w:w="7952" w:type="dxa"/>
                  <w:vAlign w:val="center"/>
                </w:tcPr>
                <w:p w14:paraId="00D84155">
                  <w:pPr>
                    <w:jc w:val="center"/>
                    <w:rPr>
                      <w:color w:val="auto"/>
                      <w:kern w:val="0"/>
                    </w:rPr>
                  </w:pPr>
                  <w:r>
                    <w:rPr>
                      <w:rFonts w:hint="eastAsia"/>
                      <w:color w:val="auto"/>
                      <w:kern w:val="0"/>
                    </w:rPr>
                    <w:t>白油等泄漏，遇明火、高热等可引发火灾爆炸事故。</w:t>
                  </w:r>
                </w:p>
                <w:p w14:paraId="7D8E0919">
                  <w:pPr>
                    <w:jc w:val="center"/>
                    <w:rPr>
                      <w:color w:val="auto"/>
                      <w:kern w:val="0"/>
                    </w:rPr>
                  </w:pPr>
                  <w:r>
                    <w:rPr>
                      <w:rFonts w:hint="eastAsia"/>
                      <w:color w:val="auto"/>
                      <w:kern w:val="0"/>
                    </w:rPr>
                    <w:t>废气处理装置故障可导致废气事故排放，污染周边大气环境。</w:t>
                  </w:r>
                </w:p>
              </w:tc>
            </w:tr>
            <w:tr w14:paraId="34AC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19" w:type="dxa"/>
                  <w:vAlign w:val="center"/>
                </w:tcPr>
                <w:p w14:paraId="6B366D0A">
                  <w:pPr>
                    <w:jc w:val="center"/>
                    <w:rPr>
                      <w:color w:val="auto"/>
                      <w:kern w:val="0"/>
                    </w:rPr>
                  </w:pPr>
                  <w:r>
                    <w:rPr>
                      <w:rFonts w:hint="eastAsia"/>
                      <w:color w:val="auto"/>
                      <w:kern w:val="0"/>
                    </w:rPr>
                    <w:t>地表水</w:t>
                  </w:r>
                </w:p>
              </w:tc>
              <w:tc>
                <w:tcPr>
                  <w:tcW w:w="7952" w:type="dxa"/>
                  <w:vAlign w:val="center"/>
                </w:tcPr>
                <w:p w14:paraId="269DE034">
                  <w:pPr>
                    <w:jc w:val="center"/>
                    <w:rPr>
                      <w:color w:val="auto"/>
                      <w:kern w:val="0"/>
                    </w:rPr>
                  </w:pPr>
                  <w:r>
                    <w:rPr>
                      <w:rFonts w:hint="eastAsia"/>
                      <w:color w:val="auto"/>
                      <w:kern w:val="0"/>
                    </w:rPr>
                    <w:t>白油包装桶破损未能及时收集或者拦截，导致液态泄漏形成厂区地面漫流，可通过雨水排口扩散出厂界，导致周边水体污染；</w:t>
                  </w:r>
                </w:p>
                <w:p w14:paraId="6444B523">
                  <w:pPr>
                    <w:jc w:val="center"/>
                    <w:rPr>
                      <w:color w:val="auto"/>
                      <w:kern w:val="0"/>
                    </w:rPr>
                  </w:pPr>
                  <w:r>
                    <w:rPr>
                      <w:rFonts w:hint="eastAsia"/>
                      <w:color w:val="auto"/>
                      <w:kern w:val="0"/>
                    </w:rPr>
                    <w:t>设备故障导致白油泄漏形成厂区地面漫流，可通过雨水排口扩散出厂界，导致周边水体污染；火灾事故时产生的事故废水、消防尾水收集处理不当扩散出厂界可造成周边水体污染。</w:t>
                  </w:r>
                </w:p>
              </w:tc>
            </w:tr>
            <w:tr w14:paraId="3E56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vAlign w:val="center"/>
                </w:tcPr>
                <w:p w14:paraId="56C33B8F">
                  <w:pPr>
                    <w:jc w:val="center"/>
                    <w:rPr>
                      <w:color w:val="auto"/>
                      <w:kern w:val="0"/>
                    </w:rPr>
                  </w:pPr>
                  <w:r>
                    <w:rPr>
                      <w:rFonts w:hint="eastAsia"/>
                      <w:color w:val="auto"/>
                      <w:kern w:val="0"/>
                    </w:rPr>
                    <w:t>土壤、地下水</w:t>
                  </w:r>
                </w:p>
              </w:tc>
              <w:tc>
                <w:tcPr>
                  <w:tcW w:w="7952" w:type="dxa"/>
                  <w:vAlign w:val="center"/>
                </w:tcPr>
                <w:p w14:paraId="21711A69">
                  <w:pPr>
                    <w:jc w:val="center"/>
                    <w:rPr>
                      <w:color w:val="auto"/>
                      <w:kern w:val="0"/>
                    </w:rPr>
                  </w:pPr>
                  <w:r>
                    <w:rPr>
                      <w:rFonts w:hint="eastAsia"/>
                      <w:color w:val="auto"/>
                      <w:kern w:val="0"/>
                    </w:rPr>
                    <w:t>白油泄漏未能有效收集，扩散出厂界，导致周边地下水体及土壤污染；随意倾倒固废，导致地下水及土壤污染事故；危废库房防渗漏措施不到位，危险废物在存放过程中发生渗漏事故，从地面渗漏污染土壤及地下水壤。</w:t>
                  </w:r>
                </w:p>
              </w:tc>
            </w:tr>
          </w:tbl>
          <w:p w14:paraId="56B516E9">
            <w:pPr>
              <w:spacing w:line="360" w:lineRule="auto"/>
              <w:ind w:firstLine="482" w:firstLineChars="200"/>
              <w:jc w:val="center"/>
              <w:rPr>
                <w:b/>
                <w:bCs/>
                <w:color w:val="auto"/>
                <w:sz w:val="24"/>
                <w:szCs w:val="24"/>
              </w:rPr>
            </w:pPr>
            <w:r>
              <w:rPr>
                <w:rFonts w:hint="eastAsia"/>
                <w:b/>
                <w:bCs/>
                <w:color w:val="auto"/>
                <w:sz w:val="24"/>
                <w:szCs w:val="24"/>
              </w:rPr>
              <w:t>表4-36  代表性风险事故情形设定一览表</w:t>
            </w:r>
          </w:p>
          <w:tbl>
            <w:tblPr>
              <w:tblStyle w:val="23"/>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2283"/>
              <w:gridCol w:w="2110"/>
              <w:gridCol w:w="1518"/>
              <w:gridCol w:w="1814"/>
            </w:tblGrid>
            <w:tr w14:paraId="2F63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6" w:type="dxa"/>
                  <w:vAlign w:val="center"/>
                </w:tcPr>
                <w:p w14:paraId="25B26925">
                  <w:pPr>
                    <w:jc w:val="center"/>
                    <w:rPr>
                      <w:b/>
                      <w:bCs/>
                      <w:color w:val="auto"/>
                      <w:kern w:val="0"/>
                    </w:rPr>
                  </w:pPr>
                  <w:r>
                    <w:rPr>
                      <w:rFonts w:hint="eastAsia"/>
                      <w:b/>
                      <w:bCs/>
                      <w:color w:val="auto"/>
                      <w:kern w:val="0"/>
                    </w:rPr>
                    <w:t>事故类型</w:t>
                  </w:r>
                </w:p>
              </w:tc>
              <w:tc>
                <w:tcPr>
                  <w:tcW w:w="2283" w:type="dxa"/>
                  <w:vAlign w:val="center"/>
                </w:tcPr>
                <w:p w14:paraId="6213E122">
                  <w:pPr>
                    <w:jc w:val="center"/>
                    <w:rPr>
                      <w:b/>
                      <w:bCs/>
                      <w:color w:val="auto"/>
                      <w:kern w:val="0"/>
                    </w:rPr>
                  </w:pPr>
                  <w:r>
                    <w:rPr>
                      <w:rFonts w:hint="eastAsia"/>
                      <w:b/>
                      <w:bCs/>
                      <w:color w:val="auto"/>
                      <w:kern w:val="0"/>
                    </w:rPr>
                    <w:t>代表性事故情形</w:t>
                  </w:r>
                </w:p>
              </w:tc>
              <w:tc>
                <w:tcPr>
                  <w:tcW w:w="2110" w:type="dxa"/>
                  <w:vAlign w:val="center"/>
                </w:tcPr>
                <w:p w14:paraId="740F7D2B">
                  <w:pPr>
                    <w:jc w:val="center"/>
                    <w:rPr>
                      <w:b/>
                      <w:bCs/>
                      <w:color w:val="auto"/>
                      <w:kern w:val="0"/>
                    </w:rPr>
                  </w:pPr>
                  <w:r>
                    <w:rPr>
                      <w:rFonts w:hint="eastAsia"/>
                      <w:b/>
                      <w:bCs/>
                      <w:color w:val="auto"/>
                      <w:kern w:val="0"/>
                    </w:rPr>
                    <w:t>风险物质</w:t>
                  </w:r>
                </w:p>
              </w:tc>
              <w:tc>
                <w:tcPr>
                  <w:tcW w:w="1518" w:type="dxa"/>
                  <w:vAlign w:val="center"/>
                </w:tcPr>
                <w:p w14:paraId="15BFC4A3">
                  <w:pPr>
                    <w:jc w:val="center"/>
                    <w:rPr>
                      <w:b/>
                      <w:bCs/>
                      <w:color w:val="auto"/>
                      <w:kern w:val="0"/>
                    </w:rPr>
                  </w:pPr>
                  <w:r>
                    <w:rPr>
                      <w:rFonts w:hint="eastAsia"/>
                      <w:b/>
                      <w:bCs/>
                      <w:color w:val="auto"/>
                      <w:kern w:val="0"/>
                    </w:rPr>
                    <w:t>可能扩散途径</w:t>
                  </w:r>
                </w:p>
              </w:tc>
              <w:tc>
                <w:tcPr>
                  <w:tcW w:w="1814" w:type="dxa"/>
                  <w:vAlign w:val="center"/>
                </w:tcPr>
                <w:p w14:paraId="5FD22F59">
                  <w:pPr>
                    <w:jc w:val="center"/>
                    <w:rPr>
                      <w:b/>
                      <w:bCs/>
                      <w:color w:val="auto"/>
                      <w:kern w:val="0"/>
                    </w:rPr>
                  </w:pPr>
                  <w:r>
                    <w:rPr>
                      <w:rFonts w:hint="eastAsia"/>
                      <w:b/>
                      <w:bCs/>
                      <w:color w:val="auto"/>
                      <w:kern w:val="0"/>
                    </w:rPr>
                    <w:t>受影响的水系/敏感保护目标</w:t>
                  </w:r>
                </w:p>
              </w:tc>
            </w:tr>
            <w:tr w14:paraId="69C9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6" w:type="dxa"/>
                  <w:vMerge w:val="restart"/>
                  <w:vAlign w:val="center"/>
                </w:tcPr>
                <w:p w14:paraId="3456D8B0">
                  <w:pPr>
                    <w:jc w:val="center"/>
                    <w:rPr>
                      <w:color w:val="auto"/>
                      <w:kern w:val="0"/>
                    </w:rPr>
                  </w:pPr>
                  <w:r>
                    <w:rPr>
                      <w:rFonts w:hint="eastAsia"/>
                      <w:color w:val="auto"/>
                      <w:kern w:val="0"/>
                    </w:rPr>
                    <w:t>涉气类事故</w:t>
                  </w:r>
                </w:p>
              </w:tc>
              <w:tc>
                <w:tcPr>
                  <w:tcW w:w="2283" w:type="dxa"/>
                  <w:vAlign w:val="center"/>
                </w:tcPr>
                <w:p w14:paraId="03E00223">
                  <w:pPr>
                    <w:jc w:val="center"/>
                    <w:rPr>
                      <w:color w:val="auto"/>
                      <w:kern w:val="0"/>
                    </w:rPr>
                  </w:pPr>
                  <w:r>
                    <w:rPr>
                      <w:rFonts w:hint="eastAsia"/>
                      <w:color w:val="auto"/>
                      <w:kern w:val="0"/>
                    </w:rPr>
                    <w:t>火灾爆炸事故</w:t>
                  </w:r>
                </w:p>
              </w:tc>
              <w:tc>
                <w:tcPr>
                  <w:tcW w:w="2110" w:type="dxa"/>
                  <w:vAlign w:val="center"/>
                </w:tcPr>
                <w:p w14:paraId="52803CFF">
                  <w:pPr>
                    <w:jc w:val="center"/>
                    <w:rPr>
                      <w:color w:val="auto"/>
                      <w:kern w:val="0"/>
                    </w:rPr>
                  </w:pPr>
                  <w:r>
                    <w:rPr>
                      <w:rFonts w:hint="eastAsia"/>
                      <w:color w:val="auto"/>
                      <w:kern w:val="0"/>
                    </w:rPr>
                    <w:t>次生污染物：一氧化碳、二氧化硫、烟尘</w:t>
                  </w:r>
                </w:p>
              </w:tc>
              <w:tc>
                <w:tcPr>
                  <w:tcW w:w="1518" w:type="dxa"/>
                  <w:vAlign w:val="center"/>
                </w:tcPr>
                <w:p w14:paraId="0BC00059">
                  <w:pPr>
                    <w:jc w:val="center"/>
                    <w:rPr>
                      <w:color w:val="auto"/>
                      <w:kern w:val="0"/>
                    </w:rPr>
                  </w:pPr>
                  <w:r>
                    <w:rPr>
                      <w:rFonts w:hint="eastAsia"/>
                      <w:color w:val="auto"/>
                      <w:kern w:val="0"/>
                    </w:rPr>
                    <w:t>大气扩散</w:t>
                  </w:r>
                </w:p>
              </w:tc>
              <w:tc>
                <w:tcPr>
                  <w:tcW w:w="1814" w:type="dxa"/>
                  <w:vAlign w:val="center"/>
                </w:tcPr>
                <w:p w14:paraId="2867D271">
                  <w:pPr>
                    <w:jc w:val="center"/>
                    <w:rPr>
                      <w:color w:val="auto"/>
                      <w:kern w:val="0"/>
                    </w:rPr>
                  </w:pPr>
                  <w:r>
                    <w:rPr>
                      <w:rFonts w:hint="eastAsia"/>
                      <w:color w:val="auto"/>
                      <w:kern w:val="0"/>
                    </w:rPr>
                    <w:t>周边企业</w:t>
                  </w:r>
                </w:p>
              </w:tc>
            </w:tr>
            <w:tr w14:paraId="6948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6" w:type="dxa"/>
                  <w:vMerge w:val="continue"/>
                  <w:vAlign w:val="center"/>
                </w:tcPr>
                <w:p w14:paraId="70154C2F">
                  <w:pPr>
                    <w:jc w:val="center"/>
                    <w:rPr>
                      <w:color w:val="auto"/>
                      <w:kern w:val="0"/>
                    </w:rPr>
                  </w:pPr>
                </w:p>
              </w:tc>
              <w:tc>
                <w:tcPr>
                  <w:tcW w:w="2283" w:type="dxa"/>
                  <w:vAlign w:val="center"/>
                </w:tcPr>
                <w:p w14:paraId="21CBD295">
                  <w:pPr>
                    <w:jc w:val="center"/>
                    <w:rPr>
                      <w:color w:val="auto"/>
                      <w:kern w:val="0"/>
                    </w:rPr>
                  </w:pPr>
                  <w:r>
                    <w:rPr>
                      <w:rFonts w:hint="eastAsia"/>
                      <w:color w:val="auto"/>
                      <w:kern w:val="0"/>
                    </w:rPr>
                    <w:t>废气治理设施故障</w:t>
                  </w:r>
                </w:p>
              </w:tc>
              <w:tc>
                <w:tcPr>
                  <w:tcW w:w="2110" w:type="dxa"/>
                  <w:vAlign w:val="center"/>
                </w:tcPr>
                <w:p w14:paraId="6B175DE4">
                  <w:pPr>
                    <w:jc w:val="center"/>
                    <w:rPr>
                      <w:color w:val="auto"/>
                      <w:kern w:val="0"/>
                    </w:rPr>
                  </w:pPr>
                  <w:r>
                    <w:rPr>
                      <w:rFonts w:hint="eastAsia"/>
                      <w:color w:val="auto"/>
                      <w:kern w:val="0"/>
                    </w:rPr>
                    <w:t>非甲烷总烃</w:t>
                  </w:r>
                </w:p>
              </w:tc>
              <w:tc>
                <w:tcPr>
                  <w:tcW w:w="1518" w:type="dxa"/>
                  <w:vAlign w:val="center"/>
                </w:tcPr>
                <w:p w14:paraId="2CFE0780">
                  <w:pPr>
                    <w:jc w:val="center"/>
                    <w:rPr>
                      <w:color w:val="auto"/>
                      <w:kern w:val="0"/>
                    </w:rPr>
                  </w:pPr>
                  <w:r>
                    <w:rPr>
                      <w:rFonts w:hint="eastAsia"/>
                      <w:color w:val="auto"/>
                      <w:kern w:val="0"/>
                    </w:rPr>
                    <w:t>大气扩散</w:t>
                  </w:r>
                </w:p>
              </w:tc>
              <w:tc>
                <w:tcPr>
                  <w:tcW w:w="1814" w:type="dxa"/>
                  <w:vAlign w:val="center"/>
                </w:tcPr>
                <w:p w14:paraId="4803F071">
                  <w:pPr>
                    <w:jc w:val="center"/>
                    <w:rPr>
                      <w:color w:val="auto"/>
                      <w:kern w:val="0"/>
                    </w:rPr>
                  </w:pPr>
                  <w:r>
                    <w:rPr>
                      <w:rFonts w:hint="eastAsia"/>
                      <w:color w:val="auto"/>
                      <w:kern w:val="0"/>
                    </w:rPr>
                    <w:t>周边企业</w:t>
                  </w:r>
                </w:p>
              </w:tc>
            </w:tr>
            <w:tr w14:paraId="7132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6" w:type="dxa"/>
                  <w:vAlign w:val="center"/>
                </w:tcPr>
                <w:p w14:paraId="5AC5DE72">
                  <w:pPr>
                    <w:jc w:val="center"/>
                    <w:rPr>
                      <w:color w:val="auto"/>
                      <w:kern w:val="0"/>
                    </w:rPr>
                  </w:pPr>
                  <w:r>
                    <w:rPr>
                      <w:rFonts w:hint="eastAsia"/>
                      <w:color w:val="auto"/>
                      <w:kern w:val="0"/>
                    </w:rPr>
                    <w:t>涉水事故</w:t>
                  </w:r>
                </w:p>
              </w:tc>
              <w:tc>
                <w:tcPr>
                  <w:tcW w:w="2283" w:type="dxa"/>
                  <w:vAlign w:val="center"/>
                </w:tcPr>
                <w:p w14:paraId="562713E7">
                  <w:pPr>
                    <w:jc w:val="center"/>
                    <w:rPr>
                      <w:color w:val="auto"/>
                      <w:kern w:val="0"/>
                    </w:rPr>
                  </w:pPr>
                  <w:r>
                    <w:rPr>
                      <w:rFonts w:hint="eastAsia"/>
                      <w:color w:val="auto"/>
                      <w:kern w:val="0"/>
                    </w:rPr>
                    <w:t>泄漏物、消防尾水等未能拦截在厂区内，从雨水排口扩散出厂界，进入周边水体</w:t>
                  </w:r>
                </w:p>
              </w:tc>
              <w:tc>
                <w:tcPr>
                  <w:tcW w:w="2110" w:type="dxa"/>
                  <w:vAlign w:val="center"/>
                </w:tcPr>
                <w:p w14:paraId="5655DD48">
                  <w:pPr>
                    <w:jc w:val="center"/>
                    <w:rPr>
                      <w:color w:val="auto"/>
                      <w:kern w:val="0"/>
                    </w:rPr>
                  </w:pPr>
                  <w:r>
                    <w:rPr>
                      <w:rFonts w:hint="eastAsia"/>
                      <w:color w:val="auto"/>
                      <w:kern w:val="0"/>
                    </w:rPr>
                    <w:t>白油等</w:t>
                  </w:r>
                </w:p>
              </w:tc>
              <w:tc>
                <w:tcPr>
                  <w:tcW w:w="1518" w:type="dxa"/>
                  <w:vAlign w:val="center"/>
                </w:tcPr>
                <w:p w14:paraId="26A0EA96">
                  <w:pPr>
                    <w:jc w:val="center"/>
                    <w:rPr>
                      <w:color w:val="auto"/>
                      <w:kern w:val="0"/>
                    </w:rPr>
                  </w:pPr>
                  <w:r>
                    <w:rPr>
                      <w:rFonts w:hint="eastAsia"/>
                      <w:color w:val="auto"/>
                      <w:kern w:val="0"/>
                    </w:rPr>
                    <w:t>地面漫流</w:t>
                  </w:r>
                </w:p>
              </w:tc>
              <w:tc>
                <w:tcPr>
                  <w:tcW w:w="1814" w:type="dxa"/>
                  <w:vAlign w:val="center"/>
                </w:tcPr>
                <w:p w14:paraId="3E967BAB">
                  <w:pPr>
                    <w:jc w:val="center"/>
                    <w:rPr>
                      <w:color w:val="auto"/>
                      <w:kern w:val="0"/>
                    </w:rPr>
                  </w:pPr>
                  <w:r>
                    <w:rPr>
                      <w:rFonts w:hint="eastAsia"/>
                      <w:color w:val="auto"/>
                      <w:kern w:val="0"/>
                    </w:rPr>
                    <w:t>通济河</w:t>
                  </w:r>
                </w:p>
              </w:tc>
            </w:tr>
            <w:tr w14:paraId="2F37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6" w:type="dxa"/>
                  <w:vAlign w:val="center"/>
                </w:tcPr>
                <w:p w14:paraId="03467BE8">
                  <w:pPr>
                    <w:jc w:val="center"/>
                    <w:rPr>
                      <w:color w:val="auto"/>
                      <w:kern w:val="0"/>
                    </w:rPr>
                  </w:pPr>
                  <w:r>
                    <w:rPr>
                      <w:rFonts w:hint="eastAsia"/>
                      <w:color w:val="auto"/>
                      <w:kern w:val="0"/>
                    </w:rPr>
                    <w:t>其他事故</w:t>
                  </w:r>
                </w:p>
              </w:tc>
              <w:tc>
                <w:tcPr>
                  <w:tcW w:w="2283" w:type="dxa"/>
                  <w:vAlign w:val="center"/>
                </w:tcPr>
                <w:p w14:paraId="3403E5FD">
                  <w:pPr>
                    <w:jc w:val="center"/>
                    <w:rPr>
                      <w:color w:val="auto"/>
                      <w:kern w:val="0"/>
                    </w:rPr>
                  </w:pPr>
                  <w:r>
                    <w:rPr>
                      <w:rFonts w:hint="eastAsia"/>
                      <w:color w:val="auto"/>
                      <w:kern w:val="0"/>
                    </w:rPr>
                    <w:t>危废库房防渗漏措施不到位</w:t>
                  </w:r>
                </w:p>
              </w:tc>
              <w:tc>
                <w:tcPr>
                  <w:tcW w:w="2110" w:type="dxa"/>
                  <w:vAlign w:val="center"/>
                </w:tcPr>
                <w:p w14:paraId="3B22CE51">
                  <w:pPr>
                    <w:jc w:val="center"/>
                    <w:rPr>
                      <w:color w:val="auto"/>
                      <w:kern w:val="0"/>
                    </w:rPr>
                  </w:pPr>
                  <w:r>
                    <w:rPr>
                      <w:rFonts w:hint="eastAsia"/>
                      <w:color w:val="auto"/>
                      <w:kern w:val="0"/>
                    </w:rPr>
                    <w:t>危险废物</w:t>
                  </w:r>
                </w:p>
              </w:tc>
              <w:tc>
                <w:tcPr>
                  <w:tcW w:w="1518" w:type="dxa"/>
                  <w:vAlign w:val="center"/>
                </w:tcPr>
                <w:p w14:paraId="2EFBF34C">
                  <w:pPr>
                    <w:jc w:val="center"/>
                    <w:rPr>
                      <w:color w:val="auto"/>
                      <w:kern w:val="0"/>
                    </w:rPr>
                  </w:pPr>
                  <w:r>
                    <w:rPr>
                      <w:rFonts w:hint="eastAsia"/>
                      <w:color w:val="auto"/>
                      <w:kern w:val="0"/>
                    </w:rPr>
                    <w:t>垂直入渗</w:t>
                  </w:r>
                </w:p>
              </w:tc>
              <w:tc>
                <w:tcPr>
                  <w:tcW w:w="1814" w:type="dxa"/>
                  <w:vAlign w:val="center"/>
                </w:tcPr>
                <w:p w14:paraId="5666E5BE">
                  <w:pPr>
                    <w:jc w:val="center"/>
                    <w:rPr>
                      <w:color w:val="auto"/>
                      <w:kern w:val="0"/>
                    </w:rPr>
                  </w:pPr>
                  <w:r>
                    <w:rPr>
                      <w:rFonts w:hint="eastAsia"/>
                      <w:color w:val="auto"/>
                      <w:kern w:val="0"/>
                    </w:rPr>
                    <w:t>地下水、土壤</w:t>
                  </w:r>
                </w:p>
              </w:tc>
            </w:tr>
          </w:tbl>
          <w:p w14:paraId="64197CFA">
            <w:pPr>
              <w:spacing w:line="360" w:lineRule="auto"/>
              <w:ind w:firstLine="480" w:firstLineChars="200"/>
              <w:rPr>
                <w:color w:val="auto"/>
                <w:sz w:val="24"/>
              </w:rPr>
            </w:pPr>
            <w:r>
              <w:rPr>
                <w:rFonts w:hint="eastAsia"/>
                <w:color w:val="auto"/>
                <w:sz w:val="24"/>
              </w:rPr>
              <w:t>6.4环境风险管理</w:t>
            </w:r>
          </w:p>
          <w:p w14:paraId="2E9BD316">
            <w:pPr>
              <w:spacing w:line="360" w:lineRule="auto"/>
              <w:ind w:firstLine="480" w:firstLineChars="200"/>
              <w:rPr>
                <w:color w:val="auto"/>
                <w:sz w:val="24"/>
              </w:rPr>
            </w:pPr>
            <w:r>
              <w:rPr>
                <w:rFonts w:hint="eastAsia"/>
                <w:color w:val="auto"/>
                <w:sz w:val="24"/>
              </w:rPr>
              <w:t>6.4.1环境风险防范措施</w:t>
            </w:r>
          </w:p>
          <w:p w14:paraId="6C2A8DC6">
            <w:pPr>
              <w:spacing w:line="360" w:lineRule="auto"/>
              <w:ind w:firstLine="480" w:firstLineChars="200"/>
              <w:rPr>
                <w:color w:val="auto"/>
                <w:sz w:val="24"/>
              </w:rPr>
            </w:pPr>
            <w:r>
              <w:rPr>
                <w:rFonts w:hint="eastAsia"/>
                <w:color w:val="auto"/>
                <w:sz w:val="24"/>
              </w:rPr>
              <w:t>①大气环境风险防范措施</w:t>
            </w:r>
          </w:p>
          <w:p w14:paraId="74E5FDDF">
            <w:pPr>
              <w:spacing w:line="360" w:lineRule="auto"/>
              <w:ind w:firstLine="482" w:firstLineChars="200"/>
              <w:jc w:val="center"/>
              <w:rPr>
                <w:b/>
                <w:bCs/>
                <w:color w:val="auto"/>
                <w:sz w:val="24"/>
                <w:szCs w:val="24"/>
              </w:rPr>
            </w:pPr>
            <w:r>
              <w:rPr>
                <w:rFonts w:hint="eastAsia"/>
                <w:b/>
                <w:bCs/>
                <w:color w:val="auto"/>
                <w:sz w:val="24"/>
                <w:szCs w:val="24"/>
              </w:rPr>
              <w:t>表4-37  大气环境风险防范措施</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7924"/>
            </w:tblGrid>
            <w:tr w14:paraId="7476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2" w:type="dxa"/>
                  <w:vAlign w:val="center"/>
                </w:tcPr>
                <w:p w14:paraId="1F4D25EE">
                  <w:pPr>
                    <w:jc w:val="center"/>
                    <w:rPr>
                      <w:b/>
                      <w:bCs/>
                      <w:color w:val="auto"/>
                      <w:kern w:val="0"/>
                    </w:rPr>
                  </w:pPr>
                  <w:r>
                    <w:rPr>
                      <w:rFonts w:hint="eastAsia"/>
                      <w:b/>
                      <w:bCs/>
                      <w:color w:val="auto"/>
                      <w:kern w:val="0"/>
                    </w:rPr>
                    <w:t>事故情形</w:t>
                  </w:r>
                </w:p>
              </w:tc>
              <w:tc>
                <w:tcPr>
                  <w:tcW w:w="11171" w:type="dxa"/>
                  <w:vAlign w:val="center"/>
                </w:tcPr>
                <w:p w14:paraId="07547036">
                  <w:pPr>
                    <w:jc w:val="center"/>
                    <w:rPr>
                      <w:b/>
                      <w:bCs/>
                      <w:color w:val="auto"/>
                      <w:kern w:val="0"/>
                    </w:rPr>
                  </w:pPr>
                  <w:r>
                    <w:rPr>
                      <w:rFonts w:hint="eastAsia"/>
                      <w:b/>
                      <w:bCs/>
                      <w:color w:val="auto"/>
                      <w:kern w:val="0"/>
                    </w:rPr>
                    <w:t>风险防范措施</w:t>
                  </w:r>
                </w:p>
              </w:tc>
            </w:tr>
            <w:tr w14:paraId="37B3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2" w:type="dxa"/>
                  <w:vAlign w:val="center"/>
                </w:tcPr>
                <w:p w14:paraId="2737877C">
                  <w:pPr>
                    <w:jc w:val="center"/>
                    <w:rPr>
                      <w:color w:val="auto"/>
                      <w:kern w:val="0"/>
                    </w:rPr>
                  </w:pPr>
                  <w:r>
                    <w:rPr>
                      <w:rFonts w:hint="eastAsia"/>
                      <w:color w:val="auto"/>
                      <w:kern w:val="0"/>
                    </w:rPr>
                    <w:t>白油泄漏、火灾爆炸事故</w:t>
                  </w:r>
                </w:p>
              </w:tc>
              <w:tc>
                <w:tcPr>
                  <w:tcW w:w="11171" w:type="dxa"/>
                  <w:vAlign w:val="center"/>
                </w:tcPr>
                <w:p w14:paraId="62687D8C">
                  <w:pPr>
                    <w:numPr>
                      <w:ilvl w:val="0"/>
                      <w:numId w:val="9"/>
                    </w:numPr>
                    <w:jc w:val="left"/>
                    <w:rPr>
                      <w:color w:val="auto"/>
                      <w:kern w:val="0"/>
                    </w:rPr>
                  </w:pPr>
                  <w:r>
                    <w:rPr>
                      <w:rFonts w:hint="eastAsia"/>
                      <w:color w:val="auto"/>
                      <w:kern w:val="0"/>
                    </w:rPr>
                    <w:t>设置可燃气体报警器；</w:t>
                  </w:r>
                </w:p>
                <w:p w14:paraId="5AC00EDD">
                  <w:pPr>
                    <w:numPr>
                      <w:ilvl w:val="0"/>
                      <w:numId w:val="9"/>
                    </w:numPr>
                    <w:jc w:val="left"/>
                    <w:rPr>
                      <w:color w:val="auto"/>
                      <w:kern w:val="0"/>
                    </w:rPr>
                  </w:pPr>
                  <w:r>
                    <w:rPr>
                      <w:rFonts w:hint="eastAsia"/>
                      <w:color w:val="auto"/>
                      <w:kern w:val="0"/>
                    </w:rPr>
                    <w:t>设置防爆设备及防爆电气线路，设备接地；</w:t>
                  </w:r>
                </w:p>
                <w:p w14:paraId="0D66F07A">
                  <w:pPr>
                    <w:numPr>
                      <w:ilvl w:val="0"/>
                      <w:numId w:val="9"/>
                    </w:numPr>
                    <w:jc w:val="left"/>
                    <w:rPr>
                      <w:color w:val="auto"/>
                      <w:kern w:val="0"/>
                    </w:rPr>
                  </w:pPr>
                  <w:r>
                    <w:rPr>
                      <w:rFonts w:hint="eastAsia"/>
                      <w:color w:val="auto"/>
                      <w:kern w:val="0"/>
                    </w:rPr>
                    <w:t>铺设环氧地坪；</w:t>
                  </w:r>
                </w:p>
                <w:p w14:paraId="54BFAB17">
                  <w:pPr>
                    <w:numPr>
                      <w:ilvl w:val="0"/>
                      <w:numId w:val="9"/>
                    </w:numPr>
                    <w:jc w:val="left"/>
                    <w:rPr>
                      <w:color w:val="auto"/>
                      <w:kern w:val="0"/>
                    </w:rPr>
                  </w:pPr>
                  <w:r>
                    <w:rPr>
                      <w:rFonts w:hint="eastAsia"/>
                      <w:color w:val="auto"/>
                      <w:kern w:val="0"/>
                    </w:rPr>
                    <w:t>加强现场管理，定期对设备等进行维护保养；</w:t>
                  </w:r>
                </w:p>
                <w:p w14:paraId="7C9C6164">
                  <w:pPr>
                    <w:numPr>
                      <w:ilvl w:val="0"/>
                      <w:numId w:val="9"/>
                    </w:numPr>
                    <w:jc w:val="left"/>
                    <w:rPr>
                      <w:color w:val="auto"/>
                      <w:kern w:val="0"/>
                    </w:rPr>
                  </w:pPr>
                  <w:r>
                    <w:rPr>
                      <w:rFonts w:hint="eastAsia"/>
                      <w:color w:val="auto"/>
                      <w:kern w:val="0"/>
                    </w:rPr>
                    <w:t>加强员工培训，加强应急演练，防止因野蛮操作造成泄漏事故，或者因缺乏急救常识造成影响恶化；</w:t>
                  </w:r>
                </w:p>
                <w:p w14:paraId="5D090122">
                  <w:pPr>
                    <w:numPr>
                      <w:ilvl w:val="0"/>
                      <w:numId w:val="9"/>
                    </w:numPr>
                    <w:jc w:val="left"/>
                    <w:rPr>
                      <w:color w:val="auto"/>
                      <w:kern w:val="0"/>
                    </w:rPr>
                  </w:pPr>
                  <w:r>
                    <w:rPr>
                      <w:rFonts w:hint="eastAsia"/>
                      <w:color w:val="auto"/>
                      <w:kern w:val="0"/>
                    </w:rPr>
                    <w:t>配备现场急救用品，设置灭火器等消防器材，配备充足的应急物资；</w:t>
                  </w:r>
                </w:p>
                <w:p w14:paraId="16CFBA63">
                  <w:pPr>
                    <w:numPr>
                      <w:ilvl w:val="0"/>
                      <w:numId w:val="9"/>
                    </w:numPr>
                    <w:jc w:val="left"/>
                    <w:rPr>
                      <w:color w:val="auto"/>
                      <w:kern w:val="0"/>
                    </w:rPr>
                  </w:pPr>
                  <w:r>
                    <w:rPr>
                      <w:rFonts w:hint="eastAsia"/>
                      <w:color w:val="auto"/>
                      <w:kern w:val="0"/>
                    </w:rPr>
                    <w:t>作业区内禁止动火作业。</w:t>
                  </w:r>
                </w:p>
              </w:tc>
            </w:tr>
            <w:tr w14:paraId="7D34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2" w:type="dxa"/>
                  <w:vAlign w:val="center"/>
                </w:tcPr>
                <w:p w14:paraId="5A40B8F3">
                  <w:pPr>
                    <w:jc w:val="center"/>
                    <w:rPr>
                      <w:color w:val="auto"/>
                      <w:kern w:val="0"/>
                    </w:rPr>
                  </w:pPr>
                  <w:r>
                    <w:rPr>
                      <w:rFonts w:hint="eastAsia"/>
                      <w:color w:val="auto"/>
                      <w:kern w:val="0"/>
                    </w:rPr>
                    <w:t>天然气泄漏、火灾爆炸事故</w:t>
                  </w:r>
                </w:p>
              </w:tc>
              <w:tc>
                <w:tcPr>
                  <w:tcW w:w="11171" w:type="dxa"/>
                  <w:vAlign w:val="center"/>
                </w:tcPr>
                <w:p w14:paraId="75E1E157">
                  <w:pPr>
                    <w:numPr>
                      <w:ilvl w:val="0"/>
                      <w:numId w:val="10"/>
                    </w:numPr>
                    <w:jc w:val="left"/>
                    <w:rPr>
                      <w:color w:val="auto"/>
                      <w:kern w:val="0"/>
                    </w:rPr>
                  </w:pPr>
                  <w:r>
                    <w:rPr>
                      <w:rFonts w:hint="eastAsia"/>
                      <w:color w:val="auto"/>
                      <w:kern w:val="0"/>
                    </w:rPr>
                    <w:t>天然气管道设置切断阀；</w:t>
                  </w:r>
                </w:p>
                <w:p w14:paraId="42300B63">
                  <w:pPr>
                    <w:numPr>
                      <w:ilvl w:val="0"/>
                      <w:numId w:val="10"/>
                    </w:numPr>
                    <w:jc w:val="left"/>
                    <w:rPr>
                      <w:color w:val="auto"/>
                      <w:kern w:val="0"/>
                    </w:rPr>
                  </w:pPr>
                  <w:r>
                    <w:rPr>
                      <w:rFonts w:hint="eastAsia"/>
                      <w:color w:val="auto"/>
                      <w:kern w:val="0"/>
                    </w:rPr>
                    <w:t>设置可燃气体报警器；</w:t>
                  </w:r>
                </w:p>
                <w:p w14:paraId="22CE0A87">
                  <w:pPr>
                    <w:numPr>
                      <w:ilvl w:val="0"/>
                      <w:numId w:val="10"/>
                    </w:numPr>
                    <w:jc w:val="left"/>
                    <w:rPr>
                      <w:color w:val="auto"/>
                      <w:kern w:val="0"/>
                    </w:rPr>
                  </w:pPr>
                  <w:r>
                    <w:rPr>
                      <w:color w:val="auto"/>
                      <w:lang w:val="zh-CN"/>
                    </w:rPr>
                    <w:t>管道按照《工业金属管道设计规范》（GB50316-2000）（2008版）设计</w:t>
                  </w:r>
                  <w:r>
                    <w:rPr>
                      <w:rFonts w:hint="eastAsia"/>
                      <w:color w:val="auto"/>
                      <w:lang w:val="zh-CN"/>
                    </w:rPr>
                    <w:t>。</w:t>
                  </w:r>
                </w:p>
              </w:tc>
            </w:tr>
            <w:tr w14:paraId="2588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2" w:type="dxa"/>
                  <w:vAlign w:val="center"/>
                </w:tcPr>
                <w:p w14:paraId="0D63FA69">
                  <w:pPr>
                    <w:jc w:val="center"/>
                    <w:rPr>
                      <w:color w:val="auto"/>
                      <w:kern w:val="0"/>
                    </w:rPr>
                  </w:pPr>
                  <w:r>
                    <w:rPr>
                      <w:rFonts w:hint="eastAsia"/>
                      <w:color w:val="auto"/>
                      <w:kern w:val="0"/>
                    </w:rPr>
                    <w:t>焊接火灾、爆炸事故</w:t>
                  </w:r>
                </w:p>
              </w:tc>
              <w:tc>
                <w:tcPr>
                  <w:tcW w:w="11171" w:type="dxa"/>
                  <w:vAlign w:val="center"/>
                </w:tcPr>
                <w:p w14:paraId="7AB2228D">
                  <w:pPr>
                    <w:jc w:val="left"/>
                    <w:rPr>
                      <w:color w:val="auto"/>
                      <w:kern w:val="0"/>
                    </w:rPr>
                  </w:pPr>
                  <w:r>
                    <w:rPr>
                      <w:rFonts w:hint="eastAsia"/>
                      <w:color w:val="auto"/>
                      <w:kern w:val="0"/>
                    </w:rPr>
                    <w:t>1、</w:t>
                  </w:r>
                  <w:r>
                    <w:rPr>
                      <w:color w:val="auto"/>
                      <w:kern w:val="0"/>
                    </w:rPr>
                    <w:t>设置消防器材；</w:t>
                  </w:r>
                </w:p>
                <w:p w14:paraId="7DA8BEEE">
                  <w:pPr>
                    <w:jc w:val="left"/>
                    <w:rPr>
                      <w:color w:val="auto"/>
                      <w:kern w:val="0"/>
                    </w:rPr>
                  </w:pPr>
                  <w:r>
                    <w:rPr>
                      <w:rFonts w:hint="eastAsia"/>
                      <w:color w:val="auto"/>
                      <w:kern w:val="0"/>
                    </w:rPr>
                    <w:t>2、</w:t>
                  </w:r>
                  <w:r>
                    <w:rPr>
                      <w:color w:val="auto"/>
                      <w:kern w:val="0"/>
                    </w:rPr>
                    <w:t>设置严禁烟火等警告、禁止、指示的信息（安全标志）；</w:t>
                  </w:r>
                </w:p>
                <w:p w14:paraId="47976BC5">
                  <w:pPr>
                    <w:jc w:val="left"/>
                    <w:rPr>
                      <w:color w:val="auto"/>
                      <w:kern w:val="0"/>
                    </w:rPr>
                  </w:pPr>
                  <w:r>
                    <w:rPr>
                      <w:rFonts w:hint="eastAsia"/>
                      <w:color w:val="auto"/>
                      <w:kern w:val="0"/>
                    </w:rPr>
                    <w:t>3、</w:t>
                  </w:r>
                  <w:r>
                    <w:rPr>
                      <w:color w:val="auto"/>
                      <w:kern w:val="0"/>
                    </w:rPr>
                    <w:t>建立一套包括安全管理制度、岗位责任制、事故现场处置方案在内的管理体制，并派专人负责</w:t>
                  </w:r>
                  <w:r>
                    <w:rPr>
                      <w:rFonts w:hint="eastAsia"/>
                      <w:color w:val="auto"/>
                      <w:kern w:val="0"/>
                    </w:rPr>
                    <w:t>；</w:t>
                  </w:r>
                </w:p>
                <w:p w14:paraId="008178CF">
                  <w:pPr>
                    <w:jc w:val="left"/>
                    <w:rPr>
                      <w:color w:val="auto"/>
                      <w:kern w:val="0"/>
                    </w:rPr>
                  </w:pPr>
                  <w:r>
                    <w:rPr>
                      <w:rFonts w:hint="eastAsia"/>
                      <w:color w:val="auto"/>
                      <w:kern w:val="0"/>
                    </w:rPr>
                    <w:t>4、作业区严禁其他动火作业；</w:t>
                  </w:r>
                </w:p>
                <w:p w14:paraId="375797E0">
                  <w:pPr>
                    <w:jc w:val="left"/>
                    <w:rPr>
                      <w:color w:val="auto"/>
                      <w:kern w:val="0"/>
                    </w:rPr>
                  </w:pPr>
                  <w:r>
                    <w:rPr>
                      <w:rFonts w:hint="eastAsia"/>
                      <w:color w:val="auto"/>
                      <w:kern w:val="0"/>
                    </w:rPr>
                    <w:t>5、气瓶与作业点保持10m以上</w:t>
                  </w:r>
                  <w:r>
                    <w:rPr>
                      <w:color w:val="auto"/>
                      <w:kern w:val="0"/>
                    </w:rPr>
                    <w:t>。</w:t>
                  </w:r>
                </w:p>
              </w:tc>
            </w:tr>
            <w:tr w14:paraId="7A5C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2" w:type="dxa"/>
                  <w:vAlign w:val="center"/>
                </w:tcPr>
                <w:p w14:paraId="05AADA88">
                  <w:pPr>
                    <w:jc w:val="center"/>
                    <w:rPr>
                      <w:color w:val="auto"/>
                      <w:kern w:val="0"/>
                    </w:rPr>
                  </w:pPr>
                  <w:r>
                    <w:rPr>
                      <w:rFonts w:hint="eastAsia"/>
                      <w:color w:val="auto"/>
                      <w:kern w:val="0"/>
                    </w:rPr>
                    <w:t>危废仓库火灾爆炸事故</w:t>
                  </w:r>
                </w:p>
              </w:tc>
              <w:tc>
                <w:tcPr>
                  <w:tcW w:w="11171" w:type="dxa"/>
                  <w:vAlign w:val="center"/>
                </w:tcPr>
                <w:p w14:paraId="31D26729">
                  <w:pPr>
                    <w:jc w:val="left"/>
                    <w:rPr>
                      <w:color w:val="auto"/>
                      <w:kern w:val="0"/>
                      <w:lang w:val="zh-CN"/>
                    </w:rPr>
                  </w:pPr>
                  <w:r>
                    <w:rPr>
                      <w:rFonts w:hint="eastAsia"/>
                      <w:color w:val="auto"/>
                      <w:kern w:val="0"/>
                    </w:rPr>
                    <w:t>1、</w:t>
                  </w:r>
                  <w:r>
                    <w:rPr>
                      <w:rFonts w:hint="eastAsia"/>
                      <w:color w:val="auto"/>
                      <w:kern w:val="0"/>
                      <w:lang w:val="zh-CN"/>
                    </w:rPr>
                    <w:t>设置一定数量的灭火器、黄沙等；</w:t>
                  </w:r>
                </w:p>
                <w:p w14:paraId="39CA0988">
                  <w:pPr>
                    <w:jc w:val="left"/>
                    <w:rPr>
                      <w:color w:val="auto"/>
                      <w:kern w:val="0"/>
                      <w:lang w:val="zh-CN"/>
                    </w:rPr>
                  </w:pPr>
                  <w:r>
                    <w:rPr>
                      <w:rFonts w:hint="eastAsia"/>
                      <w:color w:val="auto"/>
                      <w:kern w:val="0"/>
                    </w:rPr>
                    <w:t>2、</w:t>
                  </w:r>
                  <w:r>
                    <w:rPr>
                      <w:color w:val="auto"/>
                      <w:kern w:val="0"/>
                      <w:lang w:val="zh-CN"/>
                    </w:rPr>
                    <w:t>按“防腐、防渗、防流散”等要求设置</w:t>
                  </w:r>
                  <w:r>
                    <w:rPr>
                      <w:rFonts w:hint="eastAsia"/>
                      <w:color w:val="auto"/>
                      <w:kern w:val="0"/>
                      <w:lang w:val="zh-CN"/>
                    </w:rPr>
                    <w:t>地坪；</w:t>
                  </w:r>
                </w:p>
                <w:p w14:paraId="7B20B919">
                  <w:pPr>
                    <w:jc w:val="left"/>
                    <w:rPr>
                      <w:color w:val="auto"/>
                      <w:kern w:val="0"/>
                      <w:lang w:val="zh-CN"/>
                    </w:rPr>
                  </w:pPr>
                  <w:r>
                    <w:rPr>
                      <w:rFonts w:hint="eastAsia"/>
                      <w:color w:val="auto"/>
                      <w:kern w:val="0"/>
                    </w:rPr>
                    <w:t>3、</w:t>
                  </w:r>
                  <w:r>
                    <w:rPr>
                      <w:rFonts w:hint="eastAsia"/>
                      <w:color w:val="auto"/>
                      <w:kern w:val="0"/>
                      <w:lang w:val="zh-CN"/>
                    </w:rPr>
                    <w:t>全区域视频监控；</w:t>
                  </w:r>
                </w:p>
                <w:p w14:paraId="0CDE1A79">
                  <w:pPr>
                    <w:jc w:val="left"/>
                    <w:rPr>
                      <w:color w:val="auto"/>
                      <w:kern w:val="0"/>
                    </w:rPr>
                  </w:pPr>
                  <w:r>
                    <w:rPr>
                      <w:rFonts w:hint="eastAsia"/>
                      <w:color w:val="auto"/>
                      <w:kern w:val="0"/>
                    </w:rPr>
                    <w:t>4、设置静电消除器及可燃气体报警器</w:t>
                  </w:r>
                  <w:r>
                    <w:rPr>
                      <w:rFonts w:hint="eastAsia"/>
                      <w:color w:val="auto"/>
                      <w:kern w:val="0"/>
                      <w:lang w:val="zh-CN"/>
                    </w:rPr>
                    <w:t>。</w:t>
                  </w:r>
                </w:p>
              </w:tc>
            </w:tr>
          </w:tbl>
          <w:p w14:paraId="5F0BAD2F">
            <w:pPr>
              <w:spacing w:line="360" w:lineRule="auto"/>
              <w:jc w:val="center"/>
              <w:rPr>
                <w:b/>
                <w:bCs/>
                <w:color w:val="auto"/>
                <w:sz w:val="24"/>
              </w:rPr>
            </w:pPr>
            <w:r>
              <w:rPr>
                <w:rFonts w:hint="eastAsia"/>
                <w:b/>
                <w:bCs/>
                <w:color w:val="auto"/>
                <w:sz w:val="24"/>
                <w:szCs w:val="24"/>
              </w:rPr>
              <w:t xml:space="preserve">表4-38  </w:t>
            </w:r>
            <w:r>
              <w:rPr>
                <w:rFonts w:hint="eastAsia"/>
                <w:b/>
                <w:bCs/>
                <w:color w:val="auto"/>
                <w:sz w:val="24"/>
              </w:rPr>
              <w:t>涉气代表性事故的风险防范措施</w:t>
            </w:r>
          </w:p>
          <w:tbl>
            <w:tblPr>
              <w:tblStyle w:val="23"/>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14"/>
              <w:gridCol w:w="2722"/>
              <w:gridCol w:w="1957"/>
              <w:gridCol w:w="1815"/>
            </w:tblGrid>
            <w:tr w14:paraId="574F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BF597FD">
                  <w:pPr>
                    <w:jc w:val="center"/>
                    <w:rPr>
                      <w:b/>
                      <w:bCs/>
                      <w:color w:val="auto"/>
                      <w:kern w:val="0"/>
                    </w:rPr>
                  </w:pPr>
                  <w:r>
                    <w:rPr>
                      <w:rFonts w:hint="eastAsia"/>
                      <w:b/>
                      <w:bCs/>
                      <w:color w:val="auto"/>
                      <w:kern w:val="0"/>
                    </w:rPr>
                    <w:t>序号</w:t>
                  </w:r>
                </w:p>
              </w:tc>
              <w:tc>
                <w:tcPr>
                  <w:tcW w:w="1414" w:type="dxa"/>
                  <w:vAlign w:val="center"/>
                </w:tcPr>
                <w:p w14:paraId="0AF35866">
                  <w:pPr>
                    <w:jc w:val="center"/>
                    <w:rPr>
                      <w:b/>
                      <w:bCs/>
                      <w:color w:val="auto"/>
                      <w:kern w:val="0"/>
                    </w:rPr>
                  </w:pPr>
                  <w:r>
                    <w:rPr>
                      <w:rFonts w:hint="eastAsia"/>
                      <w:b/>
                      <w:bCs/>
                      <w:color w:val="auto"/>
                      <w:kern w:val="0"/>
                    </w:rPr>
                    <w:t>风险物质</w:t>
                  </w:r>
                </w:p>
              </w:tc>
              <w:tc>
                <w:tcPr>
                  <w:tcW w:w="2722" w:type="dxa"/>
                  <w:vAlign w:val="center"/>
                </w:tcPr>
                <w:p w14:paraId="0D6DFE92">
                  <w:pPr>
                    <w:jc w:val="center"/>
                    <w:rPr>
                      <w:b/>
                      <w:bCs/>
                      <w:color w:val="auto"/>
                      <w:kern w:val="0"/>
                    </w:rPr>
                  </w:pPr>
                  <w:r>
                    <w:rPr>
                      <w:rFonts w:hint="eastAsia"/>
                      <w:b/>
                      <w:bCs/>
                      <w:color w:val="auto"/>
                      <w:kern w:val="0"/>
                    </w:rPr>
                    <w:t>是否为有毒有害气体</w:t>
                  </w:r>
                </w:p>
              </w:tc>
              <w:tc>
                <w:tcPr>
                  <w:tcW w:w="1957" w:type="dxa"/>
                  <w:vAlign w:val="center"/>
                </w:tcPr>
                <w:p w14:paraId="500006F8">
                  <w:pPr>
                    <w:jc w:val="center"/>
                    <w:rPr>
                      <w:b/>
                      <w:bCs/>
                      <w:color w:val="auto"/>
                      <w:kern w:val="0"/>
                    </w:rPr>
                  </w:pPr>
                  <w:r>
                    <w:rPr>
                      <w:rFonts w:hint="eastAsia"/>
                      <w:b/>
                      <w:bCs/>
                      <w:color w:val="auto"/>
                      <w:kern w:val="0"/>
                    </w:rPr>
                    <w:t>泄露监控预警措施</w:t>
                  </w:r>
                </w:p>
              </w:tc>
              <w:tc>
                <w:tcPr>
                  <w:tcW w:w="1815" w:type="dxa"/>
                  <w:vAlign w:val="center"/>
                </w:tcPr>
                <w:p w14:paraId="375AEDD5">
                  <w:pPr>
                    <w:jc w:val="center"/>
                    <w:rPr>
                      <w:b/>
                      <w:bCs/>
                      <w:color w:val="auto"/>
                      <w:kern w:val="0"/>
                    </w:rPr>
                  </w:pPr>
                  <w:r>
                    <w:rPr>
                      <w:rFonts w:hint="eastAsia"/>
                      <w:b/>
                      <w:bCs/>
                      <w:color w:val="auto"/>
                      <w:kern w:val="0"/>
                    </w:rPr>
                    <w:t>应急监测情况</w:t>
                  </w:r>
                </w:p>
              </w:tc>
            </w:tr>
            <w:tr w14:paraId="39CC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060199C">
                  <w:pPr>
                    <w:jc w:val="center"/>
                    <w:rPr>
                      <w:color w:val="auto"/>
                      <w:kern w:val="0"/>
                    </w:rPr>
                  </w:pPr>
                  <w:r>
                    <w:rPr>
                      <w:rFonts w:hint="eastAsia"/>
                      <w:color w:val="auto"/>
                      <w:kern w:val="0"/>
                    </w:rPr>
                    <w:t>1</w:t>
                  </w:r>
                </w:p>
              </w:tc>
              <w:tc>
                <w:tcPr>
                  <w:tcW w:w="1414" w:type="dxa"/>
                  <w:vAlign w:val="center"/>
                </w:tcPr>
                <w:p w14:paraId="26479E2C">
                  <w:pPr>
                    <w:jc w:val="center"/>
                    <w:rPr>
                      <w:color w:val="auto"/>
                      <w:kern w:val="0"/>
                    </w:rPr>
                  </w:pPr>
                  <w:r>
                    <w:rPr>
                      <w:rFonts w:hint="eastAsia"/>
                      <w:color w:val="auto"/>
                      <w:kern w:val="0"/>
                    </w:rPr>
                    <w:t>天然气</w:t>
                  </w:r>
                </w:p>
              </w:tc>
              <w:tc>
                <w:tcPr>
                  <w:tcW w:w="2722" w:type="dxa"/>
                  <w:vAlign w:val="center"/>
                </w:tcPr>
                <w:p w14:paraId="7F80AF28">
                  <w:pPr>
                    <w:jc w:val="center"/>
                    <w:rPr>
                      <w:color w:val="auto"/>
                      <w:kern w:val="0"/>
                    </w:rPr>
                  </w:pPr>
                  <w:r>
                    <w:rPr>
                      <w:rFonts w:hint="eastAsia"/>
                      <w:color w:val="auto"/>
                      <w:kern w:val="0"/>
                    </w:rPr>
                    <w:t>否</w:t>
                  </w:r>
                </w:p>
              </w:tc>
              <w:tc>
                <w:tcPr>
                  <w:tcW w:w="1957" w:type="dxa"/>
                  <w:vAlign w:val="center"/>
                </w:tcPr>
                <w:p w14:paraId="12C8D483">
                  <w:pPr>
                    <w:jc w:val="center"/>
                    <w:rPr>
                      <w:color w:val="auto"/>
                      <w:kern w:val="0"/>
                    </w:rPr>
                  </w:pPr>
                  <w:r>
                    <w:rPr>
                      <w:rFonts w:hint="eastAsia"/>
                      <w:color w:val="auto"/>
                      <w:kern w:val="0"/>
                    </w:rPr>
                    <w:t>可燃气体报警装置</w:t>
                  </w:r>
                </w:p>
              </w:tc>
              <w:tc>
                <w:tcPr>
                  <w:tcW w:w="1815" w:type="dxa"/>
                  <w:vAlign w:val="center"/>
                </w:tcPr>
                <w:p w14:paraId="66721F89">
                  <w:pPr>
                    <w:jc w:val="center"/>
                    <w:rPr>
                      <w:color w:val="auto"/>
                      <w:kern w:val="0"/>
                    </w:rPr>
                  </w:pPr>
                  <w:r>
                    <w:rPr>
                      <w:rFonts w:hint="eastAsia"/>
                      <w:color w:val="auto"/>
                      <w:kern w:val="0"/>
                    </w:rPr>
                    <w:t>委托检测</w:t>
                  </w:r>
                </w:p>
              </w:tc>
            </w:tr>
          </w:tbl>
          <w:p w14:paraId="0FF97D9B">
            <w:pPr>
              <w:spacing w:line="360" w:lineRule="auto"/>
              <w:ind w:firstLine="480" w:firstLineChars="200"/>
              <w:rPr>
                <w:color w:val="auto"/>
                <w:sz w:val="24"/>
                <w:szCs w:val="24"/>
              </w:rPr>
            </w:pPr>
            <w:r>
              <w:rPr>
                <w:color w:val="auto"/>
                <w:sz w:val="24"/>
              </w:rPr>
              <w:t>③</w:t>
            </w:r>
            <w:r>
              <w:rPr>
                <w:color w:val="auto"/>
                <w:sz w:val="24"/>
                <w:szCs w:val="24"/>
              </w:rPr>
              <w:t>火灾爆炸事故次生大气污染源强</w:t>
            </w:r>
          </w:p>
          <w:p w14:paraId="67D2C33C">
            <w:pPr>
              <w:spacing w:line="360" w:lineRule="auto"/>
              <w:ind w:firstLine="480" w:firstLineChars="200"/>
              <w:rPr>
                <w:color w:val="auto"/>
                <w:sz w:val="24"/>
                <w:szCs w:val="24"/>
              </w:rPr>
            </w:pPr>
            <w:r>
              <w:rPr>
                <w:color w:val="auto"/>
                <w:sz w:val="24"/>
                <w:szCs w:val="24"/>
              </w:rPr>
              <w:t>按照危险物质的贮存量及发生危险的可能性，本次火灾爆炸事故以</w:t>
            </w:r>
            <w:r>
              <w:rPr>
                <w:rFonts w:hint="eastAsia"/>
                <w:color w:val="auto"/>
                <w:sz w:val="24"/>
                <w:szCs w:val="24"/>
              </w:rPr>
              <w:t>天然气</w:t>
            </w:r>
            <w:r>
              <w:rPr>
                <w:color w:val="auto"/>
                <w:sz w:val="24"/>
                <w:szCs w:val="24"/>
              </w:rPr>
              <w:t>火灾爆炸事故为预测对象，由于火灾爆炸时</w:t>
            </w:r>
            <w:r>
              <w:rPr>
                <w:rFonts w:hint="eastAsia"/>
                <w:color w:val="auto"/>
                <w:sz w:val="24"/>
                <w:szCs w:val="24"/>
              </w:rPr>
              <w:t>白油</w:t>
            </w:r>
            <w:r>
              <w:rPr>
                <w:color w:val="auto"/>
                <w:sz w:val="24"/>
                <w:szCs w:val="24"/>
              </w:rPr>
              <w:t>的燃烧一般为不充分燃烧，会产生CO、刺激性和毒性烟气等次生污染物。</w:t>
            </w:r>
          </w:p>
          <w:p w14:paraId="40E36C65">
            <w:pPr>
              <w:spacing w:line="360" w:lineRule="auto"/>
              <w:ind w:firstLine="480" w:firstLineChars="200"/>
              <w:rPr>
                <w:color w:val="auto"/>
                <w:sz w:val="24"/>
                <w:szCs w:val="24"/>
              </w:rPr>
            </w:pPr>
            <w:r>
              <w:rPr>
                <w:color w:val="auto"/>
                <w:sz w:val="24"/>
                <w:szCs w:val="24"/>
              </w:rPr>
              <w:t>参照《建设项目环境风险评价技术导则》（HJ169-2018）推荐的公式计算：</w:t>
            </w:r>
          </w:p>
          <w:p w14:paraId="655005D8">
            <w:pPr>
              <w:spacing w:line="360" w:lineRule="auto"/>
              <w:ind w:firstLine="480" w:firstLineChars="200"/>
              <w:rPr>
                <w:color w:val="auto"/>
                <w:sz w:val="24"/>
                <w:szCs w:val="24"/>
              </w:rPr>
            </w:pPr>
            <w:r>
              <w:rPr>
                <w:color w:val="auto"/>
                <w:sz w:val="24"/>
                <w:szCs w:val="24"/>
              </w:rPr>
              <w:t>燃料燃烧产生的CO量可按下式进行估算：</w:t>
            </w:r>
          </w:p>
          <w:p w14:paraId="3537D8EB">
            <w:pPr>
              <w:spacing w:line="360" w:lineRule="auto"/>
              <w:ind w:firstLine="480" w:firstLineChars="200"/>
              <w:rPr>
                <w:color w:val="auto"/>
                <w:sz w:val="24"/>
                <w:szCs w:val="24"/>
              </w:rPr>
            </w:pPr>
            <w:r>
              <w:rPr>
                <w:color w:val="auto"/>
                <w:sz w:val="24"/>
                <w:szCs w:val="24"/>
              </w:rPr>
              <w:object>
                <v:shape id="_x0000_i1030" o:spt="75" type="#_x0000_t75" style="height:18pt;width:132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p>
          <w:p w14:paraId="44295FF1">
            <w:pPr>
              <w:spacing w:line="360" w:lineRule="auto"/>
              <w:ind w:firstLine="480" w:firstLineChars="200"/>
              <w:rPr>
                <w:color w:val="auto"/>
                <w:sz w:val="24"/>
                <w:szCs w:val="24"/>
              </w:rPr>
            </w:pPr>
            <w:r>
              <w:rPr>
                <w:color w:val="auto"/>
                <w:sz w:val="24"/>
                <w:szCs w:val="24"/>
              </w:rPr>
              <w:t>式中：Gco—燃烧产生的CO量，kg/h；</w:t>
            </w:r>
          </w:p>
          <w:p w14:paraId="61DD51FB">
            <w:pPr>
              <w:spacing w:line="360" w:lineRule="auto"/>
              <w:ind w:firstLine="480" w:firstLineChars="200"/>
              <w:rPr>
                <w:color w:val="auto"/>
                <w:sz w:val="24"/>
                <w:szCs w:val="24"/>
              </w:rPr>
            </w:pPr>
            <w:r>
              <w:rPr>
                <w:color w:val="auto"/>
                <w:sz w:val="24"/>
                <w:szCs w:val="24"/>
              </w:rPr>
              <w:t>q—不完全燃烧率（%），本评价假定q值为3%；</w:t>
            </w:r>
          </w:p>
          <w:p w14:paraId="7D2EB8AA">
            <w:pPr>
              <w:spacing w:line="360" w:lineRule="auto"/>
              <w:ind w:firstLine="480" w:firstLineChars="200"/>
              <w:rPr>
                <w:color w:val="auto"/>
                <w:sz w:val="24"/>
                <w:szCs w:val="24"/>
              </w:rPr>
            </w:pPr>
            <w:r>
              <w:rPr>
                <w:color w:val="auto"/>
                <w:sz w:val="24"/>
                <w:szCs w:val="24"/>
              </w:rPr>
              <w:t>C—碳含量的百分比按</w:t>
            </w:r>
            <w:r>
              <w:rPr>
                <w:rFonts w:hint="eastAsia"/>
                <w:color w:val="auto"/>
                <w:sz w:val="24"/>
                <w:szCs w:val="24"/>
              </w:rPr>
              <w:t>85</w:t>
            </w:r>
            <w:r>
              <w:rPr>
                <w:color w:val="auto"/>
                <w:sz w:val="24"/>
                <w:szCs w:val="24"/>
              </w:rPr>
              <w:t>%计；</w:t>
            </w:r>
          </w:p>
          <w:p w14:paraId="60EF23B7">
            <w:pPr>
              <w:spacing w:line="360" w:lineRule="auto"/>
              <w:ind w:firstLine="480" w:firstLineChars="200"/>
              <w:rPr>
                <w:color w:val="auto"/>
                <w:sz w:val="24"/>
                <w:szCs w:val="24"/>
              </w:rPr>
            </w:pPr>
            <w:r>
              <w:rPr>
                <w:color w:val="auto"/>
                <w:sz w:val="24"/>
                <w:szCs w:val="24"/>
              </w:rPr>
              <w:t>Q—参与燃烧的</w:t>
            </w:r>
            <w:r>
              <w:rPr>
                <w:rFonts w:hint="eastAsia"/>
                <w:color w:val="auto"/>
                <w:sz w:val="24"/>
                <w:szCs w:val="24"/>
              </w:rPr>
              <w:t>白油</w:t>
            </w:r>
            <w:r>
              <w:rPr>
                <w:color w:val="auto"/>
                <w:sz w:val="24"/>
                <w:szCs w:val="24"/>
              </w:rPr>
              <w:t>量，</w:t>
            </w:r>
            <w:r>
              <w:rPr>
                <w:rFonts w:hint="eastAsia"/>
                <w:color w:val="auto"/>
                <w:sz w:val="24"/>
                <w:szCs w:val="24"/>
              </w:rPr>
              <w:t>200</w:t>
            </w:r>
            <w:r>
              <w:rPr>
                <w:color w:val="auto"/>
                <w:sz w:val="24"/>
                <w:szCs w:val="24"/>
              </w:rPr>
              <w:t>kg/h。</w:t>
            </w:r>
          </w:p>
          <w:p w14:paraId="6B4DDF7C">
            <w:pPr>
              <w:spacing w:line="360" w:lineRule="auto"/>
              <w:ind w:firstLine="480" w:firstLineChars="200"/>
              <w:rPr>
                <w:b/>
                <w:bCs/>
                <w:color w:val="auto"/>
                <w:sz w:val="24"/>
              </w:rPr>
            </w:pPr>
            <w:r>
              <w:rPr>
                <w:color w:val="auto"/>
                <w:sz w:val="24"/>
                <w:szCs w:val="24"/>
              </w:rPr>
              <w:t>假设火灾爆炸事故时，整个火灾爆炸过程中燃烧持续时间约2h，则</w:t>
            </w:r>
            <w:r>
              <w:rPr>
                <w:rFonts w:hint="eastAsia"/>
                <w:color w:val="auto"/>
                <w:sz w:val="24"/>
                <w:szCs w:val="24"/>
              </w:rPr>
              <w:t>天然气</w:t>
            </w:r>
            <w:r>
              <w:rPr>
                <w:color w:val="auto"/>
                <w:sz w:val="24"/>
                <w:szCs w:val="24"/>
              </w:rPr>
              <w:t>火灾爆炸事故时CO的排放源强为</w:t>
            </w:r>
            <w:r>
              <w:rPr>
                <w:rFonts w:hint="eastAsia"/>
                <w:color w:val="auto"/>
                <w:sz w:val="24"/>
                <w:szCs w:val="24"/>
              </w:rPr>
              <w:t>11.9</w:t>
            </w:r>
            <w:r>
              <w:rPr>
                <w:color w:val="auto"/>
                <w:sz w:val="24"/>
                <w:szCs w:val="24"/>
              </w:rPr>
              <w:t>kg/h，则CO产生量为0.</w:t>
            </w:r>
            <w:r>
              <w:rPr>
                <w:rFonts w:hint="eastAsia"/>
                <w:color w:val="auto"/>
                <w:sz w:val="24"/>
                <w:szCs w:val="24"/>
              </w:rPr>
              <w:t>024</w:t>
            </w:r>
            <w:r>
              <w:rPr>
                <w:color w:val="auto"/>
                <w:sz w:val="24"/>
                <w:szCs w:val="24"/>
              </w:rPr>
              <w:t>t。</w:t>
            </w:r>
          </w:p>
          <w:p w14:paraId="7C8F3757">
            <w:pPr>
              <w:spacing w:line="360" w:lineRule="auto"/>
              <w:ind w:firstLine="482" w:firstLineChars="200"/>
              <w:rPr>
                <w:color w:val="auto"/>
                <w:sz w:val="24"/>
              </w:rPr>
            </w:pPr>
            <w:r>
              <w:rPr>
                <w:rFonts w:hint="eastAsia"/>
                <w:b/>
                <w:bCs/>
                <w:color w:val="auto"/>
                <w:sz w:val="24"/>
              </w:rPr>
              <w:t>应急监测方案：</w:t>
            </w:r>
          </w:p>
          <w:p w14:paraId="00AD363A">
            <w:pPr>
              <w:spacing w:line="360" w:lineRule="auto"/>
              <w:ind w:firstLine="480" w:firstLineChars="200"/>
              <w:rPr>
                <w:color w:val="auto"/>
                <w:sz w:val="24"/>
              </w:rPr>
            </w:pPr>
            <w:r>
              <w:rPr>
                <w:rFonts w:hint="eastAsia"/>
                <w:color w:val="auto"/>
                <w:sz w:val="24"/>
              </w:rPr>
              <w:t>监测布点：在泄漏</w:t>
            </w:r>
            <w:r>
              <w:rPr>
                <w:color w:val="auto"/>
                <w:sz w:val="24"/>
              </w:rPr>
              <w:t>/</w:t>
            </w:r>
            <w:r>
              <w:rPr>
                <w:rFonts w:hint="eastAsia"/>
                <w:color w:val="auto"/>
                <w:sz w:val="24"/>
              </w:rPr>
              <w:t>火灾当天风向的下风向，布设</w:t>
            </w:r>
            <w:r>
              <w:rPr>
                <w:color w:val="auto"/>
                <w:sz w:val="24"/>
              </w:rPr>
              <w:t>2</w:t>
            </w:r>
            <w:r>
              <w:rPr>
                <w:rFonts w:hint="eastAsia"/>
                <w:color w:val="auto"/>
                <w:sz w:val="24"/>
              </w:rPr>
              <w:t>～</w:t>
            </w:r>
            <w:r>
              <w:rPr>
                <w:color w:val="auto"/>
                <w:sz w:val="24"/>
              </w:rPr>
              <w:t>5</w:t>
            </w:r>
            <w:r>
              <w:rPr>
                <w:rFonts w:hint="eastAsia"/>
                <w:color w:val="auto"/>
                <w:sz w:val="24"/>
              </w:rPr>
              <w:t>个监测点，</w:t>
            </w:r>
            <w:r>
              <w:rPr>
                <w:color w:val="auto"/>
                <w:sz w:val="24"/>
              </w:rPr>
              <w:t>1</w:t>
            </w:r>
            <w:r>
              <w:rPr>
                <w:rFonts w:hint="eastAsia"/>
                <w:color w:val="auto"/>
                <w:sz w:val="24"/>
              </w:rPr>
              <w:t>～</w:t>
            </w:r>
            <w:r>
              <w:rPr>
                <w:color w:val="auto"/>
                <w:sz w:val="24"/>
              </w:rPr>
              <w:t>2</w:t>
            </w:r>
            <w:r>
              <w:rPr>
                <w:rFonts w:hint="eastAsia"/>
                <w:color w:val="auto"/>
                <w:sz w:val="24"/>
              </w:rPr>
              <w:t>个位于厂界外</w:t>
            </w:r>
            <w:r>
              <w:rPr>
                <w:color w:val="auto"/>
                <w:sz w:val="24"/>
              </w:rPr>
              <w:t>10m</w:t>
            </w:r>
            <w:r>
              <w:rPr>
                <w:rFonts w:hint="eastAsia"/>
                <w:color w:val="auto"/>
                <w:sz w:val="24"/>
              </w:rPr>
              <w:t>处，若当天风速较大（</w:t>
            </w:r>
            <w:r>
              <w:rPr>
                <w:color w:val="auto"/>
                <w:sz w:val="24"/>
              </w:rPr>
              <w:t>≥1.5m/s</w:t>
            </w:r>
            <w:r>
              <w:rPr>
                <w:rFonts w:hint="eastAsia"/>
                <w:color w:val="auto"/>
                <w:sz w:val="24"/>
              </w:rPr>
              <w:t>），则考虑在下风向</w:t>
            </w:r>
            <w:r>
              <w:rPr>
                <w:color w:val="auto"/>
                <w:sz w:val="24"/>
              </w:rPr>
              <w:t>200m</w:t>
            </w:r>
            <w:r>
              <w:rPr>
                <w:rFonts w:hint="eastAsia"/>
                <w:color w:val="auto"/>
                <w:sz w:val="24"/>
              </w:rPr>
              <w:t>、</w:t>
            </w:r>
            <w:r>
              <w:rPr>
                <w:color w:val="auto"/>
                <w:sz w:val="24"/>
              </w:rPr>
              <w:t>500m</w:t>
            </w:r>
            <w:r>
              <w:rPr>
                <w:rFonts w:hint="eastAsia"/>
                <w:color w:val="auto"/>
                <w:sz w:val="24"/>
              </w:rPr>
              <w:t>、</w:t>
            </w:r>
            <w:r>
              <w:rPr>
                <w:color w:val="auto"/>
                <w:sz w:val="24"/>
              </w:rPr>
              <w:t>1000m</w:t>
            </w:r>
            <w:r>
              <w:rPr>
                <w:rFonts w:hint="eastAsia"/>
                <w:color w:val="auto"/>
                <w:sz w:val="24"/>
              </w:rPr>
              <w:t>处各设</w:t>
            </w:r>
            <w:r>
              <w:rPr>
                <w:color w:val="auto"/>
                <w:sz w:val="24"/>
              </w:rPr>
              <w:t>1</w:t>
            </w:r>
            <w:r>
              <w:rPr>
                <w:rFonts w:hint="eastAsia"/>
                <w:color w:val="auto"/>
                <w:sz w:val="24"/>
              </w:rPr>
              <w:t>个监测点；若当天风速较小（＜</w:t>
            </w:r>
            <w:r>
              <w:rPr>
                <w:color w:val="auto"/>
                <w:sz w:val="24"/>
              </w:rPr>
              <w:t>1.5m/s</w:t>
            </w:r>
            <w:r>
              <w:rPr>
                <w:rFonts w:hint="eastAsia"/>
                <w:color w:val="auto"/>
                <w:sz w:val="24"/>
              </w:rPr>
              <w:t>），则考虑在厂内及下风向</w:t>
            </w:r>
            <w:r>
              <w:rPr>
                <w:color w:val="auto"/>
                <w:sz w:val="24"/>
              </w:rPr>
              <w:t>150m</w:t>
            </w:r>
            <w:r>
              <w:rPr>
                <w:rFonts w:hint="eastAsia"/>
                <w:color w:val="auto"/>
                <w:sz w:val="24"/>
              </w:rPr>
              <w:t>、</w:t>
            </w:r>
            <w:r>
              <w:rPr>
                <w:color w:val="auto"/>
                <w:sz w:val="24"/>
              </w:rPr>
              <w:t>500m</w:t>
            </w:r>
            <w:r>
              <w:rPr>
                <w:rFonts w:hint="eastAsia"/>
                <w:color w:val="auto"/>
                <w:sz w:val="24"/>
              </w:rPr>
              <w:t>处各设</w:t>
            </w:r>
            <w:r>
              <w:rPr>
                <w:color w:val="auto"/>
                <w:sz w:val="24"/>
              </w:rPr>
              <w:t>1</w:t>
            </w:r>
            <w:r>
              <w:rPr>
                <w:rFonts w:hint="eastAsia"/>
                <w:color w:val="auto"/>
                <w:sz w:val="24"/>
              </w:rPr>
              <w:t>个监测点。周边居民区等处可视具体风向确定点位。</w:t>
            </w:r>
          </w:p>
          <w:p w14:paraId="7E96445A">
            <w:pPr>
              <w:spacing w:line="360" w:lineRule="auto"/>
              <w:ind w:firstLine="480" w:firstLineChars="200"/>
              <w:rPr>
                <w:color w:val="auto"/>
                <w:sz w:val="24"/>
              </w:rPr>
            </w:pPr>
            <w:r>
              <w:rPr>
                <w:rFonts w:hint="eastAsia"/>
                <w:color w:val="auto"/>
                <w:sz w:val="24"/>
              </w:rPr>
              <w:t>监测因子：发生火灾爆炸事故时监测因子为次生污染物，如</w:t>
            </w:r>
            <w:r>
              <w:rPr>
                <w:color w:val="auto"/>
                <w:sz w:val="24"/>
              </w:rPr>
              <w:t>CO</w:t>
            </w:r>
            <w:r>
              <w:rPr>
                <w:rFonts w:hint="eastAsia"/>
                <w:color w:val="auto"/>
                <w:sz w:val="24"/>
              </w:rPr>
              <w:t>、烟尘等。</w:t>
            </w:r>
          </w:p>
          <w:p w14:paraId="2DC95EAD">
            <w:pPr>
              <w:spacing w:line="360" w:lineRule="auto"/>
              <w:ind w:firstLine="480" w:firstLineChars="200"/>
              <w:rPr>
                <w:b/>
                <w:bCs/>
                <w:color w:val="auto"/>
                <w:sz w:val="24"/>
                <w:szCs w:val="24"/>
              </w:rPr>
            </w:pPr>
            <w:r>
              <w:rPr>
                <w:rFonts w:hint="eastAsia"/>
                <w:color w:val="auto"/>
                <w:sz w:val="24"/>
              </w:rPr>
              <w:t>监测频率：应急监测的频次根据事故发生的时间而有所变化，根据污染物的状况，视污染物浓度递减。事故发生地，在事发初期应当增加频次，不少于</w:t>
            </w:r>
            <w:r>
              <w:rPr>
                <w:color w:val="auto"/>
                <w:sz w:val="24"/>
              </w:rPr>
              <w:t>2</w:t>
            </w:r>
            <w:r>
              <w:rPr>
                <w:rFonts w:hint="eastAsia"/>
                <w:color w:val="auto"/>
                <w:sz w:val="24"/>
              </w:rPr>
              <w:t>小时采样一次；待摸清污染规律后可适当减少，不少于</w:t>
            </w:r>
            <w:r>
              <w:rPr>
                <w:color w:val="auto"/>
                <w:sz w:val="24"/>
              </w:rPr>
              <w:t>6</w:t>
            </w:r>
            <w:r>
              <w:rPr>
                <w:rFonts w:hint="eastAsia"/>
                <w:color w:val="auto"/>
                <w:sz w:val="24"/>
              </w:rPr>
              <w:t>小时一次；应急终止后可</w:t>
            </w:r>
            <w:r>
              <w:rPr>
                <w:color w:val="auto"/>
                <w:sz w:val="24"/>
              </w:rPr>
              <w:t>24</w:t>
            </w:r>
            <w:r>
              <w:rPr>
                <w:rFonts w:hint="eastAsia"/>
                <w:color w:val="auto"/>
                <w:sz w:val="24"/>
              </w:rPr>
              <w:t>小时一次进行取样。至影响完全消除后方可停止取样。</w:t>
            </w:r>
          </w:p>
          <w:p w14:paraId="1592CB31">
            <w:pPr>
              <w:spacing w:line="360" w:lineRule="auto"/>
              <w:jc w:val="center"/>
              <w:rPr>
                <w:color w:val="auto"/>
                <w:sz w:val="24"/>
              </w:rPr>
            </w:pPr>
            <w:r>
              <w:rPr>
                <w:rFonts w:hint="eastAsia"/>
                <w:b/>
                <w:bCs/>
                <w:color w:val="auto"/>
                <w:sz w:val="24"/>
                <w:szCs w:val="24"/>
              </w:rPr>
              <w:t xml:space="preserve">表4-39  </w:t>
            </w:r>
            <w:r>
              <w:rPr>
                <w:rFonts w:hint="eastAsia"/>
                <w:b/>
                <w:bCs/>
                <w:color w:val="auto"/>
                <w:sz w:val="24"/>
              </w:rPr>
              <w:t>大气环境监测频次表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3558"/>
              <w:gridCol w:w="1907"/>
              <w:gridCol w:w="1738"/>
            </w:tblGrid>
            <w:tr w14:paraId="65F7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56035F43">
                  <w:pPr>
                    <w:jc w:val="center"/>
                    <w:rPr>
                      <w:b/>
                      <w:bCs/>
                      <w:color w:val="auto"/>
                      <w:kern w:val="0"/>
                    </w:rPr>
                  </w:pPr>
                  <w:r>
                    <w:rPr>
                      <w:rFonts w:hint="eastAsia"/>
                      <w:b/>
                      <w:bCs/>
                      <w:color w:val="auto"/>
                      <w:kern w:val="0"/>
                    </w:rPr>
                    <w:t>监测点位</w:t>
                  </w:r>
                </w:p>
              </w:tc>
              <w:tc>
                <w:tcPr>
                  <w:tcW w:w="3558" w:type="dxa"/>
                  <w:vAlign w:val="center"/>
                </w:tcPr>
                <w:p w14:paraId="5F7AF23D">
                  <w:pPr>
                    <w:jc w:val="center"/>
                    <w:rPr>
                      <w:b/>
                      <w:bCs/>
                      <w:color w:val="auto"/>
                      <w:kern w:val="0"/>
                    </w:rPr>
                  </w:pPr>
                  <w:r>
                    <w:rPr>
                      <w:rFonts w:hint="eastAsia"/>
                      <w:b/>
                      <w:bCs/>
                      <w:color w:val="auto"/>
                      <w:kern w:val="0"/>
                    </w:rPr>
                    <w:t>检测频次</w:t>
                  </w:r>
                </w:p>
              </w:tc>
              <w:tc>
                <w:tcPr>
                  <w:tcW w:w="1907" w:type="dxa"/>
                  <w:vAlign w:val="center"/>
                </w:tcPr>
                <w:p w14:paraId="51C6F10C">
                  <w:pPr>
                    <w:jc w:val="center"/>
                    <w:rPr>
                      <w:b/>
                      <w:bCs/>
                      <w:color w:val="auto"/>
                      <w:kern w:val="0"/>
                    </w:rPr>
                  </w:pPr>
                  <w:r>
                    <w:rPr>
                      <w:rFonts w:hint="eastAsia"/>
                      <w:b/>
                      <w:bCs/>
                      <w:color w:val="auto"/>
                      <w:kern w:val="0"/>
                    </w:rPr>
                    <w:t>追踪检测</w:t>
                  </w:r>
                </w:p>
              </w:tc>
              <w:tc>
                <w:tcPr>
                  <w:tcW w:w="1738" w:type="dxa"/>
                  <w:vAlign w:val="center"/>
                </w:tcPr>
                <w:p w14:paraId="37A1D91A">
                  <w:pPr>
                    <w:spacing w:line="360" w:lineRule="auto"/>
                    <w:jc w:val="center"/>
                    <w:rPr>
                      <w:color w:val="auto"/>
                      <w:sz w:val="24"/>
                    </w:rPr>
                  </w:pPr>
                  <w:r>
                    <w:rPr>
                      <w:rFonts w:hint="eastAsia"/>
                      <w:b/>
                      <w:bCs/>
                      <w:color w:val="auto"/>
                      <w:kern w:val="0"/>
                    </w:rPr>
                    <w:t>监测因子</w:t>
                  </w:r>
                </w:p>
              </w:tc>
            </w:tr>
            <w:tr w14:paraId="7477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4EFCF866">
                  <w:pPr>
                    <w:jc w:val="center"/>
                    <w:rPr>
                      <w:color w:val="auto"/>
                      <w:kern w:val="0"/>
                    </w:rPr>
                  </w:pPr>
                  <w:r>
                    <w:rPr>
                      <w:rFonts w:hint="eastAsia"/>
                      <w:color w:val="auto"/>
                      <w:kern w:val="0"/>
                    </w:rPr>
                    <w:t>事故发生地污染物浓度的最大处</w:t>
                  </w:r>
                </w:p>
              </w:tc>
              <w:tc>
                <w:tcPr>
                  <w:tcW w:w="3558" w:type="dxa"/>
                  <w:vAlign w:val="center"/>
                </w:tcPr>
                <w:p w14:paraId="4578A6B2">
                  <w:pPr>
                    <w:jc w:val="center"/>
                    <w:rPr>
                      <w:color w:val="auto"/>
                      <w:kern w:val="0"/>
                    </w:rPr>
                  </w:pPr>
                  <w:r>
                    <w:rPr>
                      <w:rFonts w:hint="eastAsia"/>
                      <w:color w:val="auto"/>
                      <w:kern w:val="0"/>
                    </w:rPr>
                    <w:t>初始加密监测，视污染物浓度递减，在事发初期应当增加频次，不少于</w:t>
                  </w:r>
                  <w:r>
                    <w:rPr>
                      <w:color w:val="auto"/>
                      <w:kern w:val="0"/>
                    </w:rPr>
                    <w:t>2</w:t>
                  </w:r>
                  <w:r>
                    <w:rPr>
                      <w:rFonts w:hint="eastAsia"/>
                      <w:color w:val="auto"/>
                      <w:kern w:val="0"/>
                    </w:rPr>
                    <w:t>小时采样一次；待摸清污染规律后可适当减少，不少于</w:t>
                  </w:r>
                  <w:r>
                    <w:rPr>
                      <w:color w:val="auto"/>
                      <w:kern w:val="0"/>
                    </w:rPr>
                    <w:t>6</w:t>
                  </w:r>
                  <w:r>
                    <w:rPr>
                      <w:rFonts w:hint="eastAsia"/>
                      <w:color w:val="auto"/>
                      <w:kern w:val="0"/>
                    </w:rPr>
                    <w:t>小时一次；应急终止后可</w:t>
                  </w:r>
                  <w:r>
                    <w:rPr>
                      <w:color w:val="auto"/>
                      <w:kern w:val="0"/>
                    </w:rPr>
                    <w:t>24</w:t>
                  </w:r>
                  <w:r>
                    <w:rPr>
                      <w:rFonts w:hint="eastAsia"/>
                      <w:color w:val="auto"/>
                      <w:kern w:val="0"/>
                    </w:rPr>
                    <w:t>小时一次进行取样。</w:t>
                  </w:r>
                </w:p>
              </w:tc>
              <w:tc>
                <w:tcPr>
                  <w:tcW w:w="1907" w:type="dxa"/>
                  <w:vAlign w:val="center"/>
                </w:tcPr>
                <w:p w14:paraId="094AEBA2">
                  <w:pPr>
                    <w:jc w:val="center"/>
                    <w:rPr>
                      <w:color w:val="auto"/>
                      <w:kern w:val="0"/>
                    </w:rPr>
                  </w:pPr>
                  <w:r>
                    <w:rPr>
                      <w:rFonts w:hint="eastAsia"/>
                      <w:color w:val="auto"/>
                      <w:kern w:val="0"/>
                    </w:rPr>
                    <w:t>连续监测</w:t>
                  </w:r>
                  <w:r>
                    <w:rPr>
                      <w:color w:val="auto"/>
                      <w:kern w:val="0"/>
                    </w:rPr>
                    <w:t>2</w:t>
                  </w:r>
                  <w:r>
                    <w:rPr>
                      <w:rFonts w:hint="eastAsia"/>
                      <w:color w:val="auto"/>
                      <w:kern w:val="0"/>
                    </w:rPr>
                    <w:t>次浓度低于环境空气质量标准值或已接近可忽略水平为止。</w:t>
                  </w:r>
                </w:p>
              </w:tc>
              <w:tc>
                <w:tcPr>
                  <w:tcW w:w="1738" w:type="dxa"/>
                  <w:vMerge w:val="restart"/>
                  <w:vAlign w:val="center"/>
                </w:tcPr>
                <w:p w14:paraId="33C626C2">
                  <w:pPr>
                    <w:rPr>
                      <w:color w:val="auto"/>
                      <w:sz w:val="24"/>
                    </w:rPr>
                  </w:pPr>
                  <w:r>
                    <w:rPr>
                      <w:rFonts w:hint="eastAsia"/>
                      <w:color w:val="auto"/>
                      <w:kern w:val="0"/>
                    </w:rPr>
                    <w:t>发生火灾爆炸事故时监测因子为次生污染物，如</w:t>
                  </w:r>
                  <w:r>
                    <w:rPr>
                      <w:color w:val="auto"/>
                      <w:kern w:val="0"/>
                    </w:rPr>
                    <w:t>CO</w:t>
                  </w:r>
                  <w:r>
                    <w:rPr>
                      <w:rFonts w:hint="eastAsia"/>
                      <w:color w:val="auto"/>
                      <w:kern w:val="0"/>
                    </w:rPr>
                    <w:t>、烟尘</w:t>
                  </w:r>
                  <w:r>
                    <w:rPr>
                      <w:rFonts w:hint="eastAsia"/>
                      <w:color w:val="auto"/>
                    </w:rPr>
                    <w:t>二氧化硫、氮氧化物</w:t>
                  </w:r>
                  <w:r>
                    <w:rPr>
                      <w:rFonts w:hint="eastAsia"/>
                      <w:color w:val="auto"/>
                      <w:kern w:val="0"/>
                    </w:rPr>
                    <w:t>等。</w:t>
                  </w:r>
                </w:p>
              </w:tc>
            </w:tr>
            <w:tr w14:paraId="088C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58F15D15">
                  <w:pPr>
                    <w:jc w:val="center"/>
                    <w:rPr>
                      <w:color w:val="auto"/>
                      <w:kern w:val="0"/>
                    </w:rPr>
                  </w:pPr>
                  <w:r>
                    <w:rPr>
                      <w:rFonts w:hint="eastAsia"/>
                      <w:color w:val="auto"/>
                      <w:kern w:val="0"/>
                    </w:rPr>
                    <w:t>事故发生地最近的居民居住区或其他敏感区</w:t>
                  </w:r>
                </w:p>
              </w:tc>
              <w:tc>
                <w:tcPr>
                  <w:tcW w:w="3558" w:type="dxa"/>
                  <w:vAlign w:val="center"/>
                </w:tcPr>
                <w:p w14:paraId="2D0B09E3">
                  <w:pPr>
                    <w:jc w:val="center"/>
                    <w:rPr>
                      <w:color w:val="auto"/>
                      <w:kern w:val="0"/>
                    </w:rPr>
                  </w:pPr>
                  <w:r>
                    <w:rPr>
                      <w:rFonts w:hint="eastAsia"/>
                      <w:color w:val="auto"/>
                      <w:kern w:val="0"/>
                    </w:rPr>
                    <w:t>初始加密监测，视污染物浓度递减，在事发初期应当增加频次，不少于</w:t>
                  </w:r>
                  <w:r>
                    <w:rPr>
                      <w:color w:val="auto"/>
                      <w:kern w:val="0"/>
                    </w:rPr>
                    <w:t>2</w:t>
                  </w:r>
                  <w:r>
                    <w:rPr>
                      <w:rFonts w:hint="eastAsia"/>
                      <w:color w:val="auto"/>
                      <w:kern w:val="0"/>
                    </w:rPr>
                    <w:t>小时采样一次；待摸清污染规律后可适当减少，不少于</w:t>
                  </w:r>
                  <w:r>
                    <w:rPr>
                      <w:color w:val="auto"/>
                      <w:kern w:val="0"/>
                    </w:rPr>
                    <w:t>6</w:t>
                  </w:r>
                  <w:r>
                    <w:rPr>
                      <w:rFonts w:hint="eastAsia"/>
                      <w:color w:val="auto"/>
                      <w:kern w:val="0"/>
                    </w:rPr>
                    <w:t>小时一次；应急终止后可</w:t>
                  </w:r>
                  <w:r>
                    <w:rPr>
                      <w:color w:val="auto"/>
                      <w:kern w:val="0"/>
                    </w:rPr>
                    <w:t>24</w:t>
                  </w:r>
                  <w:r>
                    <w:rPr>
                      <w:rFonts w:hint="eastAsia"/>
                      <w:color w:val="auto"/>
                      <w:kern w:val="0"/>
                    </w:rPr>
                    <w:t>小时一次进行取样。</w:t>
                  </w:r>
                </w:p>
              </w:tc>
              <w:tc>
                <w:tcPr>
                  <w:tcW w:w="1907" w:type="dxa"/>
                  <w:vAlign w:val="center"/>
                </w:tcPr>
                <w:p w14:paraId="05C9C2CC">
                  <w:pPr>
                    <w:jc w:val="center"/>
                    <w:rPr>
                      <w:color w:val="auto"/>
                      <w:kern w:val="0"/>
                    </w:rPr>
                  </w:pPr>
                  <w:r>
                    <w:rPr>
                      <w:rFonts w:hint="eastAsia"/>
                      <w:color w:val="auto"/>
                      <w:kern w:val="0"/>
                    </w:rPr>
                    <w:t>连续监测</w:t>
                  </w:r>
                  <w:r>
                    <w:rPr>
                      <w:color w:val="auto"/>
                      <w:kern w:val="0"/>
                    </w:rPr>
                    <w:t>2</w:t>
                  </w:r>
                  <w:r>
                    <w:rPr>
                      <w:rFonts w:hint="eastAsia"/>
                      <w:color w:val="auto"/>
                      <w:kern w:val="0"/>
                    </w:rPr>
                    <w:t>次浓度低于环境空气质量标准值或已接近可忽略水平为止。</w:t>
                  </w:r>
                </w:p>
              </w:tc>
              <w:tc>
                <w:tcPr>
                  <w:tcW w:w="1738" w:type="dxa"/>
                  <w:vMerge w:val="continue"/>
                  <w:vAlign w:val="center"/>
                </w:tcPr>
                <w:p w14:paraId="332BC96A">
                  <w:pPr>
                    <w:spacing w:line="360" w:lineRule="auto"/>
                    <w:ind w:firstLine="480" w:firstLineChars="200"/>
                    <w:rPr>
                      <w:color w:val="auto"/>
                      <w:sz w:val="24"/>
                    </w:rPr>
                  </w:pPr>
                </w:p>
              </w:tc>
            </w:tr>
            <w:tr w14:paraId="0B7D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1C2E936B">
                  <w:pPr>
                    <w:jc w:val="center"/>
                    <w:rPr>
                      <w:color w:val="auto"/>
                      <w:kern w:val="0"/>
                    </w:rPr>
                  </w:pPr>
                  <w:r>
                    <w:rPr>
                      <w:rFonts w:hint="eastAsia"/>
                      <w:color w:val="auto"/>
                      <w:kern w:val="0"/>
                    </w:rPr>
                    <w:t>事故发生地的下风向</w:t>
                  </w:r>
                </w:p>
              </w:tc>
              <w:tc>
                <w:tcPr>
                  <w:tcW w:w="3558" w:type="dxa"/>
                  <w:vAlign w:val="center"/>
                </w:tcPr>
                <w:p w14:paraId="35392EF7">
                  <w:pPr>
                    <w:jc w:val="center"/>
                    <w:rPr>
                      <w:color w:val="auto"/>
                      <w:kern w:val="0"/>
                    </w:rPr>
                  </w:pPr>
                  <w:r>
                    <w:rPr>
                      <w:color w:val="auto"/>
                      <w:kern w:val="0"/>
                    </w:rPr>
                    <w:t>4</w:t>
                  </w:r>
                  <w:r>
                    <w:rPr>
                      <w:rFonts w:hint="eastAsia"/>
                      <w:color w:val="auto"/>
                      <w:kern w:val="0"/>
                    </w:rPr>
                    <w:t>次</w:t>
                  </w:r>
                  <w:r>
                    <w:rPr>
                      <w:color w:val="auto"/>
                      <w:kern w:val="0"/>
                    </w:rPr>
                    <w:t>/</w:t>
                  </w:r>
                  <w:r>
                    <w:rPr>
                      <w:rFonts w:hint="eastAsia"/>
                      <w:color w:val="auto"/>
                      <w:kern w:val="0"/>
                    </w:rPr>
                    <w:t>天</w:t>
                  </w:r>
                </w:p>
              </w:tc>
              <w:tc>
                <w:tcPr>
                  <w:tcW w:w="1907" w:type="dxa"/>
                  <w:vAlign w:val="center"/>
                </w:tcPr>
                <w:p w14:paraId="211C739E">
                  <w:pPr>
                    <w:jc w:val="center"/>
                    <w:rPr>
                      <w:color w:val="auto"/>
                      <w:kern w:val="0"/>
                    </w:rPr>
                  </w:pPr>
                  <w:r>
                    <w:rPr>
                      <w:rFonts w:hint="eastAsia"/>
                      <w:color w:val="auto"/>
                      <w:kern w:val="0"/>
                    </w:rPr>
                    <w:t>连续监测</w:t>
                  </w:r>
                  <w:r>
                    <w:rPr>
                      <w:color w:val="auto"/>
                      <w:kern w:val="0"/>
                    </w:rPr>
                    <w:t>2</w:t>
                  </w:r>
                  <w:r>
                    <w:rPr>
                      <w:rFonts w:hint="eastAsia"/>
                      <w:color w:val="auto"/>
                      <w:kern w:val="0"/>
                    </w:rPr>
                    <w:t>～</w:t>
                  </w:r>
                  <w:r>
                    <w:rPr>
                      <w:color w:val="auto"/>
                      <w:kern w:val="0"/>
                    </w:rPr>
                    <w:t>3</w:t>
                  </w:r>
                  <w:r>
                    <w:rPr>
                      <w:rFonts w:hint="eastAsia"/>
                      <w:color w:val="auto"/>
                      <w:kern w:val="0"/>
                    </w:rPr>
                    <w:t>天</w:t>
                  </w:r>
                </w:p>
              </w:tc>
              <w:tc>
                <w:tcPr>
                  <w:tcW w:w="1738" w:type="dxa"/>
                  <w:vMerge w:val="continue"/>
                  <w:vAlign w:val="center"/>
                </w:tcPr>
                <w:p w14:paraId="7646C332">
                  <w:pPr>
                    <w:spacing w:line="360" w:lineRule="auto"/>
                    <w:ind w:firstLine="480" w:firstLineChars="200"/>
                    <w:rPr>
                      <w:color w:val="auto"/>
                      <w:sz w:val="24"/>
                    </w:rPr>
                  </w:pPr>
                </w:p>
              </w:tc>
            </w:tr>
            <w:tr w14:paraId="437F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dxa"/>
                  <w:vAlign w:val="center"/>
                </w:tcPr>
                <w:p w14:paraId="13A91268">
                  <w:pPr>
                    <w:jc w:val="center"/>
                    <w:rPr>
                      <w:color w:val="auto"/>
                      <w:kern w:val="0"/>
                    </w:rPr>
                  </w:pPr>
                  <w:r>
                    <w:rPr>
                      <w:rFonts w:hint="eastAsia"/>
                      <w:color w:val="auto"/>
                      <w:kern w:val="0"/>
                    </w:rPr>
                    <w:t>事故发生地上风向对照点</w:t>
                  </w:r>
                </w:p>
              </w:tc>
              <w:tc>
                <w:tcPr>
                  <w:tcW w:w="3558" w:type="dxa"/>
                  <w:vAlign w:val="center"/>
                </w:tcPr>
                <w:p w14:paraId="0590A51E">
                  <w:pPr>
                    <w:jc w:val="center"/>
                    <w:rPr>
                      <w:color w:val="auto"/>
                      <w:kern w:val="0"/>
                    </w:rPr>
                  </w:pPr>
                  <w:r>
                    <w:rPr>
                      <w:color w:val="auto"/>
                      <w:kern w:val="0"/>
                    </w:rPr>
                    <w:t>2</w:t>
                  </w:r>
                  <w:r>
                    <w:rPr>
                      <w:rFonts w:hint="eastAsia"/>
                      <w:color w:val="auto"/>
                      <w:kern w:val="0"/>
                    </w:rPr>
                    <w:t>次</w:t>
                  </w:r>
                  <w:r>
                    <w:rPr>
                      <w:color w:val="auto"/>
                      <w:kern w:val="0"/>
                    </w:rPr>
                    <w:t>/</w:t>
                  </w:r>
                  <w:r>
                    <w:rPr>
                      <w:rFonts w:hint="eastAsia"/>
                      <w:color w:val="auto"/>
                      <w:kern w:val="0"/>
                    </w:rPr>
                    <w:t>应急期间</w:t>
                  </w:r>
                </w:p>
              </w:tc>
              <w:tc>
                <w:tcPr>
                  <w:tcW w:w="1907" w:type="dxa"/>
                  <w:vAlign w:val="center"/>
                </w:tcPr>
                <w:p w14:paraId="00597F83">
                  <w:pPr>
                    <w:jc w:val="center"/>
                    <w:rPr>
                      <w:color w:val="auto"/>
                      <w:kern w:val="0"/>
                    </w:rPr>
                  </w:pPr>
                  <w:r>
                    <w:rPr>
                      <w:rFonts w:hint="eastAsia"/>
                      <w:color w:val="auto"/>
                      <w:kern w:val="0"/>
                    </w:rPr>
                    <w:t>/</w:t>
                  </w:r>
                </w:p>
              </w:tc>
              <w:tc>
                <w:tcPr>
                  <w:tcW w:w="1738" w:type="dxa"/>
                  <w:vMerge w:val="continue"/>
                  <w:vAlign w:val="center"/>
                </w:tcPr>
                <w:p w14:paraId="7143822F">
                  <w:pPr>
                    <w:spacing w:line="360" w:lineRule="auto"/>
                    <w:ind w:firstLine="480" w:firstLineChars="200"/>
                    <w:rPr>
                      <w:color w:val="auto"/>
                      <w:sz w:val="24"/>
                    </w:rPr>
                  </w:pPr>
                </w:p>
              </w:tc>
            </w:tr>
          </w:tbl>
          <w:p w14:paraId="49FFF767">
            <w:pPr>
              <w:spacing w:line="360" w:lineRule="auto"/>
              <w:ind w:firstLine="480" w:firstLineChars="200"/>
              <w:rPr>
                <w:color w:val="auto"/>
                <w:sz w:val="24"/>
              </w:rPr>
            </w:pPr>
            <w:r>
              <w:rPr>
                <w:rFonts w:hint="eastAsia"/>
                <w:color w:val="auto"/>
                <w:sz w:val="24"/>
              </w:rPr>
              <w:t>②事故废水环境风险防范措施</w:t>
            </w:r>
          </w:p>
          <w:p w14:paraId="3B8EA625">
            <w:pPr>
              <w:spacing w:line="360" w:lineRule="auto"/>
              <w:ind w:firstLine="480" w:firstLineChars="200"/>
              <w:rPr>
                <w:color w:val="auto"/>
                <w:sz w:val="24"/>
              </w:rPr>
            </w:pPr>
            <w:r>
              <w:rPr>
                <w:rFonts w:hint="eastAsia"/>
                <w:color w:val="auto"/>
                <w:sz w:val="24"/>
              </w:rPr>
              <w:t>企业需按照“单元</w:t>
            </w:r>
            <w:r>
              <w:rPr>
                <w:color w:val="auto"/>
                <w:sz w:val="24"/>
              </w:rPr>
              <w:t>-</w:t>
            </w:r>
            <w:r>
              <w:rPr>
                <w:rFonts w:hint="eastAsia"/>
                <w:color w:val="auto"/>
                <w:sz w:val="24"/>
              </w:rPr>
              <w:t>厂区</w:t>
            </w:r>
            <w:r>
              <w:rPr>
                <w:color w:val="auto"/>
                <w:sz w:val="24"/>
              </w:rPr>
              <w:t>-</w:t>
            </w:r>
            <w:r>
              <w:rPr>
                <w:rFonts w:hint="eastAsia"/>
                <w:color w:val="auto"/>
                <w:sz w:val="24"/>
              </w:rPr>
              <w:t>园区</w:t>
            </w:r>
            <w:r>
              <w:rPr>
                <w:color w:val="auto"/>
                <w:sz w:val="24"/>
              </w:rPr>
              <w:t>/</w:t>
            </w:r>
            <w:r>
              <w:rPr>
                <w:rFonts w:hint="eastAsia"/>
                <w:color w:val="auto"/>
                <w:sz w:val="24"/>
              </w:rPr>
              <w:t>区域”环境风险防控体系要求，结合环境风险事故情形和预测结果，针对性设置环境风险防范和监测监控措施，具体如下：</w:t>
            </w:r>
          </w:p>
          <w:p w14:paraId="6AE3BE2D">
            <w:pPr>
              <w:spacing w:line="360" w:lineRule="auto"/>
              <w:jc w:val="center"/>
              <w:rPr>
                <w:b/>
                <w:bCs/>
                <w:color w:val="auto"/>
                <w:sz w:val="24"/>
              </w:rPr>
            </w:pPr>
            <w:r>
              <w:rPr>
                <w:rFonts w:hint="eastAsia"/>
                <w:b/>
                <w:bCs/>
                <w:color w:val="auto"/>
                <w:sz w:val="24"/>
                <w:szCs w:val="24"/>
              </w:rPr>
              <w:t xml:space="preserve">表4-40  </w:t>
            </w:r>
            <w:r>
              <w:rPr>
                <w:rFonts w:hint="eastAsia"/>
                <w:b/>
                <w:bCs/>
                <w:color w:val="auto"/>
                <w:sz w:val="24"/>
              </w:rPr>
              <w:t>涉水类代表性事故环境风险防范措施</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7927"/>
            </w:tblGrid>
            <w:tr w14:paraId="0818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Align w:val="center"/>
                </w:tcPr>
                <w:p w14:paraId="794748A7">
                  <w:pPr>
                    <w:jc w:val="center"/>
                    <w:rPr>
                      <w:b/>
                      <w:bCs/>
                      <w:color w:val="auto"/>
                      <w:kern w:val="0"/>
                    </w:rPr>
                  </w:pPr>
                  <w:r>
                    <w:rPr>
                      <w:rFonts w:hint="eastAsia"/>
                      <w:b/>
                      <w:bCs/>
                      <w:color w:val="auto"/>
                      <w:kern w:val="0"/>
                    </w:rPr>
                    <w:t>事故情形</w:t>
                  </w:r>
                </w:p>
              </w:tc>
              <w:tc>
                <w:tcPr>
                  <w:tcW w:w="7927" w:type="dxa"/>
                  <w:vAlign w:val="center"/>
                </w:tcPr>
                <w:p w14:paraId="08E350DF">
                  <w:pPr>
                    <w:jc w:val="center"/>
                    <w:rPr>
                      <w:b/>
                      <w:bCs/>
                      <w:color w:val="auto"/>
                      <w:kern w:val="0"/>
                    </w:rPr>
                  </w:pPr>
                  <w:r>
                    <w:rPr>
                      <w:rFonts w:hint="eastAsia"/>
                      <w:b/>
                      <w:bCs/>
                      <w:color w:val="auto"/>
                      <w:kern w:val="0"/>
                    </w:rPr>
                    <w:t>风险防范措施</w:t>
                  </w:r>
                </w:p>
              </w:tc>
            </w:tr>
            <w:tr w14:paraId="032B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Align w:val="center"/>
                </w:tcPr>
                <w:p w14:paraId="38346F42">
                  <w:pPr>
                    <w:jc w:val="center"/>
                    <w:rPr>
                      <w:color w:val="auto"/>
                      <w:kern w:val="0"/>
                    </w:rPr>
                  </w:pPr>
                  <w:r>
                    <w:rPr>
                      <w:rFonts w:hint="eastAsia"/>
                      <w:color w:val="auto"/>
                      <w:kern w:val="0"/>
                    </w:rPr>
                    <w:t>白油泄漏事故</w:t>
                  </w:r>
                </w:p>
              </w:tc>
              <w:tc>
                <w:tcPr>
                  <w:tcW w:w="7927" w:type="dxa"/>
                  <w:vMerge w:val="restart"/>
                  <w:vAlign w:val="center"/>
                </w:tcPr>
                <w:p w14:paraId="4A575E2A">
                  <w:pPr>
                    <w:jc w:val="left"/>
                    <w:rPr>
                      <w:color w:val="auto"/>
                      <w:kern w:val="0"/>
                    </w:rPr>
                  </w:pPr>
                  <w:r>
                    <w:rPr>
                      <w:rFonts w:hint="eastAsia"/>
                      <w:color w:val="auto"/>
                      <w:kern w:val="0"/>
                    </w:rPr>
                    <w:t>一级防控：</w:t>
                  </w:r>
                  <w:r>
                    <w:rPr>
                      <w:color w:val="auto"/>
                      <w:kern w:val="0"/>
                    </w:rPr>
                    <w:t>①为防止设备破裂而造成储存液体泄漏至外环境，设置围堵措施，拦截、收集泄漏的物料，防止泄漏物料进入附近水体，污染环境；②配备黄沙等应急物资吸附泄漏物料，防止单套生产装置较大事故泄漏物料和消防废水造成的环境污染。</w:t>
                  </w:r>
                </w:p>
                <w:p w14:paraId="09D6CC61">
                  <w:pPr>
                    <w:jc w:val="left"/>
                    <w:rPr>
                      <w:color w:val="auto"/>
                      <w:kern w:val="0"/>
                    </w:rPr>
                  </w:pPr>
                  <w:r>
                    <w:rPr>
                      <w:color w:val="auto"/>
                      <w:kern w:val="0"/>
                    </w:rPr>
                    <w:t>二级防控——①为控制事故造成的物料泄漏可能对地表水造成的污染，设置</w:t>
                  </w:r>
                  <w:r>
                    <w:rPr>
                      <w:rFonts w:hint="eastAsia"/>
                      <w:color w:val="auto"/>
                      <w:kern w:val="0"/>
                    </w:rPr>
                    <w:t>280</w:t>
                  </w:r>
                  <w:r>
                    <w:rPr>
                      <w:color w:val="auto"/>
                      <w:kern w:val="0"/>
                    </w:rPr>
                    <w:t>立方米的事故应急</w:t>
                  </w:r>
                  <w:r>
                    <w:rPr>
                      <w:rFonts w:hint="eastAsia"/>
                      <w:color w:val="auto"/>
                      <w:kern w:val="0"/>
                    </w:rPr>
                    <w:t>池暂存消防废水等</w:t>
                  </w:r>
                  <w:r>
                    <w:rPr>
                      <w:color w:val="auto"/>
                      <w:kern w:val="0"/>
                    </w:rPr>
                    <w:t>；②对厂区雨水排口设置切断措施，防止事故情况下物料经雨水管线进入地表水水体。</w:t>
                  </w:r>
                </w:p>
                <w:p w14:paraId="2430437B">
                  <w:pPr>
                    <w:jc w:val="left"/>
                    <w:rPr>
                      <w:color w:val="auto"/>
                      <w:kern w:val="0"/>
                    </w:rPr>
                  </w:pPr>
                  <w:r>
                    <w:rPr>
                      <w:color w:val="auto"/>
                      <w:kern w:val="0"/>
                    </w:rPr>
                    <w:t>三级防控——①当水污染物通过雨水排口泄漏至周边水体时，第一时间联系</w:t>
                  </w:r>
                  <w:r>
                    <w:rPr>
                      <w:rFonts w:hint="eastAsia"/>
                      <w:color w:val="auto"/>
                      <w:kern w:val="0"/>
                    </w:rPr>
                    <w:t>直溪镇政府</w:t>
                  </w:r>
                  <w:r>
                    <w:rPr>
                      <w:color w:val="auto"/>
                      <w:kern w:val="0"/>
                    </w:rPr>
                    <w:t>，并在雨水排放口入河口处封堵，防止水环境污染事件扩大。</w:t>
                  </w:r>
                </w:p>
              </w:tc>
            </w:tr>
            <w:tr w14:paraId="6FC5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Align w:val="center"/>
                </w:tcPr>
                <w:p w14:paraId="0029489A">
                  <w:pPr>
                    <w:jc w:val="center"/>
                    <w:rPr>
                      <w:color w:val="auto"/>
                      <w:kern w:val="0"/>
                    </w:rPr>
                  </w:pPr>
                  <w:r>
                    <w:rPr>
                      <w:rFonts w:hint="eastAsia"/>
                      <w:color w:val="auto"/>
                      <w:kern w:val="0"/>
                    </w:rPr>
                    <w:t>原辅料仓库泄露事故</w:t>
                  </w:r>
                </w:p>
              </w:tc>
              <w:tc>
                <w:tcPr>
                  <w:tcW w:w="7927" w:type="dxa"/>
                  <w:vMerge w:val="continue"/>
                  <w:vAlign w:val="center"/>
                </w:tcPr>
                <w:p w14:paraId="2F750BEE">
                  <w:pPr>
                    <w:jc w:val="left"/>
                    <w:rPr>
                      <w:color w:val="auto"/>
                      <w:kern w:val="0"/>
                    </w:rPr>
                  </w:pPr>
                </w:p>
              </w:tc>
            </w:tr>
            <w:tr w14:paraId="1DD5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Align w:val="center"/>
                </w:tcPr>
                <w:p w14:paraId="4C74E6CB">
                  <w:pPr>
                    <w:jc w:val="center"/>
                    <w:rPr>
                      <w:color w:val="auto"/>
                      <w:kern w:val="0"/>
                    </w:rPr>
                  </w:pPr>
                  <w:r>
                    <w:rPr>
                      <w:rFonts w:hint="eastAsia"/>
                      <w:color w:val="auto"/>
                      <w:kern w:val="0"/>
                    </w:rPr>
                    <w:t>危废仓库泄漏事故</w:t>
                  </w:r>
                </w:p>
              </w:tc>
              <w:tc>
                <w:tcPr>
                  <w:tcW w:w="7927" w:type="dxa"/>
                  <w:vMerge w:val="continue"/>
                  <w:vAlign w:val="center"/>
                </w:tcPr>
                <w:p w14:paraId="432A581E">
                  <w:pPr>
                    <w:jc w:val="left"/>
                    <w:rPr>
                      <w:color w:val="auto"/>
                      <w:kern w:val="0"/>
                    </w:rPr>
                  </w:pPr>
                </w:p>
              </w:tc>
            </w:tr>
          </w:tbl>
          <w:p w14:paraId="451B983E">
            <w:pPr>
              <w:tabs>
                <w:tab w:val="left" w:pos="2205"/>
                <w:tab w:val="center" w:pos="4532"/>
              </w:tabs>
              <w:autoSpaceDE w:val="0"/>
              <w:autoSpaceDN w:val="0"/>
              <w:adjustRightInd w:val="0"/>
              <w:spacing w:line="360" w:lineRule="auto"/>
              <w:ind w:firstLine="480" w:firstLineChars="200"/>
              <w:jc w:val="left"/>
              <w:rPr>
                <w:color w:val="auto"/>
                <w:sz w:val="24"/>
                <w:szCs w:val="24"/>
              </w:rPr>
            </w:pPr>
            <w:r>
              <w:rPr>
                <w:rFonts w:ascii="宋体" w:hAnsi="宋体"/>
                <w:bCs/>
                <w:color w:val="auto"/>
                <w:sz w:val="24"/>
                <w:szCs w:val="28"/>
                <w:lang w:val="zh-CN"/>
              </w:rPr>
              <w:t>由于厂区地势低洼，发生事故时产生的事故废水不易泄露至厂区外环境；为防止事故废水溢出厂区，建议对厂区围墙进行混凝土加固，加强防渗措施。当厂区发生事故时，关闭雨水排口和污水排口的阀门，事故废水</w:t>
            </w:r>
            <w:r>
              <w:rPr>
                <w:rFonts w:hint="eastAsia" w:ascii="宋体" w:hAnsi="宋体"/>
                <w:bCs/>
                <w:color w:val="auto"/>
                <w:sz w:val="24"/>
                <w:szCs w:val="28"/>
              </w:rPr>
              <w:t>溢流进事故应急池</w:t>
            </w:r>
            <w:r>
              <w:rPr>
                <w:rFonts w:ascii="宋体" w:hAnsi="宋体"/>
                <w:bCs/>
                <w:color w:val="auto"/>
                <w:sz w:val="24"/>
                <w:szCs w:val="28"/>
                <w:lang w:val="zh-CN"/>
              </w:rPr>
              <w:t>，杜绝以任何形式进入园区的污水管网和雨水管网。消防废水经收集后送临近污水处理有限公司集中处理，若消防废水中含特征污染物，不能满足接管标准要求，必须委托有资质的单位安全处置。</w:t>
            </w:r>
          </w:p>
          <w:p w14:paraId="48DE13F7">
            <w:pPr>
              <w:tabs>
                <w:tab w:val="left" w:pos="2205"/>
                <w:tab w:val="center" w:pos="4532"/>
              </w:tabs>
              <w:autoSpaceDE w:val="0"/>
              <w:autoSpaceDN w:val="0"/>
              <w:adjustRightInd w:val="0"/>
              <w:spacing w:line="360" w:lineRule="auto"/>
              <w:ind w:firstLine="561"/>
              <w:jc w:val="left"/>
              <w:rPr>
                <w:color w:val="auto"/>
                <w:sz w:val="24"/>
                <w:szCs w:val="24"/>
              </w:rPr>
            </w:pPr>
            <w:r>
              <w:rPr>
                <w:color w:val="auto"/>
                <w:sz w:val="24"/>
                <w:szCs w:val="24"/>
              </w:rPr>
              <w:t>参考事故应急池计算方法计算事故应急池容积。具体计算公式如下：</w:t>
            </w:r>
          </w:p>
          <w:p w14:paraId="5D88ED8D">
            <w:pPr>
              <w:tabs>
                <w:tab w:val="left" w:pos="2205"/>
                <w:tab w:val="center" w:pos="4532"/>
              </w:tabs>
              <w:autoSpaceDE w:val="0"/>
              <w:autoSpaceDN w:val="0"/>
              <w:adjustRightInd w:val="0"/>
              <w:spacing w:line="360" w:lineRule="auto"/>
              <w:jc w:val="center"/>
              <w:rPr>
                <w:color w:val="auto"/>
                <w:sz w:val="24"/>
                <w:szCs w:val="24"/>
              </w:rPr>
            </w:pPr>
            <w:r>
              <w:rPr>
                <w:color w:val="auto"/>
                <w:sz w:val="24"/>
                <w:szCs w:val="24"/>
              </w:rPr>
              <w:t>V</w:t>
            </w:r>
            <w:r>
              <w:rPr>
                <w:color w:val="auto"/>
                <w:sz w:val="24"/>
                <w:szCs w:val="24"/>
                <w:vertAlign w:val="subscript"/>
              </w:rPr>
              <w:t>a</w:t>
            </w:r>
            <w:r>
              <w:rPr>
                <w:color w:val="auto"/>
                <w:sz w:val="24"/>
                <w:szCs w:val="24"/>
              </w:rPr>
              <w:t>=(V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)+V</w:t>
            </w:r>
            <w:r>
              <w:rPr>
                <w:color w:val="auto"/>
                <w:sz w:val="24"/>
                <w:szCs w:val="24"/>
                <w:vertAlign w:val="subscript"/>
              </w:rPr>
              <w:t>4</w:t>
            </w:r>
            <w:r>
              <w:rPr>
                <w:color w:val="auto"/>
                <w:sz w:val="24"/>
                <w:szCs w:val="24"/>
              </w:rPr>
              <w:t>+V</w:t>
            </w:r>
            <w:r>
              <w:rPr>
                <w:color w:val="auto"/>
                <w:sz w:val="24"/>
                <w:szCs w:val="24"/>
                <w:vertAlign w:val="subscript"/>
              </w:rPr>
              <w:t>5</w:t>
            </w:r>
          </w:p>
          <w:p w14:paraId="7595B083">
            <w:pPr>
              <w:tabs>
                <w:tab w:val="left" w:pos="2205"/>
                <w:tab w:val="center" w:pos="4532"/>
              </w:tabs>
              <w:autoSpaceDE w:val="0"/>
              <w:autoSpaceDN w:val="0"/>
              <w:adjustRightInd w:val="0"/>
              <w:spacing w:line="360" w:lineRule="auto"/>
              <w:ind w:firstLine="561"/>
              <w:jc w:val="left"/>
              <w:rPr>
                <w:color w:val="auto"/>
                <w:sz w:val="24"/>
                <w:szCs w:val="24"/>
              </w:rPr>
            </w:pPr>
            <w:r>
              <w:rPr>
                <w:color w:val="auto"/>
                <w:sz w:val="24"/>
                <w:szCs w:val="24"/>
              </w:rPr>
              <w:t>Va：事故应急池容积，m</w:t>
            </w:r>
            <w:r>
              <w:rPr>
                <w:color w:val="auto"/>
                <w:sz w:val="24"/>
                <w:szCs w:val="24"/>
                <w:vertAlign w:val="superscript"/>
              </w:rPr>
              <w:t>3</w:t>
            </w:r>
            <w:r>
              <w:rPr>
                <w:color w:val="auto"/>
                <w:sz w:val="24"/>
                <w:szCs w:val="24"/>
              </w:rPr>
              <w:t>；</w:t>
            </w:r>
          </w:p>
          <w:p w14:paraId="03113805">
            <w:pPr>
              <w:tabs>
                <w:tab w:val="left" w:pos="2205"/>
                <w:tab w:val="center" w:pos="4532"/>
              </w:tabs>
              <w:autoSpaceDE w:val="0"/>
              <w:autoSpaceDN w:val="0"/>
              <w:adjustRightInd w:val="0"/>
              <w:spacing w:line="360" w:lineRule="auto"/>
              <w:ind w:firstLine="561"/>
              <w:jc w:val="left"/>
              <w:rPr>
                <w:color w:val="auto"/>
                <w:sz w:val="24"/>
                <w:szCs w:val="24"/>
              </w:rPr>
            </w:pPr>
            <w:r>
              <w:rPr>
                <w:color w:val="auto"/>
                <w:sz w:val="24"/>
                <w:szCs w:val="24"/>
              </w:rPr>
              <w:t>V</w:t>
            </w:r>
            <w:r>
              <w:rPr>
                <w:color w:val="auto"/>
                <w:sz w:val="24"/>
                <w:szCs w:val="24"/>
                <w:vertAlign w:val="subscript"/>
              </w:rPr>
              <w:t>1</w:t>
            </w:r>
            <w:r>
              <w:rPr>
                <w:color w:val="auto"/>
                <w:sz w:val="24"/>
                <w:szCs w:val="24"/>
              </w:rPr>
              <w:t>：事故一个罐或一个装置物料量（注：储存相同物料的罐组按一个最大储罐计，装置物料量按存留最大物料量的一台反应器或中间储罐计），m</w:t>
            </w:r>
            <w:r>
              <w:rPr>
                <w:color w:val="auto"/>
                <w:sz w:val="24"/>
                <w:szCs w:val="24"/>
                <w:vertAlign w:val="superscript"/>
              </w:rPr>
              <w:t>3</w:t>
            </w:r>
            <w:r>
              <w:rPr>
                <w:color w:val="auto"/>
                <w:sz w:val="24"/>
                <w:szCs w:val="24"/>
              </w:rPr>
              <w:t>；</w:t>
            </w:r>
          </w:p>
          <w:p w14:paraId="1C05AA5D">
            <w:pPr>
              <w:tabs>
                <w:tab w:val="left" w:pos="2205"/>
                <w:tab w:val="center" w:pos="4532"/>
              </w:tabs>
              <w:autoSpaceDE w:val="0"/>
              <w:autoSpaceDN w:val="0"/>
              <w:adjustRightInd w:val="0"/>
              <w:spacing w:line="360" w:lineRule="auto"/>
              <w:ind w:firstLine="561"/>
              <w:jc w:val="left"/>
              <w:rPr>
                <w:color w:val="auto"/>
                <w:sz w:val="24"/>
                <w:szCs w:val="24"/>
              </w:rPr>
            </w:pPr>
            <w:r>
              <w:rPr>
                <w:color w:val="auto"/>
                <w:sz w:val="24"/>
                <w:szCs w:val="24"/>
              </w:rPr>
              <w:t>V</w:t>
            </w:r>
            <w:r>
              <w:rPr>
                <w:color w:val="auto"/>
                <w:sz w:val="24"/>
                <w:szCs w:val="24"/>
                <w:vertAlign w:val="subscript"/>
              </w:rPr>
              <w:t>2</w:t>
            </w:r>
            <w:r>
              <w:rPr>
                <w:color w:val="auto"/>
                <w:sz w:val="24"/>
                <w:szCs w:val="24"/>
              </w:rPr>
              <w:t>：事故状态下最大消防水量，m</w:t>
            </w:r>
            <w:r>
              <w:rPr>
                <w:color w:val="auto"/>
                <w:sz w:val="24"/>
                <w:szCs w:val="24"/>
                <w:vertAlign w:val="superscript"/>
              </w:rPr>
              <w:t>3</w:t>
            </w:r>
            <w:r>
              <w:rPr>
                <w:color w:val="auto"/>
                <w:sz w:val="24"/>
                <w:szCs w:val="24"/>
              </w:rPr>
              <w:t>；</w:t>
            </w:r>
          </w:p>
          <w:p w14:paraId="17522D15">
            <w:pPr>
              <w:tabs>
                <w:tab w:val="left" w:pos="2205"/>
                <w:tab w:val="center" w:pos="4532"/>
              </w:tabs>
              <w:autoSpaceDE w:val="0"/>
              <w:autoSpaceDN w:val="0"/>
              <w:adjustRightInd w:val="0"/>
              <w:spacing w:line="360" w:lineRule="auto"/>
              <w:ind w:firstLine="561"/>
              <w:jc w:val="left"/>
              <w:rPr>
                <w:color w:val="auto"/>
                <w:sz w:val="24"/>
                <w:szCs w:val="24"/>
              </w:rPr>
            </w:pPr>
            <w:r>
              <w:rPr>
                <w:color w:val="auto"/>
                <w:sz w:val="24"/>
                <w:szCs w:val="24"/>
              </w:rPr>
              <w:t>V</w:t>
            </w:r>
            <w:r>
              <w:rPr>
                <w:color w:val="auto"/>
                <w:sz w:val="24"/>
                <w:szCs w:val="24"/>
                <w:vertAlign w:val="subscript"/>
              </w:rPr>
              <w:t>3</w:t>
            </w:r>
            <w:r>
              <w:rPr>
                <w:color w:val="auto"/>
                <w:sz w:val="24"/>
                <w:szCs w:val="24"/>
              </w:rPr>
              <w:t>：事故时可以转输到其它储存或处理设施的物料量，m</w:t>
            </w:r>
            <w:r>
              <w:rPr>
                <w:color w:val="auto"/>
                <w:sz w:val="24"/>
                <w:szCs w:val="24"/>
                <w:vertAlign w:val="superscript"/>
              </w:rPr>
              <w:t>3</w:t>
            </w:r>
            <w:r>
              <w:rPr>
                <w:color w:val="auto"/>
                <w:sz w:val="24"/>
                <w:szCs w:val="24"/>
              </w:rPr>
              <w:t>；</w:t>
            </w:r>
          </w:p>
          <w:p w14:paraId="6BF604B7">
            <w:pPr>
              <w:tabs>
                <w:tab w:val="left" w:pos="2205"/>
                <w:tab w:val="center" w:pos="4532"/>
              </w:tabs>
              <w:autoSpaceDE w:val="0"/>
              <w:autoSpaceDN w:val="0"/>
              <w:adjustRightInd w:val="0"/>
              <w:spacing w:line="360" w:lineRule="auto"/>
              <w:ind w:firstLine="561"/>
              <w:jc w:val="left"/>
              <w:rPr>
                <w:color w:val="auto"/>
                <w:sz w:val="24"/>
                <w:szCs w:val="24"/>
              </w:rPr>
            </w:pPr>
            <w:r>
              <w:rPr>
                <w:color w:val="auto"/>
                <w:sz w:val="24"/>
                <w:szCs w:val="24"/>
              </w:rPr>
              <w:t>V</w:t>
            </w:r>
            <w:r>
              <w:rPr>
                <w:color w:val="auto"/>
                <w:sz w:val="24"/>
                <w:szCs w:val="24"/>
                <w:vertAlign w:val="subscript"/>
              </w:rPr>
              <w:t>4</w:t>
            </w:r>
            <w:r>
              <w:rPr>
                <w:color w:val="auto"/>
                <w:sz w:val="24"/>
                <w:szCs w:val="24"/>
              </w:rPr>
              <w:t>：发生事故时必须进入该收集系统的生产废水量，m</w:t>
            </w:r>
            <w:r>
              <w:rPr>
                <w:color w:val="auto"/>
                <w:sz w:val="24"/>
                <w:szCs w:val="24"/>
                <w:vertAlign w:val="superscript"/>
              </w:rPr>
              <w:t>3</w:t>
            </w:r>
            <w:r>
              <w:rPr>
                <w:color w:val="auto"/>
                <w:sz w:val="24"/>
                <w:szCs w:val="24"/>
              </w:rPr>
              <w:t>；</w:t>
            </w:r>
          </w:p>
          <w:p w14:paraId="1890188F">
            <w:pPr>
              <w:tabs>
                <w:tab w:val="left" w:pos="2205"/>
                <w:tab w:val="center" w:pos="4532"/>
              </w:tabs>
              <w:autoSpaceDE w:val="0"/>
              <w:autoSpaceDN w:val="0"/>
              <w:adjustRightInd w:val="0"/>
              <w:spacing w:line="360" w:lineRule="auto"/>
              <w:ind w:firstLine="561"/>
              <w:jc w:val="left"/>
              <w:rPr>
                <w:color w:val="auto"/>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：发生事故时可能进入该收集系统的降雨量，m</w:t>
            </w:r>
            <w:r>
              <w:rPr>
                <w:color w:val="auto"/>
                <w:sz w:val="24"/>
                <w:szCs w:val="24"/>
                <w:vertAlign w:val="superscript"/>
              </w:rPr>
              <w:t>3</w:t>
            </w:r>
            <w:r>
              <w:rPr>
                <w:color w:val="auto"/>
                <w:sz w:val="24"/>
                <w:szCs w:val="24"/>
              </w:rPr>
              <w:t>。</w:t>
            </w:r>
          </w:p>
          <w:p w14:paraId="43E12894">
            <w:pPr>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1 \* GB3 </w:instrText>
            </w:r>
            <w:r>
              <w:rPr>
                <w:color w:val="auto"/>
                <w:sz w:val="24"/>
                <w:szCs w:val="24"/>
              </w:rPr>
              <w:fldChar w:fldCharType="separate"/>
            </w:r>
            <w:r>
              <w:rPr>
                <w:color w:val="auto"/>
                <w:sz w:val="24"/>
                <w:szCs w:val="24"/>
              </w:rPr>
              <w:t>①</w:t>
            </w:r>
            <w:r>
              <w:rPr>
                <w:color w:val="auto"/>
                <w:sz w:val="24"/>
                <w:szCs w:val="24"/>
              </w:rPr>
              <w:fldChar w:fldCharType="end"/>
            </w:r>
            <w:r>
              <w:rPr>
                <w:color w:val="auto"/>
                <w:sz w:val="24"/>
                <w:szCs w:val="24"/>
              </w:rPr>
              <w:t>V</w:t>
            </w:r>
            <w:r>
              <w:rPr>
                <w:color w:val="auto"/>
                <w:sz w:val="24"/>
                <w:szCs w:val="24"/>
                <w:vertAlign w:val="subscript"/>
              </w:rPr>
              <w:t>1</w:t>
            </w:r>
            <w:r>
              <w:rPr>
                <w:color w:val="auto"/>
                <w:sz w:val="24"/>
                <w:szCs w:val="24"/>
              </w:rPr>
              <w:t>：V</w:t>
            </w:r>
            <w:r>
              <w:rPr>
                <w:color w:val="auto"/>
                <w:sz w:val="24"/>
                <w:szCs w:val="24"/>
                <w:vertAlign w:val="subscript"/>
              </w:rPr>
              <w:t>1</w:t>
            </w:r>
            <w:r>
              <w:rPr>
                <w:color w:val="auto"/>
                <w:sz w:val="24"/>
                <w:szCs w:val="24"/>
              </w:rPr>
              <w:t>=</w:t>
            </w:r>
            <w:r>
              <w:rPr>
                <w:rFonts w:hint="eastAsia"/>
                <w:color w:val="auto"/>
                <w:sz w:val="24"/>
                <w:szCs w:val="24"/>
              </w:rPr>
              <w:t>0.15</w:t>
            </w:r>
            <w:r>
              <w:rPr>
                <w:color w:val="auto"/>
                <w:sz w:val="24"/>
                <w:szCs w:val="24"/>
              </w:rPr>
              <w:t>m</w:t>
            </w:r>
            <w:r>
              <w:rPr>
                <w:color w:val="auto"/>
                <w:sz w:val="24"/>
                <w:szCs w:val="24"/>
                <w:vertAlign w:val="superscript"/>
              </w:rPr>
              <w:t>3</w:t>
            </w:r>
            <w:r>
              <w:rPr>
                <w:color w:val="auto"/>
                <w:sz w:val="24"/>
                <w:szCs w:val="24"/>
              </w:rPr>
              <w:t>；</w:t>
            </w:r>
          </w:p>
          <w:p w14:paraId="20BD272B">
            <w:pPr>
              <w:autoSpaceDE w:val="0"/>
              <w:autoSpaceDN w:val="0"/>
              <w:spacing w:line="360" w:lineRule="auto"/>
              <w:ind w:firstLine="480" w:firstLineChars="200"/>
              <w:jc w:val="left"/>
              <w:rPr>
                <w:color w:val="auto"/>
                <w:sz w:val="24"/>
                <w:szCs w:val="24"/>
              </w:rPr>
            </w:pPr>
            <w:r>
              <w:rPr>
                <w:color w:val="auto"/>
                <w:sz w:val="24"/>
                <w:szCs w:val="24"/>
              </w:rPr>
              <w:t>②V</w:t>
            </w:r>
            <w:r>
              <w:rPr>
                <w:color w:val="auto"/>
                <w:sz w:val="24"/>
                <w:szCs w:val="24"/>
                <w:vertAlign w:val="subscript"/>
              </w:rPr>
              <w:t>2</w:t>
            </w:r>
            <w:r>
              <w:rPr>
                <w:color w:val="auto"/>
                <w:sz w:val="24"/>
                <w:szCs w:val="24"/>
              </w:rPr>
              <w:t>：</w:t>
            </w:r>
            <w:r>
              <w:rPr>
                <w:color w:val="auto"/>
                <w:kern w:val="0"/>
                <w:sz w:val="24"/>
                <w:szCs w:val="24"/>
              </w:rPr>
              <w:t>本次选取</w:t>
            </w:r>
            <w:r>
              <w:rPr>
                <w:rFonts w:hint="eastAsia"/>
                <w:color w:val="auto"/>
                <w:kern w:val="0"/>
                <w:sz w:val="24"/>
                <w:szCs w:val="24"/>
              </w:rPr>
              <w:t>车间四</w:t>
            </w:r>
            <w:r>
              <w:rPr>
                <w:color w:val="auto"/>
                <w:kern w:val="0"/>
                <w:sz w:val="24"/>
                <w:szCs w:val="24"/>
              </w:rPr>
              <w:t>最大容积进行消防水量计算，火灾危险性等级为</w:t>
            </w:r>
            <w:r>
              <w:rPr>
                <w:rFonts w:hint="eastAsia"/>
                <w:color w:val="auto"/>
                <w:kern w:val="0"/>
                <w:sz w:val="24"/>
                <w:szCs w:val="24"/>
              </w:rPr>
              <w:t>丙</w:t>
            </w:r>
            <w:r>
              <w:rPr>
                <w:color w:val="auto"/>
                <w:kern w:val="0"/>
                <w:sz w:val="24"/>
                <w:szCs w:val="24"/>
              </w:rPr>
              <w:t>类，当</w:t>
            </w:r>
            <w:r>
              <w:rPr>
                <w:rFonts w:hint="eastAsia"/>
                <w:color w:val="auto"/>
                <w:kern w:val="0"/>
                <w:sz w:val="24"/>
                <w:szCs w:val="24"/>
              </w:rPr>
              <w:t>生产车间</w:t>
            </w:r>
            <w:r>
              <w:rPr>
                <w:color w:val="auto"/>
                <w:kern w:val="0"/>
                <w:sz w:val="24"/>
                <w:szCs w:val="24"/>
              </w:rPr>
              <w:t>发生火灾时，根据《消防给水及消火栓系统技术规范》（GB50974-2014）</w:t>
            </w:r>
            <w:r>
              <w:rPr>
                <w:rFonts w:hint="eastAsia"/>
                <w:color w:val="auto"/>
                <w:kern w:val="0"/>
                <w:sz w:val="24"/>
                <w:szCs w:val="24"/>
              </w:rPr>
              <w:t>丙类单层厂房</w:t>
            </w:r>
            <w:r>
              <w:rPr>
                <w:color w:val="auto"/>
                <w:kern w:val="0"/>
                <w:sz w:val="24"/>
                <w:szCs w:val="24"/>
              </w:rPr>
              <w:t>室外消火栓用水量</w:t>
            </w:r>
            <w:r>
              <w:rPr>
                <w:rFonts w:hint="eastAsia"/>
                <w:color w:val="auto"/>
                <w:kern w:val="0"/>
                <w:sz w:val="24"/>
                <w:szCs w:val="24"/>
              </w:rPr>
              <w:t>25</w:t>
            </w:r>
            <w:r>
              <w:rPr>
                <w:color w:val="auto"/>
                <w:kern w:val="0"/>
                <w:sz w:val="24"/>
                <w:szCs w:val="24"/>
              </w:rPr>
              <w:t>L/</w:t>
            </w:r>
            <w:r>
              <w:rPr>
                <w:rFonts w:hint="eastAsia"/>
                <w:color w:val="auto"/>
                <w:kern w:val="0"/>
                <w:sz w:val="24"/>
                <w:szCs w:val="24"/>
              </w:rPr>
              <w:t>s，</w:t>
            </w:r>
            <w:r>
              <w:rPr>
                <w:color w:val="auto"/>
                <w:kern w:val="0"/>
                <w:sz w:val="24"/>
                <w:szCs w:val="24"/>
              </w:rPr>
              <w:t>火灾持续时间为</w:t>
            </w:r>
            <w:r>
              <w:rPr>
                <w:rFonts w:hint="eastAsia"/>
                <w:color w:val="auto"/>
                <w:kern w:val="0"/>
                <w:sz w:val="24"/>
                <w:szCs w:val="24"/>
              </w:rPr>
              <w:t>2</w:t>
            </w:r>
            <w:r>
              <w:rPr>
                <w:color w:val="auto"/>
                <w:kern w:val="0"/>
                <w:sz w:val="24"/>
                <w:szCs w:val="24"/>
              </w:rPr>
              <w:t>小时。则火灾事故状态下，厂区总消防用水量为</w:t>
            </w:r>
            <w:r>
              <w:rPr>
                <w:rFonts w:hint="eastAsia"/>
                <w:color w:val="auto"/>
                <w:kern w:val="0"/>
                <w:sz w:val="24"/>
                <w:szCs w:val="24"/>
              </w:rPr>
              <w:t>270</w:t>
            </w:r>
            <w:r>
              <w:rPr>
                <w:color w:val="auto"/>
                <w:kern w:val="0"/>
                <w:sz w:val="24"/>
                <w:szCs w:val="24"/>
              </w:rPr>
              <w:t>m</w:t>
            </w:r>
            <w:r>
              <w:rPr>
                <w:color w:val="auto"/>
                <w:kern w:val="0"/>
                <w:sz w:val="24"/>
                <w:szCs w:val="24"/>
                <w:vertAlign w:val="superscript"/>
              </w:rPr>
              <w:t>3</w:t>
            </w:r>
            <w:r>
              <w:rPr>
                <w:color w:val="auto"/>
                <w:kern w:val="0"/>
                <w:sz w:val="24"/>
                <w:szCs w:val="24"/>
              </w:rPr>
              <w:t>，则V</w:t>
            </w:r>
            <w:r>
              <w:rPr>
                <w:color w:val="auto"/>
                <w:kern w:val="0"/>
                <w:sz w:val="24"/>
                <w:szCs w:val="24"/>
                <w:vertAlign w:val="subscript"/>
              </w:rPr>
              <w:t>2</w:t>
            </w:r>
            <w:r>
              <w:rPr>
                <w:color w:val="auto"/>
                <w:kern w:val="0"/>
                <w:sz w:val="24"/>
                <w:szCs w:val="24"/>
              </w:rPr>
              <w:t>=</w:t>
            </w:r>
            <w:r>
              <w:rPr>
                <w:rFonts w:hint="eastAsia"/>
                <w:color w:val="auto"/>
                <w:kern w:val="0"/>
                <w:sz w:val="24"/>
                <w:szCs w:val="24"/>
              </w:rPr>
              <w:t>180</w:t>
            </w:r>
            <w:r>
              <w:rPr>
                <w:color w:val="auto"/>
                <w:kern w:val="0"/>
                <w:sz w:val="24"/>
                <w:szCs w:val="24"/>
              </w:rPr>
              <w:t>m</w:t>
            </w:r>
            <w:r>
              <w:rPr>
                <w:color w:val="auto"/>
                <w:kern w:val="0"/>
                <w:sz w:val="24"/>
                <w:szCs w:val="24"/>
                <w:vertAlign w:val="superscript"/>
              </w:rPr>
              <w:t>3</w:t>
            </w:r>
            <w:r>
              <w:rPr>
                <w:color w:val="auto"/>
                <w:kern w:val="0"/>
                <w:sz w:val="24"/>
                <w:szCs w:val="24"/>
              </w:rPr>
              <w:t>；</w:t>
            </w:r>
          </w:p>
          <w:p w14:paraId="7CEE8036">
            <w:pPr>
              <w:adjustRightInd w:val="0"/>
              <w:spacing w:line="360" w:lineRule="auto"/>
              <w:ind w:firstLine="480" w:firstLineChars="200"/>
              <w:rPr>
                <w:color w:val="auto"/>
                <w:kern w:val="0"/>
                <w:sz w:val="24"/>
                <w:szCs w:val="24"/>
              </w:rPr>
            </w:pPr>
            <w:r>
              <w:rPr>
                <w:color w:val="auto"/>
                <w:kern w:val="0"/>
                <w:sz w:val="24"/>
                <w:szCs w:val="24"/>
              </w:rPr>
              <w:t>V</w:t>
            </w:r>
            <w:r>
              <w:rPr>
                <w:color w:val="auto"/>
                <w:kern w:val="0"/>
                <w:sz w:val="24"/>
                <w:szCs w:val="24"/>
                <w:vertAlign w:val="subscript"/>
              </w:rPr>
              <w:t>3</w:t>
            </w:r>
            <w:r>
              <w:rPr>
                <w:rFonts w:hint="eastAsia"/>
                <w:color w:val="auto"/>
                <w:kern w:val="0"/>
                <w:sz w:val="24"/>
                <w:szCs w:val="24"/>
              </w:rPr>
              <w:t>：</w:t>
            </w:r>
            <w:r>
              <w:rPr>
                <w:color w:val="auto"/>
                <w:kern w:val="0"/>
                <w:sz w:val="24"/>
                <w:szCs w:val="24"/>
              </w:rPr>
              <w:t>企业发生事故时，消防废水部分进入雨水管道，雨水排口的阀门处于关闭状态，雨水（事故）应急池阀门处于开启状态，将事故性废水收集至事故应急池，企业雨水管道容积约为V=3.14*0.</w:t>
            </w:r>
            <w:r>
              <w:rPr>
                <w:rFonts w:hint="eastAsia"/>
                <w:color w:val="auto"/>
                <w:kern w:val="0"/>
                <w:sz w:val="24"/>
                <w:szCs w:val="24"/>
              </w:rPr>
              <w:t>3</w:t>
            </w:r>
            <w:r>
              <w:rPr>
                <w:color w:val="auto"/>
                <w:kern w:val="0"/>
                <w:sz w:val="24"/>
                <w:szCs w:val="24"/>
              </w:rPr>
              <w:t>*0.</w:t>
            </w:r>
            <w:r>
              <w:rPr>
                <w:rFonts w:hint="eastAsia"/>
                <w:color w:val="auto"/>
                <w:kern w:val="0"/>
                <w:sz w:val="24"/>
                <w:szCs w:val="24"/>
              </w:rPr>
              <w:t>3</w:t>
            </w:r>
            <w:r>
              <w:rPr>
                <w:color w:val="auto"/>
                <w:kern w:val="0"/>
                <w:sz w:val="24"/>
                <w:szCs w:val="24"/>
              </w:rPr>
              <w:t>*</w:t>
            </w:r>
            <w:r>
              <w:rPr>
                <w:rFonts w:hint="eastAsia"/>
                <w:color w:val="auto"/>
                <w:kern w:val="0"/>
                <w:sz w:val="24"/>
                <w:szCs w:val="24"/>
              </w:rPr>
              <w:t>1000</w:t>
            </w:r>
            <w:r>
              <w:rPr>
                <w:color w:val="auto"/>
                <w:kern w:val="0"/>
                <w:sz w:val="24"/>
                <w:szCs w:val="24"/>
              </w:rPr>
              <w:t>=</w:t>
            </w:r>
            <w:r>
              <w:rPr>
                <w:rFonts w:hint="eastAsia"/>
                <w:color w:val="auto"/>
                <w:kern w:val="0"/>
                <w:sz w:val="24"/>
                <w:szCs w:val="24"/>
              </w:rPr>
              <w:t>282.6</w:t>
            </w:r>
            <w:r>
              <w:rPr>
                <w:color w:val="auto"/>
                <w:kern w:val="0"/>
                <w:sz w:val="24"/>
                <w:szCs w:val="24"/>
              </w:rPr>
              <w:t>m</w:t>
            </w:r>
            <w:r>
              <w:rPr>
                <w:color w:val="auto"/>
                <w:kern w:val="0"/>
                <w:sz w:val="24"/>
                <w:szCs w:val="24"/>
                <w:vertAlign w:val="superscript"/>
              </w:rPr>
              <w:t>3</w:t>
            </w:r>
            <w:r>
              <w:rPr>
                <w:color w:val="auto"/>
                <w:kern w:val="0"/>
                <w:sz w:val="24"/>
                <w:szCs w:val="24"/>
              </w:rPr>
              <w:t>。</w:t>
            </w:r>
            <w:r>
              <w:rPr>
                <w:rFonts w:hint="eastAsia"/>
                <w:color w:val="auto"/>
                <w:kern w:val="0"/>
                <w:sz w:val="24"/>
                <w:szCs w:val="24"/>
              </w:rPr>
              <w:t>（</w:t>
            </w:r>
            <w:r>
              <w:rPr>
                <w:color w:val="auto"/>
                <w:kern w:val="0"/>
                <w:sz w:val="24"/>
                <w:szCs w:val="24"/>
              </w:rPr>
              <w:t>雨水管网</w:t>
            </w:r>
            <w:r>
              <w:rPr>
                <w:rFonts w:hint="eastAsia"/>
                <w:color w:val="auto"/>
                <w:kern w:val="0"/>
                <w:sz w:val="24"/>
                <w:szCs w:val="24"/>
              </w:rPr>
              <w:t>半径0.3</w:t>
            </w:r>
            <w:r>
              <w:rPr>
                <w:color w:val="auto"/>
                <w:kern w:val="0"/>
                <w:sz w:val="24"/>
                <w:szCs w:val="24"/>
              </w:rPr>
              <w:t>m</w:t>
            </w:r>
            <w:r>
              <w:rPr>
                <w:rFonts w:hint="eastAsia"/>
                <w:color w:val="auto"/>
                <w:kern w:val="0"/>
                <w:sz w:val="24"/>
                <w:szCs w:val="24"/>
              </w:rPr>
              <w:t>，</w:t>
            </w:r>
            <w:r>
              <w:rPr>
                <w:color w:val="auto"/>
                <w:kern w:val="0"/>
                <w:sz w:val="24"/>
                <w:szCs w:val="24"/>
              </w:rPr>
              <w:t>总长度约</w:t>
            </w:r>
            <w:r>
              <w:rPr>
                <w:rFonts w:hint="eastAsia"/>
                <w:color w:val="auto"/>
                <w:kern w:val="0"/>
                <w:sz w:val="24"/>
                <w:szCs w:val="24"/>
              </w:rPr>
              <w:t>1000</w:t>
            </w:r>
            <w:r>
              <w:rPr>
                <w:color w:val="auto"/>
                <w:kern w:val="0"/>
                <w:sz w:val="24"/>
                <w:szCs w:val="24"/>
              </w:rPr>
              <w:t>m</w:t>
            </w:r>
            <w:r>
              <w:rPr>
                <w:rFonts w:hint="eastAsia"/>
                <w:color w:val="auto"/>
                <w:kern w:val="0"/>
                <w:sz w:val="24"/>
                <w:szCs w:val="24"/>
              </w:rPr>
              <w:t>）</w:t>
            </w:r>
            <w:r>
              <w:rPr>
                <w:color w:val="auto"/>
                <w:kern w:val="0"/>
                <w:sz w:val="24"/>
                <w:szCs w:val="24"/>
              </w:rPr>
              <w:t>，考虑充满度等问题，故V</w:t>
            </w:r>
            <w:r>
              <w:rPr>
                <w:color w:val="auto"/>
                <w:kern w:val="0"/>
                <w:sz w:val="24"/>
                <w:szCs w:val="24"/>
                <w:vertAlign w:val="subscript"/>
              </w:rPr>
              <w:t>3</w:t>
            </w:r>
            <w:r>
              <w:rPr>
                <w:color w:val="auto"/>
                <w:kern w:val="0"/>
                <w:sz w:val="24"/>
                <w:szCs w:val="24"/>
              </w:rPr>
              <w:t>=</w:t>
            </w:r>
            <w:r>
              <w:rPr>
                <w:rFonts w:hint="eastAsia"/>
                <w:color w:val="auto"/>
                <w:kern w:val="0"/>
                <w:sz w:val="24"/>
                <w:szCs w:val="24"/>
              </w:rPr>
              <w:t>170</w:t>
            </w:r>
            <w:r>
              <w:rPr>
                <w:color w:val="auto"/>
                <w:kern w:val="0"/>
                <w:sz w:val="24"/>
                <w:szCs w:val="24"/>
              </w:rPr>
              <w:t>m</w:t>
            </w:r>
            <w:r>
              <w:rPr>
                <w:color w:val="auto"/>
                <w:kern w:val="0"/>
                <w:sz w:val="24"/>
                <w:szCs w:val="24"/>
                <w:vertAlign w:val="superscript"/>
              </w:rPr>
              <w:t>3</w:t>
            </w:r>
            <w:r>
              <w:rPr>
                <w:color w:val="auto"/>
                <w:kern w:val="0"/>
                <w:sz w:val="24"/>
                <w:szCs w:val="24"/>
              </w:rPr>
              <w:t>。</w:t>
            </w:r>
          </w:p>
          <w:p w14:paraId="175AA6E5">
            <w:pPr>
              <w:adjustRightInd w:val="0"/>
              <w:spacing w:line="360" w:lineRule="auto"/>
              <w:ind w:firstLine="480" w:firstLineChars="200"/>
              <w:rPr>
                <w:color w:val="auto"/>
                <w:kern w:val="0"/>
                <w:sz w:val="24"/>
                <w:szCs w:val="24"/>
              </w:rPr>
            </w:pPr>
            <w:r>
              <w:rPr>
                <w:color w:val="auto"/>
                <w:kern w:val="0"/>
                <w:sz w:val="24"/>
                <w:szCs w:val="24"/>
              </w:rPr>
              <w:t>V</w:t>
            </w:r>
            <w:r>
              <w:rPr>
                <w:color w:val="auto"/>
                <w:kern w:val="0"/>
                <w:sz w:val="24"/>
                <w:szCs w:val="24"/>
                <w:vertAlign w:val="subscript"/>
              </w:rPr>
              <w:t>4</w:t>
            </w:r>
            <w:r>
              <w:rPr>
                <w:rFonts w:hint="eastAsia"/>
                <w:color w:val="auto"/>
                <w:kern w:val="0"/>
                <w:sz w:val="24"/>
                <w:szCs w:val="24"/>
              </w:rPr>
              <w:t>：</w:t>
            </w:r>
            <w:r>
              <w:rPr>
                <w:color w:val="auto"/>
                <w:kern w:val="0"/>
                <w:sz w:val="24"/>
                <w:szCs w:val="24"/>
              </w:rPr>
              <w:t>发生事故时进入该系统生产废水量，故V4=</w:t>
            </w:r>
            <w:r>
              <w:rPr>
                <w:rFonts w:hint="eastAsia"/>
                <w:color w:val="auto"/>
                <w:kern w:val="0"/>
                <w:sz w:val="24"/>
                <w:szCs w:val="24"/>
              </w:rPr>
              <w:t>0</w:t>
            </w:r>
            <w:r>
              <w:rPr>
                <w:color w:val="auto"/>
                <w:kern w:val="0"/>
                <w:sz w:val="24"/>
                <w:szCs w:val="24"/>
              </w:rPr>
              <w:t>；</w:t>
            </w:r>
          </w:p>
          <w:p w14:paraId="018494FE">
            <w:pPr>
              <w:adjustRightInd w:val="0"/>
              <w:spacing w:line="360" w:lineRule="auto"/>
              <w:ind w:firstLine="480" w:firstLineChars="200"/>
              <w:rPr>
                <w:color w:val="auto"/>
                <w:kern w:val="0"/>
                <w:sz w:val="24"/>
                <w:szCs w:val="24"/>
              </w:rPr>
            </w:pPr>
            <w:r>
              <w:rPr>
                <w:color w:val="auto"/>
                <w:kern w:val="0"/>
                <w:sz w:val="24"/>
                <w:szCs w:val="24"/>
              </w:rPr>
              <w:t>V</w:t>
            </w:r>
            <w:r>
              <w:rPr>
                <w:color w:val="auto"/>
                <w:kern w:val="0"/>
                <w:sz w:val="24"/>
                <w:szCs w:val="24"/>
                <w:vertAlign w:val="subscript"/>
              </w:rPr>
              <w:t>5</w:t>
            </w:r>
            <w:r>
              <w:rPr>
                <w:rFonts w:hint="eastAsia"/>
                <w:color w:val="auto"/>
                <w:kern w:val="0"/>
                <w:sz w:val="24"/>
                <w:szCs w:val="24"/>
              </w:rPr>
              <w:t>：</w:t>
            </w:r>
            <w:r>
              <w:rPr>
                <w:color w:val="auto"/>
                <w:kern w:val="0"/>
                <w:sz w:val="24"/>
                <w:szCs w:val="24"/>
              </w:rPr>
              <w:t>当地的最大降雨量以下式计算：V5=10•q•F=</w:t>
            </w:r>
            <w:r>
              <w:rPr>
                <w:rFonts w:hint="eastAsia"/>
                <w:color w:val="auto"/>
                <w:kern w:val="0"/>
                <w:sz w:val="24"/>
                <w:szCs w:val="24"/>
              </w:rPr>
              <w:t>260.1</w:t>
            </w:r>
            <w:r>
              <w:rPr>
                <w:color w:val="auto"/>
                <w:kern w:val="0"/>
                <w:sz w:val="24"/>
                <w:szCs w:val="24"/>
              </w:rPr>
              <w:t>m</w:t>
            </w:r>
            <w:r>
              <w:rPr>
                <w:color w:val="auto"/>
                <w:kern w:val="0"/>
                <w:sz w:val="24"/>
                <w:szCs w:val="24"/>
                <w:vertAlign w:val="superscript"/>
              </w:rPr>
              <w:t>3</w:t>
            </w:r>
          </w:p>
          <w:p w14:paraId="3C3D124C">
            <w:pPr>
              <w:adjustRightInd w:val="0"/>
              <w:spacing w:line="360" w:lineRule="auto"/>
              <w:ind w:firstLine="480" w:firstLineChars="200"/>
              <w:rPr>
                <w:color w:val="auto"/>
                <w:kern w:val="0"/>
                <w:sz w:val="24"/>
                <w:szCs w:val="24"/>
              </w:rPr>
            </w:pPr>
            <w:r>
              <w:rPr>
                <w:color w:val="auto"/>
                <w:kern w:val="0"/>
                <w:sz w:val="24"/>
                <w:szCs w:val="24"/>
              </w:rPr>
              <w:t>式中：q——降雨强度，mm，按平均日降雨量计算；q=年平均降雨量/年平均降雨天数=8.67mm（年平均降雨量以867.1mm计算；降雨天数取100天）；</w:t>
            </w:r>
          </w:p>
          <w:p w14:paraId="68F66352">
            <w:pPr>
              <w:adjustRightInd w:val="0"/>
              <w:spacing w:line="360" w:lineRule="auto"/>
              <w:ind w:firstLine="480" w:firstLineChars="200"/>
              <w:rPr>
                <w:color w:val="auto"/>
                <w:kern w:val="0"/>
                <w:sz w:val="24"/>
                <w:szCs w:val="24"/>
              </w:rPr>
            </w:pPr>
            <w:r>
              <w:rPr>
                <w:color w:val="auto"/>
                <w:kern w:val="0"/>
                <w:sz w:val="24"/>
                <w:szCs w:val="24"/>
              </w:rPr>
              <w:t>V总＝(V1＋V2-V3)max+V4+V5＝(</w:t>
            </w:r>
            <w:r>
              <w:rPr>
                <w:rFonts w:hint="eastAsia"/>
                <w:color w:val="auto"/>
                <w:kern w:val="0"/>
                <w:sz w:val="24"/>
                <w:szCs w:val="24"/>
              </w:rPr>
              <w:t>0.15</w:t>
            </w:r>
            <w:r>
              <w:rPr>
                <w:color w:val="auto"/>
                <w:kern w:val="0"/>
                <w:sz w:val="24"/>
                <w:szCs w:val="24"/>
              </w:rPr>
              <w:t>+</w:t>
            </w:r>
            <w:r>
              <w:rPr>
                <w:rFonts w:hint="eastAsia"/>
                <w:color w:val="auto"/>
                <w:kern w:val="0"/>
                <w:sz w:val="24"/>
                <w:szCs w:val="24"/>
              </w:rPr>
              <w:t>180</w:t>
            </w:r>
            <w:r>
              <w:rPr>
                <w:color w:val="auto"/>
                <w:kern w:val="0"/>
                <w:sz w:val="24"/>
                <w:szCs w:val="24"/>
              </w:rPr>
              <w:t>-</w:t>
            </w:r>
            <w:r>
              <w:rPr>
                <w:rFonts w:hint="eastAsia"/>
                <w:color w:val="auto"/>
                <w:kern w:val="0"/>
                <w:sz w:val="24"/>
                <w:szCs w:val="24"/>
              </w:rPr>
              <w:t>170</w:t>
            </w:r>
            <w:r>
              <w:rPr>
                <w:color w:val="auto"/>
                <w:kern w:val="0"/>
                <w:sz w:val="24"/>
                <w:szCs w:val="24"/>
              </w:rPr>
              <w:t>)+</w:t>
            </w:r>
            <w:r>
              <w:rPr>
                <w:rFonts w:hint="eastAsia"/>
                <w:color w:val="auto"/>
                <w:kern w:val="0"/>
                <w:sz w:val="24"/>
                <w:szCs w:val="24"/>
              </w:rPr>
              <w:t>0</w:t>
            </w:r>
            <w:r>
              <w:rPr>
                <w:color w:val="auto"/>
                <w:kern w:val="0"/>
                <w:sz w:val="24"/>
                <w:szCs w:val="24"/>
              </w:rPr>
              <w:t>+</w:t>
            </w:r>
            <w:r>
              <w:rPr>
                <w:rFonts w:hint="eastAsia"/>
                <w:color w:val="auto"/>
                <w:kern w:val="0"/>
                <w:sz w:val="24"/>
                <w:szCs w:val="24"/>
              </w:rPr>
              <w:t>260.1</w:t>
            </w:r>
            <w:r>
              <w:rPr>
                <w:color w:val="auto"/>
                <w:kern w:val="0"/>
                <w:sz w:val="24"/>
                <w:szCs w:val="24"/>
              </w:rPr>
              <w:t>＝</w:t>
            </w:r>
            <w:r>
              <w:rPr>
                <w:rFonts w:hint="eastAsia"/>
                <w:color w:val="auto"/>
                <w:kern w:val="0"/>
                <w:sz w:val="24"/>
                <w:szCs w:val="24"/>
              </w:rPr>
              <w:t>270.25</w:t>
            </w:r>
            <w:r>
              <w:rPr>
                <w:color w:val="auto"/>
                <w:kern w:val="0"/>
                <w:sz w:val="24"/>
                <w:szCs w:val="24"/>
              </w:rPr>
              <w:t>m</w:t>
            </w:r>
            <w:r>
              <w:rPr>
                <w:color w:val="auto"/>
                <w:kern w:val="0"/>
                <w:sz w:val="24"/>
                <w:szCs w:val="24"/>
                <w:vertAlign w:val="superscript"/>
              </w:rPr>
              <w:t>3</w:t>
            </w:r>
          </w:p>
          <w:p w14:paraId="5C5322C7">
            <w:pPr>
              <w:adjustRightInd w:val="0"/>
              <w:spacing w:line="360" w:lineRule="auto"/>
              <w:ind w:firstLine="480" w:firstLineChars="200"/>
              <w:rPr>
                <w:b/>
                <w:bCs/>
                <w:color w:val="auto"/>
                <w:sz w:val="24"/>
              </w:rPr>
            </w:pPr>
            <w:r>
              <w:rPr>
                <w:color w:val="auto"/>
                <w:kern w:val="0"/>
                <w:sz w:val="24"/>
                <w:szCs w:val="24"/>
              </w:rPr>
              <w:t>根据计算，企业</w:t>
            </w:r>
            <w:r>
              <w:rPr>
                <w:rFonts w:hint="eastAsia"/>
                <w:color w:val="auto"/>
                <w:kern w:val="0"/>
                <w:sz w:val="24"/>
                <w:szCs w:val="24"/>
              </w:rPr>
              <w:t>需建设280</w:t>
            </w:r>
            <w:r>
              <w:rPr>
                <w:color w:val="auto"/>
                <w:kern w:val="0"/>
                <w:sz w:val="24"/>
                <w:szCs w:val="24"/>
              </w:rPr>
              <w:t>m</w:t>
            </w:r>
            <w:r>
              <w:rPr>
                <w:color w:val="auto"/>
                <w:kern w:val="0"/>
                <w:sz w:val="24"/>
                <w:szCs w:val="24"/>
                <w:vertAlign w:val="superscript"/>
              </w:rPr>
              <w:t>3</w:t>
            </w:r>
            <w:r>
              <w:rPr>
                <w:color w:val="auto"/>
                <w:kern w:val="0"/>
                <w:sz w:val="24"/>
                <w:szCs w:val="24"/>
              </w:rPr>
              <w:t>事故应急池</w:t>
            </w:r>
            <w:r>
              <w:rPr>
                <w:rFonts w:hint="eastAsia"/>
                <w:color w:val="auto"/>
                <w:kern w:val="0"/>
                <w:sz w:val="24"/>
                <w:szCs w:val="24"/>
              </w:rPr>
              <w:t>，</w:t>
            </w:r>
            <w:r>
              <w:rPr>
                <w:color w:val="auto"/>
                <w:kern w:val="0"/>
                <w:sz w:val="24"/>
                <w:szCs w:val="24"/>
              </w:rPr>
              <w:t>当发生事故时，能够保证事故状态下事故废水能够得到有效地收集，不会进入外环境，对环境造成污染。另外，事故状态下，雨水排口的截流阀必须关闭，确保消防废水进入废水收集系统，杜绝不经处理直接排入外环境。</w:t>
            </w:r>
          </w:p>
          <w:p w14:paraId="44AD4B1C">
            <w:pPr>
              <w:spacing w:line="360" w:lineRule="auto"/>
              <w:ind w:firstLine="482" w:firstLineChars="200"/>
              <w:rPr>
                <w:color w:val="auto"/>
                <w:sz w:val="24"/>
              </w:rPr>
            </w:pPr>
            <w:r>
              <w:rPr>
                <w:rFonts w:hint="eastAsia"/>
                <w:b/>
                <w:bCs/>
                <w:color w:val="auto"/>
                <w:sz w:val="24"/>
              </w:rPr>
              <w:t>应急监测方案：</w:t>
            </w:r>
          </w:p>
          <w:p w14:paraId="58400EBF">
            <w:pPr>
              <w:spacing w:line="360" w:lineRule="auto"/>
              <w:ind w:firstLine="480" w:firstLineChars="200"/>
              <w:rPr>
                <w:color w:val="auto"/>
                <w:sz w:val="24"/>
              </w:rPr>
            </w:pPr>
            <w:r>
              <w:rPr>
                <w:rFonts w:hint="eastAsia"/>
                <w:color w:val="auto"/>
                <w:sz w:val="24"/>
              </w:rPr>
              <w:t>泄漏物、火灾、爆炸事故产生的消防废液进入河道发生污染事件时，采样时以污染河道上游</w:t>
            </w:r>
            <w:r>
              <w:rPr>
                <w:color w:val="auto"/>
                <w:sz w:val="24"/>
              </w:rPr>
              <w:t>200m</w:t>
            </w:r>
            <w:r>
              <w:rPr>
                <w:rFonts w:hint="eastAsia"/>
                <w:color w:val="auto"/>
                <w:sz w:val="24"/>
              </w:rPr>
              <w:t>、下游</w:t>
            </w:r>
            <w:r>
              <w:rPr>
                <w:color w:val="auto"/>
                <w:sz w:val="24"/>
              </w:rPr>
              <w:t>300m</w:t>
            </w:r>
            <w:r>
              <w:rPr>
                <w:rFonts w:hint="eastAsia"/>
                <w:color w:val="auto"/>
                <w:sz w:val="24"/>
              </w:rPr>
              <w:t>处为主。采样时，需要采平行样品，一份在现场进行检测，一份加入保护剂后尽快送至实验室分析。若根据污染物质类型需要，应当使用塑料广口瓶对水体的沉积物采样密封后分析。</w:t>
            </w:r>
          </w:p>
          <w:p w14:paraId="65507D5B">
            <w:pPr>
              <w:spacing w:line="360" w:lineRule="auto"/>
              <w:ind w:firstLine="480" w:firstLineChars="200"/>
              <w:rPr>
                <w:color w:val="auto"/>
                <w:sz w:val="24"/>
              </w:rPr>
            </w:pPr>
            <w:r>
              <w:rPr>
                <w:rFonts w:hint="eastAsia"/>
                <w:color w:val="auto"/>
                <w:sz w:val="24"/>
              </w:rPr>
              <w:t>监测布点：污染河道上游</w:t>
            </w:r>
            <w:r>
              <w:rPr>
                <w:color w:val="auto"/>
                <w:sz w:val="24"/>
              </w:rPr>
              <w:t>200m</w:t>
            </w:r>
            <w:r>
              <w:rPr>
                <w:rFonts w:hint="eastAsia"/>
                <w:color w:val="auto"/>
                <w:sz w:val="24"/>
              </w:rPr>
              <w:t>、下游</w:t>
            </w:r>
            <w:r>
              <w:rPr>
                <w:color w:val="auto"/>
                <w:sz w:val="24"/>
              </w:rPr>
              <w:t>300m</w:t>
            </w:r>
            <w:r>
              <w:rPr>
                <w:rFonts w:hint="eastAsia"/>
                <w:color w:val="auto"/>
                <w:sz w:val="24"/>
              </w:rPr>
              <w:t>处、废水排放口、雨水排放口。</w:t>
            </w:r>
          </w:p>
          <w:p w14:paraId="1BD3C0E6">
            <w:pPr>
              <w:spacing w:line="360" w:lineRule="auto"/>
              <w:ind w:firstLine="480" w:firstLineChars="200"/>
              <w:rPr>
                <w:color w:val="auto"/>
                <w:sz w:val="24"/>
              </w:rPr>
            </w:pPr>
            <w:r>
              <w:rPr>
                <w:rFonts w:hint="eastAsia"/>
                <w:color w:val="auto"/>
                <w:sz w:val="24"/>
              </w:rPr>
              <w:t>监测因子：常规因子：</w:t>
            </w:r>
            <w:r>
              <w:rPr>
                <w:color w:val="auto"/>
                <w:sz w:val="24"/>
              </w:rPr>
              <w:t>pH</w:t>
            </w:r>
            <w:r>
              <w:rPr>
                <w:rFonts w:hint="eastAsia"/>
                <w:color w:val="auto"/>
                <w:sz w:val="24"/>
              </w:rPr>
              <w:t>、</w:t>
            </w:r>
            <w:r>
              <w:rPr>
                <w:color w:val="auto"/>
                <w:sz w:val="24"/>
              </w:rPr>
              <w:t>COD</w:t>
            </w:r>
            <w:r>
              <w:rPr>
                <w:rFonts w:hint="eastAsia"/>
                <w:color w:val="auto"/>
                <w:sz w:val="24"/>
              </w:rPr>
              <w:t>、氨氮、悬浮物、石油类等，视泄漏的污染因子确定。</w:t>
            </w:r>
          </w:p>
          <w:p w14:paraId="4051E817">
            <w:pPr>
              <w:spacing w:line="360" w:lineRule="auto"/>
              <w:ind w:firstLine="480" w:firstLineChars="200"/>
              <w:rPr>
                <w:rFonts w:hint="eastAsia"/>
                <w:b/>
                <w:bCs/>
                <w:color w:val="auto"/>
                <w:sz w:val="24"/>
                <w:szCs w:val="24"/>
              </w:rPr>
            </w:pPr>
            <w:r>
              <w:rPr>
                <w:rFonts w:hint="eastAsia"/>
                <w:color w:val="auto"/>
                <w:sz w:val="24"/>
              </w:rPr>
              <w:t>监测频率：每</w:t>
            </w:r>
            <w:r>
              <w:rPr>
                <w:color w:val="auto"/>
                <w:sz w:val="24"/>
              </w:rPr>
              <w:t>2h</w:t>
            </w:r>
            <w:r>
              <w:rPr>
                <w:rFonts w:hint="eastAsia"/>
                <w:color w:val="auto"/>
                <w:sz w:val="24"/>
              </w:rPr>
              <w:t>一次，连续监测</w:t>
            </w:r>
            <w:r>
              <w:rPr>
                <w:color w:val="auto"/>
                <w:sz w:val="24"/>
              </w:rPr>
              <w:t>2d</w:t>
            </w:r>
            <w:r>
              <w:rPr>
                <w:rFonts w:hint="eastAsia"/>
                <w:color w:val="auto"/>
                <w:sz w:val="24"/>
              </w:rPr>
              <w:t>以上，必要时可增加监测频次。之后，视污染物浓度递减。</w:t>
            </w:r>
          </w:p>
          <w:p w14:paraId="4E153C28">
            <w:pPr>
              <w:spacing w:line="360" w:lineRule="auto"/>
              <w:jc w:val="center"/>
              <w:rPr>
                <w:b/>
                <w:bCs/>
                <w:color w:val="auto"/>
                <w:sz w:val="24"/>
              </w:rPr>
            </w:pPr>
            <w:r>
              <w:rPr>
                <w:rFonts w:hint="eastAsia"/>
                <w:b/>
                <w:bCs/>
                <w:color w:val="auto"/>
                <w:sz w:val="24"/>
                <w:szCs w:val="24"/>
              </w:rPr>
              <w:t xml:space="preserve">表4-41  </w:t>
            </w:r>
            <w:r>
              <w:rPr>
                <w:rFonts w:hint="eastAsia"/>
                <w:b/>
                <w:bCs/>
                <w:color w:val="auto"/>
                <w:sz w:val="24"/>
              </w:rPr>
              <w:t>水质监测频次表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3975"/>
              <w:gridCol w:w="2949"/>
            </w:tblGrid>
            <w:tr w14:paraId="1FCE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tcPr>
                <w:p w14:paraId="5B6641E2">
                  <w:pPr>
                    <w:jc w:val="center"/>
                    <w:rPr>
                      <w:b/>
                      <w:bCs/>
                      <w:color w:val="auto"/>
                      <w:kern w:val="0"/>
                    </w:rPr>
                  </w:pPr>
                  <w:r>
                    <w:rPr>
                      <w:rFonts w:hint="eastAsia"/>
                      <w:b/>
                      <w:bCs/>
                      <w:color w:val="auto"/>
                      <w:kern w:val="0"/>
                    </w:rPr>
                    <w:t>监测点位</w:t>
                  </w:r>
                </w:p>
              </w:tc>
              <w:tc>
                <w:tcPr>
                  <w:tcW w:w="3975" w:type="dxa"/>
                </w:tcPr>
                <w:p w14:paraId="18FA8349">
                  <w:pPr>
                    <w:jc w:val="center"/>
                    <w:rPr>
                      <w:b/>
                      <w:bCs/>
                      <w:color w:val="auto"/>
                      <w:kern w:val="0"/>
                    </w:rPr>
                  </w:pPr>
                  <w:r>
                    <w:rPr>
                      <w:rFonts w:hint="eastAsia"/>
                      <w:b/>
                      <w:bCs/>
                      <w:color w:val="auto"/>
                      <w:kern w:val="0"/>
                    </w:rPr>
                    <w:t>检测频次</w:t>
                  </w:r>
                </w:p>
              </w:tc>
              <w:tc>
                <w:tcPr>
                  <w:tcW w:w="2949" w:type="dxa"/>
                </w:tcPr>
                <w:p w14:paraId="5EB350C3">
                  <w:pPr>
                    <w:jc w:val="center"/>
                    <w:rPr>
                      <w:b/>
                      <w:bCs/>
                      <w:color w:val="auto"/>
                      <w:kern w:val="0"/>
                    </w:rPr>
                  </w:pPr>
                  <w:r>
                    <w:rPr>
                      <w:rFonts w:hint="eastAsia"/>
                      <w:b/>
                      <w:bCs/>
                      <w:color w:val="auto"/>
                      <w:kern w:val="0"/>
                    </w:rPr>
                    <w:t>追踪检测</w:t>
                  </w:r>
                </w:p>
              </w:tc>
            </w:tr>
            <w:tr w14:paraId="7D4D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vAlign w:val="center"/>
                </w:tcPr>
                <w:p w14:paraId="5A72DFA5">
                  <w:pPr>
                    <w:jc w:val="center"/>
                    <w:rPr>
                      <w:color w:val="auto"/>
                      <w:kern w:val="0"/>
                    </w:rPr>
                  </w:pPr>
                  <w:r>
                    <w:rPr>
                      <w:rFonts w:hint="eastAsia"/>
                      <w:color w:val="auto"/>
                      <w:kern w:val="0"/>
                    </w:rPr>
                    <w:t>污染河道上游</w:t>
                  </w:r>
                  <w:r>
                    <w:rPr>
                      <w:color w:val="auto"/>
                      <w:kern w:val="0"/>
                    </w:rPr>
                    <w:t>200m</w:t>
                  </w:r>
                  <w:r>
                    <w:rPr>
                      <w:rFonts w:hint="eastAsia"/>
                      <w:color w:val="auto"/>
                      <w:kern w:val="0"/>
                    </w:rPr>
                    <w:t>、下游</w:t>
                  </w:r>
                  <w:r>
                    <w:rPr>
                      <w:color w:val="auto"/>
                      <w:kern w:val="0"/>
                    </w:rPr>
                    <w:t>300m</w:t>
                  </w:r>
                  <w:r>
                    <w:rPr>
                      <w:rFonts w:hint="eastAsia"/>
                      <w:color w:val="auto"/>
                      <w:kern w:val="0"/>
                    </w:rPr>
                    <w:t>处</w:t>
                  </w:r>
                </w:p>
              </w:tc>
              <w:tc>
                <w:tcPr>
                  <w:tcW w:w="3975" w:type="dxa"/>
                  <w:vAlign w:val="center"/>
                </w:tcPr>
                <w:p w14:paraId="7C17561E">
                  <w:pPr>
                    <w:jc w:val="center"/>
                    <w:rPr>
                      <w:color w:val="auto"/>
                      <w:kern w:val="0"/>
                    </w:rPr>
                  </w:pPr>
                  <w:r>
                    <w:rPr>
                      <w:rFonts w:hint="eastAsia"/>
                      <w:color w:val="auto"/>
                      <w:kern w:val="0"/>
                    </w:rPr>
                    <w:t>初始加密监测，初始平均每</w:t>
                  </w:r>
                  <w:r>
                    <w:rPr>
                      <w:color w:val="auto"/>
                      <w:kern w:val="0"/>
                    </w:rPr>
                    <w:t>2h</w:t>
                  </w:r>
                  <w:r>
                    <w:rPr>
                      <w:rFonts w:hint="eastAsia"/>
                      <w:color w:val="auto"/>
                      <w:kern w:val="0"/>
                    </w:rPr>
                    <w:t>一次，连续监测</w:t>
                  </w:r>
                  <w:r>
                    <w:rPr>
                      <w:color w:val="auto"/>
                      <w:kern w:val="0"/>
                    </w:rPr>
                    <w:t>2d</w:t>
                  </w:r>
                  <w:r>
                    <w:rPr>
                      <w:rFonts w:hint="eastAsia"/>
                      <w:color w:val="auto"/>
                      <w:kern w:val="0"/>
                    </w:rPr>
                    <w:t>以上，必要时可增加监测频次。之后，视污染物浓度递减。</w:t>
                  </w:r>
                </w:p>
              </w:tc>
              <w:tc>
                <w:tcPr>
                  <w:tcW w:w="2949" w:type="dxa"/>
                  <w:vAlign w:val="center"/>
                </w:tcPr>
                <w:p w14:paraId="4EF87F70">
                  <w:pPr>
                    <w:jc w:val="center"/>
                    <w:rPr>
                      <w:color w:val="auto"/>
                      <w:kern w:val="0"/>
                    </w:rPr>
                  </w:pPr>
                  <w:r>
                    <w:rPr>
                      <w:rFonts w:hint="eastAsia"/>
                      <w:color w:val="auto"/>
                      <w:kern w:val="0"/>
                    </w:rPr>
                    <w:t>监测浓度达到或已接近河道水质正常标准浓度限值浓度（IV类）为止。</w:t>
                  </w:r>
                </w:p>
              </w:tc>
            </w:tr>
            <w:tr w14:paraId="4035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vAlign w:val="center"/>
                </w:tcPr>
                <w:p w14:paraId="6E5364C3">
                  <w:pPr>
                    <w:jc w:val="center"/>
                    <w:rPr>
                      <w:color w:val="auto"/>
                      <w:kern w:val="0"/>
                    </w:rPr>
                  </w:pPr>
                  <w:r>
                    <w:rPr>
                      <w:rFonts w:hint="eastAsia"/>
                      <w:color w:val="auto"/>
                      <w:kern w:val="0"/>
                    </w:rPr>
                    <w:t>污水排放口</w:t>
                  </w:r>
                </w:p>
              </w:tc>
              <w:tc>
                <w:tcPr>
                  <w:tcW w:w="3975" w:type="dxa"/>
                  <w:vAlign w:val="center"/>
                </w:tcPr>
                <w:p w14:paraId="1A860ACF">
                  <w:pPr>
                    <w:jc w:val="center"/>
                    <w:rPr>
                      <w:color w:val="auto"/>
                      <w:kern w:val="0"/>
                    </w:rPr>
                  </w:pPr>
                  <w:r>
                    <w:rPr>
                      <w:rFonts w:hint="eastAsia"/>
                      <w:color w:val="auto"/>
                      <w:kern w:val="0"/>
                    </w:rPr>
                    <w:t>初始加密监测，初始平均每</w:t>
                  </w:r>
                  <w:r>
                    <w:rPr>
                      <w:color w:val="auto"/>
                      <w:kern w:val="0"/>
                    </w:rPr>
                    <w:t>2h</w:t>
                  </w:r>
                  <w:r>
                    <w:rPr>
                      <w:rFonts w:hint="eastAsia"/>
                      <w:color w:val="auto"/>
                      <w:kern w:val="0"/>
                    </w:rPr>
                    <w:t>一次，连续监测</w:t>
                  </w:r>
                  <w:r>
                    <w:rPr>
                      <w:color w:val="auto"/>
                      <w:kern w:val="0"/>
                    </w:rPr>
                    <w:t>2d</w:t>
                  </w:r>
                  <w:r>
                    <w:rPr>
                      <w:rFonts w:hint="eastAsia"/>
                      <w:color w:val="auto"/>
                      <w:kern w:val="0"/>
                    </w:rPr>
                    <w:t>以上，必要时可增加监测频次。</w:t>
                  </w:r>
                </w:p>
              </w:tc>
              <w:tc>
                <w:tcPr>
                  <w:tcW w:w="2949" w:type="dxa"/>
                  <w:vAlign w:val="center"/>
                </w:tcPr>
                <w:p w14:paraId="109A31B6">
                  <w:pPr>
                    <w:jc w:val="center"/>
                    <w:rPr>
                      <w:color w:val="auto"/>
                      <w:kern w:val="0"/>
                    </w:rPr>
                  </w:pPr>
                  <w:r>
                    <w:rPr>
                      <w:rFonts w:hint="eastAsia"/>
                      <w:color w:val="auto"/>
                      <w:kern w:val="0"/>
                    </w:rPr>
                    <w:t>监测浓度达到或已接近污水处理厂接管浓度。</w:t>
                  </w:r>
                </w:p>
              </w:tc>
            </w:tr>
            <w:tr w14:paraId="34E2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7" w:type="dxa"/>
                  <w:vAlign w:val="center"/>
                </w:tcPr>
                <w:p w14:paraId="3BCD95E3">
                  <w:pPr>
                    <w:jc w:val="center"/>
                    <w:rPr>
                      <w:color w:val="auto"/>
                      <w:kern w:val="0"/>
                    </w:rPr>
                  </w:pPr>
                  <w:r>
                    <w:rPr>
                      <w:rFonts w:hint="eastAsia"/>
                      <w:color w:val="auto"/>
                      <w:kern w:val="0"/>
                    </w:rPr>
                    <w:t>雨水排放口</w:t>
                  </w:r>
                </w:p>
              </w:tc>
              <w:tc>
                <w:tcPr>
                  <w:tcW w:w="3975" w:type="dxa"/>
                  <w:vAlign w:val="center"/>
                </w:tcPr>
                <w:p w14:paraId="0F7E43D8">
                  <w:pPr>
                    <w:jc w:val="center"/>
                    <w:rPr>
                      <w:color w:val="auto"/>
                      <w:kern w:val="0"/>
                    </w:rPr>
                  </w:pPr>
                  <w:r>
                    <w:rPr>
                      <w:rFonts w:hint="eastAsia"/>
                      <w:color w:val="auto"/>
                      <w:kern w:val="0"/>
                    </w:rPr>
                    <w:t>初始加密监测，初始平均每</w:t>
                  </w:r>
                  <w:r>
                    <w:rPr>
                      <w:color w:val="auto"/>
                      <w:kern w:val="0"/>
                    </w:rPr>
                    <w:t>2h</w:t>
                  </w:r>
                  <w:r>
                    <w:rPr>
                      <w:rFonts w:hint="eastAsia"/>
                      <w:color w:val="auto"/>
                      <w:kern w:val="0"/>
                    </w:rPr>
                    <w:t>一次，连续监测</w:t>
                  </w:r>
                  <w:r>
                    <w:rPr>
                      <w:color w:val="auto"/>
                      <w:kern w:val="0"/>
                    </w:rPr>
                    <w:t>2d</w:t>
                  </w:r>
                  <w:r>
                    <w:rPr>
                      <w:rFonts w:hint="eastAsia"/>
                      <w:color w:val="auto"/>
                      <w:kern w:val="0"/>
                    </w:rPr>
                    <w:t>以上，必要时可增加监测频次。</w:t>
                  </w:r>
                </w:p>
              </w:tc>
              <w:tc>
                <w:tcPr>
                  <w:tcW w:w="2949" w:type="dxa"/>
                  <w:vAlign w:val="center"/>
                </w:tcPr>
                <w:p w14:paraId="6FACFEE4">
                  <w:pPr>
                    <w:jc w:val="center"/>
                    <w:rPr>
                      <w:color w:val="auto"/>
                      <w:kern w:val="0"/>
                    </w:rPr>
                  </w:pPr>
                  <w:r>
                    <w:rPr>
                      <w:rFonts w:hint="eastAsia"/>
                      <w:color w:val="auto"/>
                      <w:kern w:val="0"/>
                    </w:rPr>
                    <w:t>监测浓度达到或已接近雨水排放浓度要求。</w:t>
                  </w:r>
                </w:p>
              </w:tc>
            </w:tr>
          </w:tbl>
          <w:p w14:paraId="5543D080">
            <w:pPr>
              <w:spacing w:line="360" w:lineRule="auto"/>
              <w:ind w:firstLine="480" w:firstLineChars="200"/>
              <w:rPr>
                <w:color w:val="auto"/>
                <w:sz w:val="24"/>
              </w:rPr>
            </w:pPr>
            <w:r>
              <w:rPr>
                <w:rFonts w:hint="eastAsia"/>
                <w:color w:val="auto"/>
                <w:sz w:val="24"/>
              </w:rPr>
              <w:t>6.4.2环境应急管理</w:t>
            </w:r>
          </w:p>
          <w:p w14:paraId="56103B35">
            <w:pPr>
              <w:spacing w:line="360" w:lineRule="auto"/>
              <w:ind w:firstLine="480" w:firstLineChars="200"/>
              <w:rPr>
                <w:color w:val="auto"/>
                <w:sz w:val="24"/>
              </w:rPr>
            </w:pPr>
            <w:r>
              <w:rPr>
                <w:rFonts w:hint="eastAsia"/>
                <w:color w:val="auto"/>
                <w:sz w:val="24"/>
              </w:rPr>
              <w:t>①突发环境事件应急预案编制要求</w:t>
            </w:r>
          </w:p>
          <w:p w14:paraId="42D3508C">
            <w:pPr>
              <w:spacing w:line="360" w:lineRule="auto"/>
              <w:ind w:firstLine="480" w:firstLineChars="200"/>
              <w:rPr>
                <w:color w:val="auto"/>
                <w:sz w:val="24"/>
              </w:rPr>
            </w:pPr>
            <w:r>
              <w:rPr>
                <w:rFonts w:hint="eastAsia"/>
                <w:color w:val="auto"/>
                <w:sz w:val="24"/>
              </w:rPr>
              <w:t>企业应根据《突发环境事件应急管理办法》《企事业单位和工业园区突发环境事件应急预案编制导则》（</w:t>
            </w:r>
            <w:r>
              <w:rPr>
                <w:color w:val="auto"/>
                <w:sz w:val="24"/>
              </w:rPr>
              <w:t>DB32/T3795-2020</w:t>
            </w:r>
            <w:r>
              <w:rPr>
                <w:rFonts w:hint="eastAsia"/>
                <w:color w:val="auto"/>
                <w:sz w:val="24"/>
              </w:rPr>
              <w:t>）等文件要求，加强建设项目环境影响评价与突发环境事件应急预案衔接，按规范编制突发环境事件应急预案编制并至环保主管部门备案，企业应根据应急预案内容定期开展演练和培训。</w:t>
            </w:r>
          </w:p>
          <w:p w14:paraId="10F432F5">
            <w:pPr>
              <w:spacing w:line="360" w:lineRule="auto"/>
              <w:ind w:firstLine="480" w:firstLineChars="200"/>
              <w:rPr>
                <w:color w:val="auto"/>
                <w:sz w:val="24"/>
              </w:rPr>
            </w:pPr>
            <w:r>
              <w:rPr>
                <w:rFonts w:hint="eastAsia"/>
                <w:color w:val="auto"/>
                <w:sz w:val="24"/>
              </w:rPr>
              <w:t>②突发环境事件隐患排查工作要求</w:t>
            </w:r>
          </w:p>
          <w:p w14:paraId="08F7F717">
            <w:pPr>
              <w:spacing w:line="360" w:lineRule="auto"/>
              <w:ind w:firstLine="480" w:firstLineChars="200"/>
              <w:rPr>
                <w:color w:val="auto"/>
                <w:sz w:val="24"/>
              </w:rPr>
            </w:pPr>
            <w:r>
              <w:rPr>
                <w:rFonts w:hint="eastAsia"/>
                <w:color w:val="auto"/>
                <w:sz w:val="24"/>
              </w:rPr>
              <w:t>根据《企业突发环境事件隐患排查和治理工作指南（试行）》等文件要求，企业应建立健全突发环境事件隐患排查治理制度，详细要求如下：</w:t>
            </w:r>
          </w:p>
          <w:p w14:paraId="012156E1">
            <w:pPr>
              <w:spacing w:line="360" w:lineRule="auto"/>
              <w:ind w:firstLine="480" w:firstLineChars="200"/>
              <w:rPr>
                <w:color w:val="auto"/>
                <w:sz w:val="24"/>
              </w:rPr>
            </w:pPr>
            <w:r>
              <w:rPr>
                <w:color w:val="auto"/>
                <w:sz w:val="24"/>
              </w:rPr>
              <w:t>（一）建立完善隐患排查治理管理机构</w:t>
            </w:r>
          </w:p>
          <w:p w14:paraId="2FE9D326">
            <w:pPr>
              <w:spacing w:line="360" w:lineRule="auto"/>
              <w:ind w:firstLine="480" w:firstLineChars="200"/>
              <w:rPr>
                <w:color w:val="auto"/>
                <w:sz w:val="24"/>
              </w:rPr>
            </w:pPr>
            <w:r>
              <w:rPr>
                <w:color w:val="auto"/>
                <w:sz w:val="24"/>
              </w:rPr>
              <w:t>企业应当建立并完善隐患排查管理机构，配备相应的管理和技术人员。</w:t>
            </w:r>
          </w:p>
          <w:p w14:paraId="14BED914">
            <w:pPr>
              <w:spacing w:line="360" w:lineRule="auto"/>
              <w:ind w:firstLine="480" w:firstLineChars="200"/>
              <w:rPr>
                <w:color w:val="auto"/>
                <w:sz w:val="24"/>
              </w:rPr>
            </w:pPr>
            <w:r>
              <w:rPr>
                <w:color w:val="auto"/>
                <w:sz w:val="24"/>
              </w:rPr>
              <w:t>（二）建立隐患排查治理制度</w:t>
            </w:r>
          </w:p>
          <w:p w14:paraId="1E85BB6E">
            <w:pPr>
              <w:spacing w:line="360" w:lineRule="auto"/>
              <w:ind w:firstLine="480" w:firstLineChars="200"/>
              <w:rPr>
                <w:color w:val="auto"/>
                <w:sz w:val="24"/>
              </w:rPr>
            </w:pPr>
            <w:r>
              <w:rPr>
                <w:color w:val="auto"/>
                <w:sz w:val="24"/>
              </w:rPr>
              <w:t>企业应当按照下列要求建立健全隐患排查治理制度：</w:t>
            </w:r>
          </w:p>
          <w:p w14:paraId="22C21BE4">
            <w:pPr>
              <w:spacing w:line="360" w:lineRule="auto"/>
              <w:ind w:firstLine="480" w:firstLineChars="200"/>
              <w:rPr>
                <w:color w:val="auto"/>
                <w:sz w:val="24"/>
              </w:rPr>
            </w:pPr>
            <w:r>
              <w:rPr>
                <w:color w:val="auto"/>
                <w:sz w:val="24"/>
              </w:rPr>
              <w:t>建立隐患排查治理责任制。企业应当建立健全从主要负责人到每位作业人员，覆盖各部门、各单位、各岗位的隐患排查治理责任体系；明确主要负责人对本企业隐患排查治理工作全面负责，统一组织、领导和协调本单位隐患排查治理工作，及时掌握、监督重大隐患治理情况；明确分管隐患排查治理工作的组织机构、责任人和责任分工，按照生产区、储运区或车间、工段等划分排查区域，明确每个区域的责任人，逐级建立并落实隐患排查治理岗位责任制。</w:t>
            </w:r>
          </w:p>
          <w:p w14:paraId="42FC18F1">
            <w:pPr>
              <w:spacing w:line="360" w:lineRule="auto"/>
              <w:ind w:firstLine="480" w:firstLineChars="200"/>
              <w:rPr>
                <w:color w:val="auto"/>
                <w:sz w:val="24"/>
              </w:rPr>
            </w:pPr>
            <w:r>
              <w:rPr>
                <w:color w:val="auto"/>
                <w:sz w:val="24"/>
              </w:rPr>
              <w:t>制定突发环境事件风险防控设施的操作规程和检查、运行、维修与维护等规定，保证资金投入，确保各设施处于正常完好状态。</w:t>
            </w:r>
          </w:p>
          <w:p w14:paraId="3C25C96F">
            <w:pPr>
              <w:spacing w:line="360" w:lineRule="auto"/>
              <w:ind w:firstLine="480" w:firstLineChars="200"/>
              <w:rPr>
                <w:color w:val="auto"/>
                <w:sz w:val="24"/>
              </w:rPr>
            </w:pPr>
            <w:r>
              <w:rPr>
                <w:color w:val="auto"/>
                <w:sz w:val="24"/>
              </w:rPr>
              <w:t>建立自查、自报、自改、自验的隐患排查治理组织实施制度。</w:t>
            </w:r>
          </w:p>
          <w:p w14:paraId="073906AA">
            <w:pPr>
              <w:spacing w:line="360" w:lineRule="auto"/>
              <w:ind w:firstLine="480" w:firstLineChars="200"/>
              <w:rPr>
                <w:color w:val="auto"/>
                <w:sz w:val="24"/>
              </w:rPr>
            </w:pPr>
            <w:r>
              <w:rPr>
                <w:color w:val="auto"/>
                <w:sz w:val="24"/>
              </w:rPr>
              <w:t>如实记录隐患排查治理情况，形成档案文件并做好存档。</w:t>
            </w:r>
          </w:p>
          <w:p w14:paraId="7A4DC391">
            <w:pPr>
              <w:spacing w:line="360" w:lineRule="auto"/>
              <w:ind w:firstLine="480" w:firstLineChars="200"/>
              <w:rPr>
                <w:color w:val="auto"/>
                <w:sz w:val="24"/>
              </w:rPr>
            </w:pPr>
            <w:r>
              <w:rPr>
                <w:color w:val="auto"/>
                <w:sz w:val="24"/>
              </w:rPr>
              <w:t>及时修订企业突发环境事件应急预案、完善相关突发环境事件风险防控措施。</w:t>
            </w:r>
          </w:p>
          <w:p w14:paraId="2442A339">
            <w:pPr>
              <w:spacing w:line="360" w:lineRule="auto"/>
              <w:ind w:firstLine="480" w:firstLineChars="200"/>
              <w:rPr>
                <w:color w:val="auto"/>
                <w:sz w:val="24"/>
              </w:rPr>
            </w:pPr>
            <w:r>
              <w:rPr>
                <w:color w:val="auto"/>
                <w:sz w:val="24"/>
              </w:rPr>
              <w:t>定期对员工进行隐患排查治理相关知识的宣传和培训。</w:t>
            </w:r>
          </w:p>
          <w:p w14:paraId="3A55CFC8">
            <w:pPr>
              <w:spacing w:line="360" w:lineRule="auto"/>
              <w:ind w:firstLine="480" w:firstLineChars="200"/>
              <w:rPr>
                <w:color w:val="auto"/>
                <w:sz w:val="24"/>
              </w:rPr>
            </w:pPr>
            <w:r>
              <w:rPr>
                <w:color w:val="auto"/>
                <w:sz w:val="24"/>
              </w:rPr>
              <w:t>有条件的企业应当建立与企业相关信息化管理系统联网的突发环境事件隐患排查治理信息系统。</w:t>
            </w:r>
          </w:p>
          <w:p w14:paraId="6509CD84">
            <w:pPr>
              <w:spacing w:line="360" w:lineRule="auto"/>
              <w:ind w:firstLine="480" w:firstLineChars="200"/>
              <w:rPr>
                <w:color w:val="auto"/>
                <w:sz w:val="24"/>
              </w:rPr>
            </w:pPr>
            <w:r>
              <w:rPr>
                <w:color w:val="auto"/>
                <w:sz w:val="24"/>
              </w:rPr>
              <w:t>（三）明确隐患排查方式和频次</w:t>
            </w:r>
          </w:p>
          <w:p w14:paraId="24272402">
            <w:pPr>
              <w:spacing w:line="360" w:lineRule="auto"/>
              <w:ind w:firstLine="480" w:firstLineChars="200"/>
              <w:rPr>
                <w:color w:val="auto"/>
                <w:sz w:val="24"/>
              </w:rPr>
            </w:pPr>
            <w:r>
              <w:rPr>
                <w:color w:val="auto"/>
                <w:sz w:val="24"/>
              </w:rPr>
              <w:t>企业应当综合考虑企业自身突发环境事件风险等级、生产工况等因素合理制定年度工作计划，明确排查频次、排查规模、排查项目等内容。</w:t>
            </w:r>
          </w:p>
          <w:p w14:paraId="0EA14827">
            <w:pPr>
              <w:spacing w:line="360" w:lineRule="auto"/>
              <w:ind w:firstLine="480" w:firstLineChars="200"/>
              <w:rPr>
                <w:color w:val="auto"/>
                <w:sz w:val="24"/>
              </w:rPr>
            </w:pPr>
            <w:r>
              <w:rPr>
                <w:color w:val="auto"/>
                <w:sz w:val="24"/>
              </w:rPr>
              <w:t>根据排查频次、排查规模、排查项目不同，排查可分为综合排查、日常排查、专项排查及抽查等方式。企业应建立以日常排查为主的隐患排查工作机制，及时发现并治理隐患。</w:t>
            </w:r>
          </w:p>
          <w:p w14:paraId="6CC1F442">
            <w:pPr>
              <w:spacing w:line="360" w:lineRule="auto"/>
              <w:ind w:firstLine="480" w:firstLineChars="200"/>
              <w:rPr>
                <w:color w:val="auto"/>
                <w:sz w:val="24"/>
              </w:rPr>
            </w:pPr>
            <w:r>
              <w:rPr>
                <w:color w:val="auto"/>
                <w:sz w:val="24"/>
              </w:rPr>
              <w:t>综合排查是指企业以厂区为单位开展全面排查，一年应不少于一次。</w:t>
            </w:r>
          </w:p>
          <w:p w14:paraId="69B8A26D">
            <w:pPr>
              <w:spacing w:line="360" w:lineRule="auto"/>
              <w:ind w:firstLine="480" w:firstLineChars="200"/>
              <w:rPr>
                <w:color w:val="auto"/>
                <w:sz w:val="24"/>
              </w:rPr>
            </w:pPr>
            <w:r>
              <w:rPr>
                <w:color w:val="auto"/>
                <w:sz w:val="24"/>
              </w:rPr>
              <w:t>日常排查是指以班组、工段、车间为单位，组织的对单个或几个项目采取日常的、巡视性的排查工作，其频次根据具体排查项目确定。一月应不少于一次。</w:t>
            </w:r>
          </w:p>
          <w:p w14:paraId="21027ADE">
            <w:pPr>
              <w:spacing w:line="360" w:lineRule="auto"/>
              <w:ind w:firstLine="480" w:firstLineChars="200"/>
              <w:rPr>
                <w:color w:val="auto"/>
                <w:sz w:val="24"/>
              </w:rPr>
            </w:pPr>
            <w:r>
              <w:rPr>
                <w:color w:val="auto"/>
                <w:sz w:val="24"/>
              </w:rPr>
              <w:t>专项排查是在特定时间或对特定区域、设备、措施进行的专门性排查。其频次根据实际需要确定。</w:t>
            </w:r>
          </w:p>
          <w:p w14:paraId="73856170">
            <w:pPr>
              <w:spacing w:line="360" w:lineRule="auto"/>
              <w:ind w:firstLine="480" w:firstLineChars="200"/>
              <w:rPr>
                <w:color w:val="auto"/>
                <w:sz w:val="24"/>
              </w:rPr>
            </w:pPr>
            <w:r>
              <w:rPr>
                <w:color w:val="auto"/>
                <w:sz w:val="24"/>
              </w:rPr>
              <w:t>企业可根据自身管理流程，采取抽查方式排查隐患。</w:t>
            </w:r>
          </w:p>
          <w:p w14:paraId="65C47F1F">
            <w:pPr>
              <w:spacing w:line="360" w:lineRule="auto"/>
              <w:ind w:firstLine="480" w:firstLineChars="200"/>
              <w:rPr>
                <w:color w:val="auto"/>
                <w:sz w:val="24"/>
              </w:rPr>
            </w:pPr>
            <w:r>
              <w:rPr>
                <w:color w:val="auto"/>
                <w:sz w:val="24"/>
              </w:rPr>
              <w:t>在完成年度计划的基础上，当出现下列情况时，应当及时组织隐患排查：</w:t>
            </w:r>
          </w:p>
          <w:p w14:paraId="61B46651">
            <w:pPr>
              <w:spacing w:line="360" w:lineRule="auto"/>
              <w:ind w:firstLine="480" w:firstLineChars="200"/>
              <w:rPr>
                <w:color w:val="auto"/>
                <w:sz w:val="24"/>
              </w:rPr>
            </w:pPr>
            <w:r>
              <w:rPr>
                <w:color w:val="auto"/>
                <w:sz w:val="24"/>
              </w:rPr>
              <w:t>（1）出现不符合新颁布、修订的相关法律、法规、标准、产业政策等情况的；</w:t>
            </w:r>
          </w:p>
          <w:p w14:paraId="5007B2E0">
            <w:pPr>
              <w:spacing w:line="360" w:lineRule="auto"/>
              <w:ind w:firstLine="480" w:firstLineChars="200"/>
              <w:rPr>
                <w:color w:val="auto"/>
                <w:sz w:val="24"/>
              </w:rPr>
            </w:pPr>
            <w:r>
              <w:rPr>
                <w:color w:val="auto"/>
                <w:sz w:val="24"/>
              </w:rPr>
              <w:t>（2）企业有新建、改建、扩建项目的；</w:t>
            </w:r>
          </w:p>
          <w:p w14:paraId="4B14019F">
            <w:pPr>
              <w:spacing w:line="360" w:lineRule="auto"/>
              <w:ind w:firstLine="480" w:firstLineChars="200"/>
              <w:rPr>
                <w:color w:val="auto"/>
                <w:sz w:val="24"/>
              </w:rPr>
            </w:pPr>
            <w:r>
              <w:rPr>
                <w:color w:val="auto"/>
                <w:sz w:val="24"/>
              </w:rPr>
              <w:t>（3）企业突发环境事件风险物质发生重大变化导致突发环境事件风险等级发生变化的；</w:t>
            </w:r>
          </w:p>
          <w:p w14:paraId="019F7109">
            <w:pPr>
              <w:spacing w:line="360" w:lineRule="auto"/>
              <w:ind w:firstLine="480" w:firstLineChars="200"/>
              <w:rPr>
                <w:color w:val="auto"/>
                <w:sz w:val="24"/>
              </w:rPr>
            </w:pPr>
            <w:r>
              <w:rPr>
                <w:color w:val="auto"/>
                <w:sz w:val="24"/>
              </w:rPr>
              <w:t>（4）企业管理组织应急指挥体系机构、人员与职责发生重大变化的；</w:t>
            </w:r>
          </w:p>
          <w:p w14:paraId="35B884C5">
            <w:pPr>
              <w:spacing w:line="360" w:lineRule="auto"/>
              <w:ind w:firstLine="480" w:firstLineChars="200"/>
              <w:rPr>
                <w:color w:val="auto"/>
                <w:sz w:val="24"/>
              </w:rPr>
            </w:pPr>
            <w:r>
              <w:rPr>
                <w:color w:val="auto"/>
                <w:sz w:val="24"/>
              </w:rPr>
              <w:t>（5）企业生产废水系统、雨水系统、清净下水系统、事故排水系统发生变化的；</w:t>
            </w:r>
          </w:p>
          <w:p w14:paraId="0C955B46">
            <w:pPr>
              <w:spacing w:line="360" w:lineRule="auto"/>
              <w:ind w:firstLine="480" w:firstLineChars="200"/>
              <w:rPr>
                <w:color w:val="auto"/>
                <w:sz w:val="24"/>
              </w:rPr>
            </w:pPr>
            <w:r>
              <w:rPr>
                <w:color w:val="auto"/>
                <w:sz w:val="24"/>
              </w:rPr>
              <w:t>（6）企业废水总排口、雨水排口、清净下水排口与水环境风险受体连接通道发生变化的；</w:t>
            </w:r>
          </w:p>
          <w:p w14:paraId="46C6E9D3">
            <w:pPr>
              <w:spacing w:line="360" w:lineRule="auto"/>
              <w:ind w:firstLine="480" w:firstLineChars="200"/>
              <w:rPr>
                <w:color w:val="auto"/>
                <w:sz w:val="24"/>
              </w:rPr>
            </w:pPr>
            <w:r>
              <w:rPr>
                <w:color w:val="auto"/>
                <w:sz w:val="24"/>
              </w:rPr>
              <w:t>（7）企业周边大气和水环境风险受体发生变化的；</w:t>
            </w:r>
          </w:p>
          <w:p w14:paraId="692EE06F">
            <w:pPr>
              <w:spacing w:line="360" w:lineRule="auto"/>
              <w:ind w:firstLine="480" w:firstLineChars="200"/>
              <w:rPr>
                <w:color w:val="auto"/>
                <w:sz w:val="24"/>
              </w:rPr>
            </w:pPr>
            <w:r>
              <w:rPr>
                <w:color w:val="auto"/>
                <w:sz w:val="24"/>
              </w:rPr>
              <w:t>（8）季节转换或发布气象灾害预警、地质地震灾害预报的；</w:t>
            </w:r>
          </w:p>
          <w:p w14:paraId="3EA6426B">
            <w:pPr>
              <w:spacing w:line="360" w:lineRule="auto"/>
              <w:ind w:firstLine="480" w:firstLineChars="200"/>
              <w:rPr>
                <w:color w:val="auto"/>
                <w:sz w:val="24"/>
              </w:rPr>
            </w:pPr>
            <w:r>
              <w:rPr>
                <w:color w:val="auto"/>
                <w:sz w:val="24"/>
              </w:rPr>
              <w:t>（9）敏感时期、重大节假日或重大活动前；</w:t>
            </w:r>
          </w:p>
          <w:p w14:paraId="30093569">
            <w:pPr>
              <w:spacing w:line="360" w:lineRule="auto"/>
              <w:ind w:firstLine="480" w:firstLineChars="200"/>
              <w:rPr>
                <w:color w:val="auto"/>
                <w:sz w:val="24"/>
              </w:rPr>
            </w:pPr>
            <w:r>
              <w:rPr>
                <w:color w:val="auto"/>
                <w:sz w:val="24"/>
              </w:rPr>
              <w:t>（10）突发环境事件发生后或本地区其他同类企业发生突发环境事件的；</w:t>
            </w:r>
          </w:p>
          <w:p w14:paraId="10EF2E21">
            <w:pPr>
              <w:spacing w:line="360" w:lineRule="auto"/>
              <w:ind w:firstLine="480" w:firstLineChars="200"/>
              <w:rPr>
                <w:color w:val="auto"/>
                <w:sz w:val="24"/>
              </w:rPr>
            </w:pPr>
            <w:r>
              <w:rPr>
                <w:color w:val="auto"/>
                <w:sz w:val="24"/>
              </w:rPr>
              <w:t>（11）发生生产安全事故或自然灾害的；</w:t>
            </w:r>
          </w:p>
          <w:p w14:paraId="7530E140">
            <w:pPr>
              <w:spacing w:line="360" w:lineRule="auto"/>
              <w:ind w:firstLine="480" w:firstLineChars="200"/>
              <w:rPr>
                <w:color w:val="auto"/>
                <w:sz w:val="24"/>
              </w:rPr>
            </w:pPr>
            <w:r>
              <w:rPr>
                <w:color w:val="auto"/>
                <w:sz w:val="24"/>
              </w:rPr>
              <w:t>（12）企业停产后恢复生产前。</w:t>
            </w:r>
          </w:p>
          <w:p w14:paraId="063C1B16">
            <w:pPr>
              <w:spacing w:line="360" w:lineRule="auto"/>
              <w:ind w:firstLine="480" w:firstLineChars="200"/>
              <w:rPr>
                <w:color w:val="auto"/>
                <w:sz w:val="24"/>
              </w:rPr>
            </w:pPr>
            <w:r>
              <w:rPr>
                <w:color w:val="auto"/>
                <w:sz w:val="24"/>
              </w:rPr>
              <w:t>（四）隐患排查治理的组织实施</w:t>
            </w:r>
          </w:p>
          <w:p w14:paraId="000482AC">
            <w:pPr>
              <w:spacing w:line="360" w:lineRule="auto"/>
              <w:ind w:firstLine="480" w:firstLineChars="200"/>
              <w:rPr>
                <w:color w:val="auto"/>
                <w:sz w:val="24"/>
              </w:rPr>
            </w:pPr>
            <w:r>
              <w:rPr>
                <w:color w:val="auto"/>
                <w:sz w:val="24"/>
              </w:rPr>
              <w:t>（1）自查。</w:t>
            </w:r>
          </w:p>
          <w:p w14:paraId="673F65D7">
            <w:pPr>
              <w:spacing w:line="360" w:lineRule="auto"/>
              <w:ind w:firstLine="480" w:firstLineChars="200"/>
              <w:rPr>
                <w:color w:val="auto"/>
                <w:sz w:val="24"/>
              </w:rPr>
            </w:pPr>
            <w:r>
              <w:rPr>
                <w:color w:val="auto"/>
                <w:sz w:val="24"/>
              </w:rPr>
              <w:t>企业根据自身实际制定隐患排查表，包括所有突发环境事件风险防控设施及其具体位置、排查时间、现场排查负责人（签字）、排查项目现状、是否为隐患、可能导致的危害、隐患级别、完成时间等内容。</w:t>
            </w:r>
          </w:p>
          <w:p w14:paraId="0189EA97">
            <w:pPr>
              <w:spacing w:line="360" w:lineRule="auto"/>
              <w:ind w:firstLine="480" w:firstLineChars="200"/>
              <w:rPr>
                <w:color w:val="auto"/>
                <w:sz w:val="24"/>
              </w:rPr>
            </w:pPr>
            <w:r>
              <w:rPr>
                <w:color w:val="auto"/>
                <w:sz w:val="24"/>
              </w:rPr>
              <w:t>（2）自报。</w:t>
            </w:r>
          </w:p>
          <w:p w14:paraId="6BA3E6B1">
            <w:pPr>
              <w:spacing w:line="360" w:lineRule="auto"/>
              <w:ind w:firstLine="480" w:firstLineChars="200"/>
              <w:rPr>
                <w:color w:val="auto"/>
                <w:sz w:val="24"/>
              </w:rPr>
            </w:pPr>
            <w:r>
              <w:rPr>
                <w:color w:val="auto"/>
                <w:sz w:val="24"/>
              </w:rPr>
              <w:t>企业的非管理人员发现隐患应当立即向现场管理人员或者本单位有关负责人报告；管理人员在检查中发现隐患应当向本单位有关负责人报告。接到报告的人员应当及时予以处理。在日常交接班过程中，做好隐患治理情况交接工作；隐患治理过程中，明确每一工作节点的责任人。</w:t>
            </w:r>
          </w:p>
          <w:p w14:paraId="7A284A38">
            <w:pPr>
              <w:spacing w:line="360" w:lineRule="auto"/>
              <w:ind w:firstLine="480" w:firstLineChars="200"/>
              <w:rPr>
                <w:color w:val="auto"/>
                <w:sz w:val="24"/>
              </w:rPr>
            </w:pPr>
            <w:r>
              <w:rPr>
                <w:color w:val="auto"/>
                <w:sz w:val="24"/>
              </w:rPr>
              <w:t>（3）自改。</w:t>
            </w:r>
          </w:p>
          <w:p w14:paraId="1BBEC489">
            <w:pPr>
              <w:spacing w:line="360" w:lineRule="auto"/>
              <w:ind w:firstLine="480" w:firstLineChars="200"/>
              <w:rPr>
                <w:color w:val="auto"/>
                <w:sz w:val="24"/>
              </w:rPr>
            </w:pPr>
            <w:r>
              <w:rPr>
                <w:color w:val="auto"/>
                <w:sz w:val="24"/>
              </w:rPr>
              <w:t>一般隐患必须确定责任人，立即组织治理并确定完成时限，治理完成情况要由企业相关负责人签字确认，予以销号。</w:t>
            </w:r>
          </w:p>
          <w:p w14:paraId="1432384A">
            <w:pPr>
              <w:spacing w:line="360" w:lineRule="auto"/>
              <w:ind w:firstLine="480" w:firstLineChars="200"/>
              <w:rPr>
                <w:color w:val="auto"/>
                <w:sz w:val="24"/>
              </w:rPr>
            </w:pPr>
            <w:r>
              <w:rPr>
                <w:color w:val="auto"/>
                <w:sz w:val="24"/>
              </w:rPr>
              <w:t>重大隐患要制定治理方案，治理方案应包括：治理目标、完成时间和达标要求、治理方法和措施、资金和物资、负责治理的机构和人员责任、治理过程中的风险防控和应急措施或应急预案。重大隐患治理方案应报企业相关负责人签发，抄送企业相关部门落实治理。</w:t>
            </w:r>
          </w:p>
          <w:p w14:paraId="68D41D35">
            <w:pPr>
              <w:spacing w:line="360" w:lineRule="auto"/>
              <w:ind w:firstLine="480" w:firstLineChars="200"/>
              <w:rPr>
                <w:color w:val="auto"/>
                <w:sz w:val="24"/>
              </w:rPr>
            </w:pPr>
            <w:r>
              <w:rPr>
                <w:color w:val="auto"/>
                <w:sz w:val="24"/>
              </w:rPr>
              <w:t>企业负责人要及时掌握重大隐患治理进度，可指定专门负责人对治理进度进行跟踪监控，对不能按期完成治理的重大隐患，及时发出督办通知，加大治理力度。</w:t>
            </w:r>
          </w:p>
          <w:p w14:paraId="02E39B7C">
            <w:pPr>
              <w:spacing w:line="360" w:lineRule="auto"/>
              <w:ind w:firstLine="480" w:firstLineChars="200"/>
              <w:rPr>
                <w:color w:val="auto"/>
                <w:sz w:val="24"/>
              </w:rPr>
            </w:pPr>
            <w:r>
              <w:rPr>
                <w:color w:val="auto"/>
                <w:sz w:val="24"/>
              </w:rPr>
              <w:t>（4）自验。</w:t>
            </w:r>
          </w:p>
          <w:p w14:paraId="01B07676">
            <w:pPr>
              <w:spacing w:line="360" w:lineRule="auto"/>
              <w:ind w:firstLine="480" w:firstLineChars="200"/>
              <w:rPr>
                <w:color w:val="auto"/>
                <w:sz w:val="24"/>
              </w:rPr>
            </w:pPr>
            <w:r>
              <w:rPr>
                <w:color w:val="auto"/>
                <w:sz w:val="24"/>
              </w:rPr>
              <w:t>重大隐患治理结束后企业应组织技术人员和专家对治理效果进行评估和验收，编制重大隐患治理验收报告，由企业相关负责人签字确认，予以销号。</w:t>
            </w:r>
          </w:p>
          <w:p w14:paraId="792C76F6">
            <w:pPr>
              <w:spacing w:line="360" w:lineRule="auto"/>
              <w:ind w:firstLine="480" w:firstLineChars="200"/>
              <w:rPr>
                <w:color w:val="auto"/>
                <w:sz w:val="24"/>
              </w:rPr>
            </w:pPr>
            <w:r>
              <w:rPr>
                <w:color w:val="auto"/>
                <w:sz w:val="24"/>
              </w:rPr>
              <w:t>（五）加强宣传培训和演练</w:t>
            </w:r>
          </w:p>
          <w:p w14:paraId="397FC0A5">
            <w:pPr>
              <w:spacing w:line="360" w:lineRule="auto"/>
              <w:ind w:firstLine="480" w:firstLineChars="200"/>
              <w:rPr>
                <w:color w:val="auto"/>
                <w:sz w:val="24"/>
              </w:rPr>
            </w:pPr>
            <w:r>
              <w:rPr>
                <w:color w:val="auto"/>
                <w:sz w:val="24"/>
              </w:rPr>
              <w:t>企业应当定期就企业突发环境事件应急管理制度、突发环境事件风险防控措施的操作要求、隐患排查治理案例等开展宣传和培训，并通过演练检验各项突发环境事件风险防控措施的可操作性，提高从业人员隐患排查治理能力和风险防范水平。如实记录培训、演练的时间、内容、参加人员以及考核结果等情况，并将培训情况备案存档。</w:t>
            </w:r>
          </w:p>
          <w:p w14:paraId="5D5EEB4D">
            <w:pPr>
              <w:spacing w:line="360" w:lineRule="auto"/>
              <w:ind w:firstLine="480" w:firstLineChars="200"/>
              <w:rPr>
                <w:color w:val="auto"/>
                <w:sz w:val="24"/>
              </w:rPr>
            </w:pPr>
            <w:r>
              <w:rPr>
                <w:color w:val="auto"/>
                <w:sz w:val="24"/>
              </w:rPr>
              <w:t>（六）建立档案</w:t>
            </w:r>
          </w:p>
          <w:p w14:paraId="134C7B9D">
            <w:pPr>
              <w:spacing w:line="360" w:lineRule="auto"/>
              <w:ind w:firstLine="480" w:firstLineChars="200"/>
              <w:rPr>
                <w:color w:val="auto"/>
                <w:sz w:val="24"/>
              </w:rPr>
            </w:pPr>
            <w:r>
              <w:rPr>
                <w:color w:val="auto"/>
                <w:sz w:val="24"/>
              </w:rPr>
              <w:t>及时建立隐患排查治理档案。隐患排查治理档案包括企业隐患分级标准、隐患排查治理制度、年度隐患排查治理计划、隐患排查表、隐患报告单、重大隐患治理方案、重大隐患治理验收报告、培训和演练记录以及相关会议纪要、书面报告等隐患排查治理过程中形成的各种书面材料。隐患排查治理档案应至少留存五年，以备环境保护主管部门抽查。</w:t>
            </w:r>
          </w:p>
          <w:p w14:paraId="07C8D1AB">
            <w:pPr>
              <w:spacing w:line="360" w:lineRule="auto"/>
              <w:ind w:firstLine="480" w:firstLineChars="200"/>
              <w:rPr>
                <w:color w:val="auto"/>
                <w:sz w:val="24"/>
              </w:rPr>
            </w:pPr>
            <w:r>
              <w:rPr>
                <w:rFonts w:hint="eastAsia"/>
                <w:color w:val="auto"/>
                <w:sz w:val="24"/>
              </w:rPr>
              <w:t>③环境应急物资装备的配备</w:t>
            </w:r>
          </w:p>
          <w:p w14:paraId="4011BBC3">
            <w:pPr>
              <w:spacing w:line="360" w:lineRule="auto"/>
              <w:ind w:firstLine="480" w:firstLineChars="200"/>
              <w:rPr>
                <w:rFonts w:hint="eastAsia"/>
                <w:b/>
                <w:bCs/>
                <w:color w:val="auto"/>
                <w:sz w:val="24"/>
                <w:szCs w:val="24"/>
              </w:rPr>
            </w:pPr>
            <w:r>
              <w:rPr>
                <w:rFonts w:hint="eastAsia"/>
                <w:color w:val="auto"/>
                <w:sz w:val="24"/>
              </w:rPr>
              <w:t>参照《环境应急资源调查指南》（试行）附录</w:t>
            </w:r>
            <w:r>
              <w:rPr>
                <w:color w:val="auto"/>
                <w:sz w:val="24"/>
              </w:rPr>
              <w:t>A</w:t>
            </w:r>
            <w:r>
              <w:rPr>
                <w:rFonts w:hint="eastAsia"/>
                <w:color w:val="auto"/>
                <w:sz w:val="24"/>
              </w:rPr>
              <w:t>，根据企业原辅料使用情况及生产工艺，企业应急物资建议配备情况见下表：</w:t>
            </w:r>
          </w:p>
          <w:p w14:paraId="7F69BB66">
            <w:pPr>
              <w:spacing w:line="360" w:lineRule="auto"/>
              <w:jc w:val="center"/>
              <w:rPr>
                <w:b/>
                <w:bCs/>
                <w:color w:val="auto"/>
                <w:sz w:val="24"/>
              </w:rPr>
            </w:pPr>
            <w:r>
              <w:rPr>
                <w:rFonts w:hint="eastAsia"/>
                <w:b/>
                <w:bCs/>
                <w:color w:val="auto"/>
                <w:sz w:val="24"/>
                <w:szCs w:val="24"/>
              </w:rPr>
              <w:t xml:space="preserve">表4-42  </w:t>
            </w:r>
            <w:r>
              <w:rPr>
                <w:rFonts w:hint="eastAsia"/>
                <w:b/>
                <w:bCs/>
                <w:color w:val="auto"/>
                <w:sz w:val="24"/>
              </w:rPr>
              <w:t>企业应急物资及装备建议配备情况一览表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089"/>
              <w:gridCol w:w="3769"/>
              <w:gridCol w:w="1814"/>
              <w:gridCol w:w="1814"/>
            </w:tblGrid>
            <w:tr w14:paraId="6ABA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5BB4EFD0">
                  <w:pPr>
                    <w:jc w:val="center"/>
                    <w:rPr>
                      <w:b/>
                      <w:bCs/>
                      <w:color w:val="auto"/>
                      <w:kern w:val="0"/>
                    </w:rPr>
                  </w:pPr>
                  <w:r>
                    <w:rPr>
                      <w:rFonts w:hint="eastAsia"/>
                      <w:b/>
                      <w:bCs/>
                      <w:color w:val="auto"/>
                      <w:kern w:val="0"/>
                    </w:rPr>
                    <w:t>序号</w:t>
                  </w:r>
                </w:p>
              </w:tc>
              <w:tc>
                <w:tcPr>
                  <w:tcW w:w="1482" w:type="dxa"/>
                  <w:vAlign w:val="center"/>
                </w:tcPr>
                <w:p w14:paraId="26C33468">
                  <w:pPr>
                    <w:jc w:val="center"/>
                    <w:rPr>
                      <w:b/>
                      <w:bCs/>
                      <w:color w:val="auto"/>
                      <w:kern w:val="0"/>
                    </w:rPr>
                  </w:pPr>
                  <w:r>
                    <w:rPr>
                      <w:rFonts w:hint="eastAsia"/>
                      <w:b/>
                      <w:bCs/>
                      <w:color w:val="auto"/>
                      <w:kern w:val="0"/>
                    </w:rPr>
                    <w:t>类别</w:t>
                  </w:r>
                </w:p>
              </w:tc>
              <w:tc>
                <w:tcPr>
                  <w:tcW w:w="5395" w:type="dxa"/>
                  <w:vAlign w:val="center"/>
                </w:tcPr>
                <w:p w14:paraId="17164EE4">
                  <w:pPr>
                    <w:jc w:val="center"/>
                    <w:rPr>
                      <w:b/>
                      <w:bCs/>
                      <w:color w:val="auto"/>
                      <w:kern w:val="0"/>
                    </w:rPr>
                  </w:pPr>
                  <w:r>
                    <w:rPr>
                      <w:rFonts w:hint="eastAsia"/>
                      <w:b/>
                      <w:bCs/>
                      <w:color w:val="auto"/>
                      <w:kern w:val="0"/>
                    </w:rPr>
                    <w:t>应急救援器材名称</w:t>
                  </w:r>
                </w:p>
              </w:tc>
              <w:tc>
                <w:tcPr>
                  <w:tcW w:w="2541" w:type="dxa"/>
                  <w:vAlign w:val="center"/>
                </w:tcPr>
                <w:p w14:paraId="13999716">
                  <w:pPr>
                    <w:jc w:val="center"/>
                    <w:rPr>
                      <w:b/>
                      <w:bCs/>
                      <w:color w:val="auto"/>
                      <w:kern w:val="0"/>
                    </w:rPr>
                  </w:pPr>
                  <w:r>
                    <w:rPr>
                      <w:rFonts w:hint="eastAsia"/>
                      <w:b/>
                      <w:bCs/>
                      <w:color w:val="auto"/>
                      <w:kern w:val="0"/>
                    </w:rPr>
                    <w:t>数量（台/个）</w:t>
                  </w:r>
                </w:p>
              </w:tc>
              <w:tc>
                <w:tcPr>
                  <w:tcW w:w="2541" w:type="dxa"/>
                  <w:vAlign w:val="center"/>
                </w:tcPr>
                <w:p w14:paraId="4592BA00">
                  <w:pPr>
                    <w:jc w:val="center"/>
                    <w:rPr>
                      <w:b/>
                      <w:bCs/>
                      <w:color w:val="auto"/>
                      <w:kern w:val="0"/>
                    </w:rPr>
                  </w:pPr>
                  <w:r>
                    <w:rPr>
                      <w:rFonts w:hint="eastAsia"/>
                      <w:b/>
                      <w:bCs/>
                      <w:color w:val="auto"/>
                      <w:kern w:val="0"/>
                    </w:rPr>
                    <w:t>存放位置</w:t>
                  </w:r>
                </w:p>
              </w:tc>
            </w:tr>
            <w:tr w14:paraId="37B7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44" w:type="dxa"/>
                  <w:vAlign w:val="center"/>
                </w:tcPr>
                <w:p w14:paraId="260B9142">
                  <w:pPr>
                    <w:jc w:val="center"/>
                    <w:rPr>
                      <w:color w:val="auto"/>
                      <w:kern w:val="0"/>
                    </w:rPr>
                  </w:pPr>
                  <w:r>
                    <w:rPr>
                      <w:rFonts w:hint="eastAsia"/>
                      <w:color w:val="auto"/>
                      <w:kern w:val="0"/>
                    </w:rPr>
                    <w:t>1</w:t>
                  </w:r>
                </w:p>
              </w:tc>
              <w:tc>
                <w:tcPr>
                  <w:tcW w:w="1482" w:type="dxa"/>
                  <w:vMerge w:val="restart"/>
                  <w:vAlign w:val="center"/>
                </w:tcPr>
                <w:p w14:paraId="09D28AC9">
                  <w:pPr>
                    <w:jc w:val="center"/>
                    <w:rPr>
                      <w:color w:val="auto"/>
                      <w:kern w:val="0"/>
                    </w:rPr>
                  </w:pPr>
                  <w:r>
                    <w:rPr>
                      <w:rFonts w:hint="eastAsia"/>
                      <w:color w:val="auto"/>
                      <w:kern w:val="0"/>
                    </w:rPr>
                    <w:t>个人防护物资</w:t>
                  </w:r>
                </w:p>
              </w:tc>
              <w:tc>
                <w:tcPr>
                  <w:tcW w:w="5395" w:type="dxa"/>
                  <w:vAlign w:val="center"/>
                </w:tcPr>
                <w:p w14:paraId="7310F5CB">
                  <w:pPr>
                    <w:jc w:val="center"/>
                    <w:rPr>
                      <w:color w:val="auto"/>
                      <w:kern w:val="0"/>
                    </w:rPr>
                  </w:pPr>
                  <w:r>
                    <w:rPr>
                      <w:rFonts w:hint="eastAsia"/>
                      <w:color w:val="auto"/>
                      <w:kern w:val="0"/>
                    </w:rPr>
                    <w:t>防护口罩</w:t>
                  </w:r>
                </w:p>
              </w:tc>
              <w:tc>
                <w:tcPr>
                  <w:tcW w:w="2541" w:type="dxa"/>
                  <w:vAlign w:val="center"/>
                </w:tcPr>
                <w:p w14:paraId="1F40E651">
                  <w:pPr>
                    <w:jc w:val="center"/>
                    <w:rPr>
                      <w:color w:val="auto"/>
                      <w:kern w:val="0"/>
                    </w:rPr>
                  </w:pPr>
                  <w:r>
                    <w:rPr>
                      <w:rFonts w:hint="eastAsia"/>
                      <w:color w:val="auto"/>
                      <w:kern w:val="0"/>
                    </w:rPr>
                    <w:t>20</w:t>
                  </w:r>
                </w:p>
              </w:tc>
              <w:tc>
                <w:tcPr>
                  <w:tcW w:w="2541" w:type="dxa"/>
                  <w:vAlign w:val="center"/>
                </w:tcPr>
                <w:p w14:paraId="31E73E6A">
                  <w:pPr>
                    <w:jc w:val="center"/>
                    <w:rPr>
                      <w:color w:val="auto"/>
                      <w:kern w:val="0"/>
                    </w:rPr>
                  </w:pPr>
                  <w:r>
                    <w:rPr>
                      <w:rFonts w:hint="eastAsia"/>
                      <w:color w:val="auto"/>
                      <w:kern w:val="0"/>
                    </w:rPr>
                    <w:t>应急物资库</w:t>
                  </w:r>
                </w:p>
              </w:tc>
            </w:tr>
            <w:tr w14:paraId="7B55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4947BE0C">
                  <w:pPr>
                    <w:jc w:val="center"/>
                    <w:rPr>
                      <w:color w:val="auto"/>
                      <w:kern w:val="0"/>
                    </w:rPr>
                  </w:pPr>
                  <w:r>
                    <w:rPr>
                      <w:rFonts w:hint="eastAsia"/>
                      <w:color w:val="auto"/>
                      <w:kern w:val="0"/>
                    </w:rPr>
                    <w:t>2</w:t>
                  </w:r>
                </w:p>
              </w:tc>
              <w:tc>
                <w:tcPr>
                  <w:tcW w:w="1482" w:type="dxa"/>
                  <w:vMerge w:val="continue"/>
                  <w:vAlign w:val="center"/>
                </w:tcPr>
                <w:p w14:paraId="4E27F290">
                  <w:pPr>
                    <w:jc w:val="center"/>
                    <w:rPr>
                      <w:color w:val="auto"/>
                      <w:kern w:val="0"/>
                    </w:rPr>
                  </w:pPr>
                </w:p>
              </w:tc>
              <w:tc>
                <w:tcPr>
                  <w:tcW w:w="5395" w:type="dxa"/>
                  <w:vAlign w:val="center"/>
                </w:tcPr>
                <w:p w14:paraId="44622F4D">
                  <w:pPr>
                    <w:jc w:val="center"/>
                    <w:rPr>
                      <w:color w:val="auto"/>
                      <w:kern w:val="0"/>
                    </w:rPr>
                  </w:pPr>
                  <w:r>
                    <w:rPr>
                      <w:rFonts w:hint="eastAsia"/>
                      <w:color w:val="auto"/>
                      <w:kern w:val="0"/>
                    </w:rPr>
                    <w:t>防毒面具</w:t>
                  </w:r>
                </w:p>
              </w:tc>
              <w:tc>
                <w:tcPr>
                  <w:tcW w:w="2541" w:type="dxa"/>
                  <w:vAlign w:val="center"/>
                </w:tcPr>
                <w:p w14:paraId="4512CF43">
                  <w:pPr>
                    <w:jc w:val="center"/>
                    <w:rPr>
                      <w:color w:val="auto"/>
                      <w:kern w:val="0"/>
                    </w:rPr>
                  </w:pPr>
                  <w:r>
                    <w:rPr>
                      <w:rFonts w:hint="eastAsia"/>
                      <w:color w:val="auto"/>
                      <w:kern w:val="0"/>
                    </w:rPr>
                    <w:t>3</w:t>
                  </w:r>
                </w:p>
              </w:tc>
              <w:tc>
                <w:tcPr>
                  <w:tcW w:w="2541" w:type="dxa"/>
                  <w:vAlign w:val="center"/>
                </w:tcPr>
                <w:p w14:paraId="4C1776FA">
                  <w:pPr>
                    <w:jc w:val="center"/>
                    <w:rPr>
                      <w:color w:val="auto"/>
                      <w:kern w:val="0"/>
                    </w:rPr>
                  </w:pPr>
                  <w:r>
                    <w:rPr>
                      <w:rFonts w:hint="eastAsia"/>
                      <w:color w:val="auto"/>
                      <w:kern w:val="0"/>
                    </w:rPr>
                    <w:t>应急物资库</w:t>
                  </w:r>
                </w:p>
              </w:tc>
            </w:tr>
            <w:tr w14:paraId="7DB1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320ADEC0">
                  <w:pPr>
                    <w:jc w:val="center"/>
                    <w:rPr>
                      <w:color w:val="auto"/>
                      <w:kern w:val="0"/>
                    </w:rPr>
                  </w:pPr>
                  <w:r>
                    <w:rPr>
                      <w:rFonts w:hint="eastAsia"/>
                      <w:color w:val="auto"/>
                      <w:kern w:val="0"/>
                    </w:rPr>
                    <w:t>3</w:t>
                  </w:r>
                </w:p>
              </w:tc>
              <w:tc>
                <w:tcPr>
                  <w:tcW w:w="1482" w:type="dxa"/>
                  <w:vMerge w:val="continue"/>
                  <w:vAlign w:val="center"/>
                </w:tcPr>
                <w:p w14:paraId="104A8CBB">
                  <w:pPr>
                    <w:jc w:val="center"/>
                    <w:rPr>
                      <w:color w:val="auto"/>
                      <w:kern w:val="0"/>
                    </w:rPr>
                  </w:pPr>
                </w:p>
              </w:tc>
              <w:tc>
                <w:tcPr>
                  <w:tcW w:w="5395" w:type="dxa"/>
                  <w:vAlign w:val="center"/>
                </w:tcPr>
                <w:p w14:paraId="763D6650">
                  <w:pPr>
                    <w:jc w:val="center"/>
                    <w:rPr>
                      <w:color w:val="auto"/>
                      <w:kern w:val="0"/>
                    </w:rPr>
                  </w:pPr>
                  <w:r>
                    <w:rPr>
                      <w:rFonts w:hint="eastAsia"/>
                      <w:color w:val="auto"/>
                      <w:kern w:val="0"/>
                    </w:rPr>
                    <w:t>防护眼罩</w:t>
                  </w:r>
                </w:p>
              </w:tc>
              <w:tc>
                <w:tcPr>
                  <w:tcW w:w="2541" w:type="dxa"/>
                  <w:vAlign w:val="center"/>
                </w:tcPr>
                <w:p w14:paraId="34FB44F7">
                  <w:pPr>
                    <w:jc w:val="center"/>
                    <w:rPr>
                      <w:color w:val="auto"/>
                      <w:kern w:val="0"/>
                    </w:rPr>
                  </w:pPr>
                  <w:r>
                    <w:rPr>
                      <w:rFonts w:hint="eastAsia"/>
                      <w:color w:val="auto"/>
                      <w:kern w:val="0"/>
                    </w:rPr>
                    <w:t>5</w:t>
                  </w:r>
                </w:p>
              </w:tc>
              <w:tc>
                <w:tcPr>
                  <w:tcW w:w="2541" w:type="dxa"/>
                  <w:vAlign w:val="center"/>
                </w:tcPr>
                <w:p w14:paraId="2FAB09A6">
                  <w:pPr>
                    <w:jc w:val="center"/>
                    <w:rPr>
                      <w:color w:val="auto"/>
                      <w:kern w:val="0"/>
                    </w:rPr>
                  </w:pPr>
                  <w:r>
                    <w:rPr>
                      <w:rFonts w:hint="eastAsia"/>
                      <w:color w:val="auto"/>
                      <w:kern w:val="0"/>
                    </w:rPr>
                    <w:t>应急物资库</w:t>
                  </w:r>
                </w:p>
              </w:tc>
            </w:tr>
            <w:tr w14:paraId="2566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039BB3CB">
                  <w:pPr>
                    <w:jc w:val="center"/>
                    <w:rPr>
                      <w:color w:val="auto"/>
                      <w:kern w:val="0"/>
                    </w:rPr>
                  </w:pPr>
                  <w:r>
                    <w:rPr>
                      <w:rFonts w:hint="eastAsia"/>
                      <w:color w:val="auto"/>
                      <w:kern w:val="0"/>
                    </w:rPr>
                    <w:t>4</w:t>
                  </w:r>
                </w:p>
              </w:tc>
              <w:tc>
                <w:tcPr>
                  <w:tcW w:w="1482" w:type="dxa"/>
                  <w:vAlign w:val="center"/>
                </w:tcPr>
                <w:p w14:paraId="6E8A1623">
                  <w:pPr>
                    <w:jc w:val="center"/>
                    <w:rPr>
                      <w:color w:val="auto"/>
                      <w:kern w:val="0"/>
                    </w:rPr>
                  </w:pPr>
                  <w:r>
                    <w:rPr>
                      <w:rFonts w:hint="eastAsia"/>
                      <w:color w:val="auto"/>
                      <w:kern w:val="0"/>
                    </w:rPr>
                    <w:t>围堵物资</w:t>
                  </w:r>
                </w:p>
              </w:tc>
              <w:tc>
                <w:tcPr>
                  <w:tcW w:w="5395" w:type="dxa"/>
                  <w:vAlign w:val="center"/>
                </w:tcPr>
                <w:p w14:paraId="735212E6">
                  <w:pPr>
                    <w:jc w:val="center"/>
                    <w:rPr>
                      <w:color w:val="auto"/>
                      <w:kern w:val="0"/>
                    </w:rPr>
                  </w:pPr>
                  <w:r>
                    <w:rPr>
                      <w:rFonts w:hint="eastAsia"/>
                      <w:color w:val="auto"/>
                      <w:kern w:val="0"/>
                    </w:rPr>
                    <w:t>砂箱</w:t>
                  </w:r>
                </w:p>
              </w:tc>
              <w:tc>
                <w:tcPr>
                  <w:tcW w:w="2541" w:type="dxa"/>
                  <w:vAlign w:val="center"/>
                </w:tcPr>
                <w:p w14:paraId="45047F66">
                  <w:pPr>
                    <w:jc w:val="center"/>
                    <w:rPr>
                      <w:color w:val="auto"/>
                      <w:kern w:val="0"/>
                    </w:rPr>
                  </w:pPr>
                  <w:r>
                    <w:rPr>
                      <w:rFonts w:hint="eastAsia"/>
                      <w:color w:val="auto"/>
                      <w:kern w:val="0"/>
                    </w:rPr>
                    <w:t>1</w:t>
                  </w:r>
                </w:p>
              </w:tc>
              <w:tc>
                <w:tcPr>
                  <w:tcW w:w="2541" w:type="dxa"/>
                  <w:vAlign w:val="center"/>
                </w:tcPr>
                <w:p w14:paraId="51C01540">
                  <w:pPr>
                    <w:jc w:val="center"/>
                    <w:rPr>
                      <w:color w:val="auto"/>
                      <w:kern w:val="0"/>
                    </w:rPr>
                  </w:pPr>
                  <w:r>
                    <w:rPr>
                      <w:rFonts w:hint="eastAsia"/>
                      <w:color w:val="auto"/>
                      <w:kern w:val="0"/>
                    </w:rPr>
                    <w:t>应急物资库</w:t>
                  </w:r>
                </w:p>
              </w:tc>
            </w:tr>
            <w:tr w14:paraId="054A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4FC3E4F7">
                  <w:pPr>
                    <w:jc w:val="center"/>
                    <w:rPr>
                      <w:color w:val="auto"/>
                      <w:kern w:val="0"/>
                    </w:rPr>
                  </w:pPr>
                  <w:r>
                    <w:rPr>
                      <w:rFonts w:hint="eastAsia"/>
                      <w:color w:val="auto"/>
                      <w:kern w:val="0"/>
                    </w:rPr>
                    <w:t>5</w:t>
                  </w:r>
                </w:p>
              </w:tc>
              <w:tc>
                <w:tcPr>
                  <w:tcW w:w="1482" w:type="dxa"/>
                  <w:vMerge w:val="restart"/>
                  <w:vAlign w:val="center"/>
                </w:tcPr>
                <w:p w14:paraId="02E51626">
                  <w:pPr>
                    <w:jc w:val="center"/>
                    <w:rPr>
                      <w:color w:val="auto"/>
                      <w:kern w:val="0"/>
                    </w:rPr>
                  </w:pPr>
                  <w:r>
                    <w:rPr>
                      <w:rFonts w:hint="eastAsia"/>
                      <w:color w:val="auto"/>
                      <w:kern w:val="0"/>
                    </w:rPr>
                    <w:t>处理处置物资</w:t>
                  </w:r>
                </w:p>
              </w:tc>
              <w:tc>
                <w:tcPr>
                  <w:tcW w:w="5395" w:type="dxa"/>
                  <w:vAlign w:val="center"/>
                </w:tcPr>
                <w:p w14:paraId="53F92505">
                  <w:pPr>
                    <w:jc w:val="center"/>
                    <w:rPr>
                      <w:color w:val="auto"/>
                      <w:kern w:val="0"/>
                    </w:rPr>
                  </w:pPr>
                  <w:r>
                    <w:rPr>
                      <w:rFonts w:hint="eastAsia"/>
                      <w:color w:val="auto"/>
                      <w:kern w:val="0"/>
                    </w:rPr>
                    <w:t>干粉灭火器</w:t>
                  </w:r>
                </w:p>
              </w:tc>
              <w:tc>
                <w:tcPr>
                  <w:tcW w:w="2541" w:type="dxa"/>
                  <w:vAlign w:val="center"/>
                </w:tcPr>
                <w:p w14:paraId="77DDFCD3">
                  <w:pPr>
                    <w:jc w:val="center"/>
                    <w:rPr>
                      <w:color w:val="auto"/>
                      <w:kern w:val="0"/>
                    </w:rPr>
                  </w:pPr>
                  <w:r>
                    <w:rPr>
                      <w:rFonts w:hint="eastAsia"/>
                      <w:color w:val="auto"/>
                      <w:kern w:val="0"/>
                    </w:rPr>
                    <w:t>30</w:t>
                  </w:r>
                </w:p>
              </w:tc>
              <w:tc>
                <w:tcPr>
                  <w:tcW w:w="2541" w:type="dxa"/>
                  <w:vAlign w:val="center"/>
                </w:tcPr>
                <w:p w14:paraId="252014A1">
                  <w:pPr>
                    <w:jc w:val="center"/>
                    <w:rPr>
                      <w:color w:val="auto"/>
                      <w:kern w:val="0"/>
                    </w:rPr>
                  </w:pPr>
                  <w:r>
                    <w:rPr>
                      <w:rFonts w:hint="eastAsia"/>
                      <w:color w:val="auto"/>
                      <w:kern w:val="0"/>
                    </w:rPr>
                    <w:t>车间、危废仓库等</w:t>
                  </w:r>
                </w:p>
              </w:tc>
            </w:tr>
            <w:tr w14:paraId="3F30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2FAEE55D">
                  <w:pPr>
                    <w:jc w:val="center"/>
                    <w:rPr>
                      <w:color w:val="auto"/>
                      <w:kern w:val="0"/>
                    </w:rPr>
                  </w:pPr>
                  <w:r>
                    <w:rPr>
                      <w:rFonts w:hint="eastAsia"/>
                      <w:color w:val="auto"/>
                      <w:kern w:val="0"/>
                    </w:rPr>
                    <w:t>6</w:t>
                  </w:r>
                </w:p>
              </w:tc>
              <w:tc>
                <w:tcPr>
                  <w:tcW w:w="1482" w:type="dxa"/>
                  <w:vMerge w:val="continue"/>
                  <w:vAlign w:val="center"/>
                </w:tcPr>
                <w:p w14:paraId="7DAAFEAE">
                  <w:pPr>
                    <w:jc w:val="center"/>
                    <w:rPr>
                      <w:color w:val="auto"/>
                      <w:kern w:val="0"/>
                    </w:rPr>
                  </w:pPr>
                </w:p>
              </w:tc>
              <w:tc>
                <w:tcPr>
                  <w:tcW w:w="5395" w:type="dxa"/>
                  <w:vAlign w:val="center"/>
                </w:tcPr>
                <w:p w14:paraId="7FCF45CC">
                  <w:pPr>
                    <w:jc w:val="center"/>
                    <w:rPr>
                      <w:color w:val="auto"/>
                      <w:kern w:val="0"/>
                    </w:rPr>
                  </w:pPr>
                  <w:r>
                    <w:rPr>
                      <w:rFonts w:hint="eastAsia"/>
                      <w:color w:val="auto"/>
                      <w:kern w:val="0"/>
                    </w:rPr>
                    <w:t>消防沙</w:t>
                  </w:r>
                </w:p>
              </w:tc>
              <w:tc>
                <w:tcPr>
                  <w:tcW w:w="2541" w:type="dxa"/>
                  <w:vAlign w:val="center"/>
                </w:tcPr>
                <w:p w14:paraId="61D40B51">
                  <w:pPr>
                    <w:jc w:val="center"/>
                    <w:rPr>
                      <w:color w:val="auto"/>
                      <w:kern w:val="0"/>
                    </w:rPr>
                  </w:pPr>
                  <w:r>
                    <w:rPr>
                      <w:rFonts w:hint="eastAsia"/>
                      <w:color w:val="auto"/>
                      <w:kern w:val="0"/>
                    </w:rPr>
                    <w:t>3桶</w:t>
                  </w:r>
                </w:p>
              </w:tc>
              <w:tc>
                <w:tcPr>
                  <w:tcW w:w="2541" w:type="dxa"/>
                  <w:vAlign w:val="center"/>
                </w:tcPr>
                <w:p w14:paraId="76678C2E">
                  <w:pPr>
                    <w:jc w:val="center"/>
                    <w:rPr>
                      <w:color w:val="auto"/>
                      <w:kern w:val="0"/>
                    </w:rPr>
                  </w:pPr>
                  <w:r>
                    <w:rPr>
                      <w:rFonts w:hint="eastAsia"/>
                      <w:color w:val="auto"/>
                      <w:kern w:val="0"/>
                    </w:rPr>
                    <w:t>原料存放区</w:t>
                  </w:r>
                </w:p>
              </w:tc>
            </w:tr>
            <w:tr w14:paraId="531C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25EEE172">
                  <w:pPr>
                    <w:jc w:val="center"/>
                    <w:rPr>
                      <w:color w:val="auto"/>
                      <w:kern w:val="0"/>
                    </w:rPr>
                  </w:pPr>
                  <w:r>
                    <w:rPr>
                      <w:rFonts w:hint="eastAsia"/>
                      <w:color w:val="auto"/>
                      <w:kern w:val="0"/>
                    </w:rPr>
                    <w:t>7</w:t>
                  </w:r>
                </w:p>
              </w:tc>
              <w:tc>
                <w:tcPr>
                  <w:tcW w:w="1482" w:type="dxa"/>
                  <w:vMerge w:val="continue"/>
                  <w:vAlign w:val="center"/>
                </w:tcPr>
                <w:p w14:paraId="7CEB29D5">
                  <w:pPr>
                    <w:jc w:val="center"/>
                    <w:rPr>
                      <w:color w:val="auto"/>
                      <w:kern w:val="0"/>
                    </w:rPr>
                  </w:pPr>
                </w:p>
              </w:tc>
              <w:tc>
                <w:tcPr>
                  <w:tcW w:w="5395" w:type="dxa"/>
                  <w:vAlign w:val="center"/>
                </w:tcPr>
                <w:p w14:paraId="45CB4C34">
                  <w:pPr>
                    <w:jc w:val="center"/>
                    <w:rPr>
                      <w:color w:val="auto"/>
                      <w:kern w:val="0"/>
                    </w:rPr>
                  </w:pPr>
                  <w:r>
                    <w:rPr>
                      <w:rFonts w:hint="eastAsia"/>
                      <w:color w:val="auto"/>
                      <w:kern w:val="0"/>
                    </w:rPr>
                    <w:t>备用应急桶</w:t>
                  </w:r>
                </w:p>
              </w:tc>
              <w:tc>
                <w:tcPr>
                  <w:tcW w:w="2541" w:type="dxa"/>
                  <w:vAlign w:val="center"/>
                </w:tcPr>
                <w:p w14:paraId="24813AAF">
                  <w:pPr>
                    <w:jc w:val="center"/>
                    <w:rPr>
                      <w:color w:val="auto"/>
                      <w:kern w:val="0"/>
                    </w:rPr>
                  </w:pPr>
                  <w:r>
                    <w:rPr>
                      <w:rFonts w:hint="eastAsia"/>
                      <w:color w:val="auto"/>
                      <w:kern w:val="0"/>
                    </w:rPr>
                    <w:t>1</w:t>
                  </w:r>
                </w:p>
              </w:tc>
              <w:tc>
                <w:tcPr>
                  <w:tcW w:w="2541" w:type="dxa"/>
                  <w:vAlign w:val="center"/>
                </w:tcPr>
                <w:p w14:paraId="66C673A8">
                  <w:pPr>
                    <w:jc w:val="center"/>
                    <w:rPr>
                      <w:color w:val="auto"/>
                      <w:kern w:val="0"/>
                    </w:rPr>
                  </w:pPr>
                  <w:r>
                    <w:rPr>
                      <w:rFonts w:hint="eastAsia"/>
                      <w:color w:val="auto"/>
                      <w:kern w:val="0"/>
                    </w:rPr>
                    <w:t>应急物资库</w:t>
                  </w:r>
                </w:p>
              </w:tc>
            </w:tr>
            <w:tr w14:paraId="22CF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088E6F77">
                  <w:pPr>
                    <w:jc w:val="center"/>
                    <w:rPr>
                      <w:color w:val="auto"/>
                      <w:kern w:val="0"/>
                    </w:rPr>
                  </w:pPr>
                  <w:r>
                    <w:rPr>
                      <w:rFonts w:hint="eastAsia"/>
                      <w:color w:val="auto"/>
                      <w:kern w:val="0"/>
                    </w:rPr>
                    <w:t>8</w:t>
                  </w:r>
                </w:p>
              </w:tc>
              <w:tc>
                <w:tcPr>
                  <w:tcW w:w="1482" w:type="dxa"/>
                  <w:vAlign w:val="center"/>
                </w:tcPr>
                <w:p w14:paraId="5845B7E7">
                  <w:pPr>
                    <w:jc w:val="center"/>
                    <w:rPr>
                      <w:color w:val="auto"/>
                      <w:kern w:val="0"/>
                    </w:rPr>
                  </w:pPr>
                  <w:r>
                    <w:rPr>
                      <w:rFonts w:hint="eastAsia"/>
                      <w:color w:val="auto"/>
                      <w:kern w:val="0"/>
                    </w:rPr>
                    <w:t>应急通讯装备</w:t>
                  </w:r>
                </w:p>
              </w:tc>
              <w:tc>
                <w:tcPr>
                  <w:tcW w:w="5395" w:type="dxa"/>
                  <w:vAlign w:val="center"/>
                </w:tcPr>
                <w:p w14:paraId="370C9F18">
                  <w:pPr>
                    <w:jc w:val="center"/>
                    <w:rPr>
                      <w:color w:val="auto"/>
                      <w:kern w:val="0"/>
                    </w:rPr>
                  </w:pPr>
                  <w:r>
                    <w:rPr>
                      <w:rFonts w:hint="eastAsia"/>
                      <w:color w:val="auto"/>
                      <w:kern w:val="0"/>
                    </w:rPr>
                    <w:t>对讲机</w:t>
                  </w:r>
                </w:p>
              </w:tc>
              <w:tc>
                <w:tcPr>
                  <w:tcW w:w="2541" w:type="dxa"/>
                  <w:vAlign w:val="center"/>
                </w:tcPr>
                <w:p w14:paraId="4D2D1003">
                  <w:pPr>
                    <w:jc w:val="center"/>
                    <w:rPr>
                      <w:color w:val="auto"/>
                      <w:kern w:val="0"/>
                    </w:rPr>
                  </w:pPr>
                  <w:r>
                    <w:rPr>
                      <w:rFonts w:hint="eastAsia"/>
                      <w:color w:val="auto"/>
                      <w:kern w:val="0"/>
                    </w:rPr>
                    <w:t>4</w:t>
                  </w:r>
                </w:p>
              </w:tc>
              <w:tc>
                <w:tcPr>
                  <w:tcW w:w="2541" w:type="dxa"/>
                  <w:vAlign w:val="center"/>
                </w:tcPr>
                <w:p w14:paraId="4697CE0D">
                  <w:pPr>
                    <w:jc w:val="center"/>
                    <w:rPr>
                      <w:color w:val="auto"/>
                      <w:kern w:val="0"/>
                    </w:rPr>
                  </w:pPr>
                  <w:r>
                    <w:rPr>
                      <w:rFonts w:hint="eastAsia"/>
                      <w:color w:val="auto"/>
                      <w:kern w:val="0"/>
                    </w:rPr>
                    <w:t>应急物资库</w:t>
                  </w:r>
                </w:p>
              </w:tc>
            </w:tr>
            <w:tr w14:paraId="3965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222BCAE5">
                  <w:pPr>
                    <w:jc w:val="center"/>
                    <w:rPr>
                      <w:color w:val="auto"/>
                      <w:kern w:val="0"/>
                    </w:rPr>
                  </w:pPr>
                  <w:r>
                    <w:rPr>
                      <w:rFonts w:hint="eastAsia"/>
                      <w:color w:val="auto"/>
                      <w:kern w:val="0"/>
                    </w:rPr>
                    <w:t>9</w:t>
                  </w:r>
                </w:p>
              </w:tc>
              <w:tc>
                <w:tcPr>
                  <w:tcW w:w="1482" w:type="dxa"/>
                  <w:vMerge w:val="restart"/>
                  <w:vAlign w:val="center"/>
                </w:tcPr>
                <w:p w14:paraId="0B45C0F9">
                  <w:pPr>
                    <w:jc w:val="center"/>
                    <w:rPr>
                      <w:color w:val="auto"/>
                      <w:kern w:val="0"/>
                    </w:rPr>
                  </w:pPr>
                  <w:r>
                    <w:rPr>
                      <w:rFonts w:hint="eastAsia"/>
                      <w:color w:val="auto"/>
                      <w:kern w:val="0"/>
                    </w:rPr>
                    <w:t>应急保障设备</w:t>
                  </w:r>
                </w:p>
              </w:tc>
              <w:tc>
                <w:tcPr>
                  <w:tcW w:w="5395" w:type="dxa"/>
                  <w:vAlign w:val="center"/>
                </w:tcPr>
                <w:p w14:paraId="405C319E">
                  <w:pPr>
                    <w:jc w:val="center"/>
                    <w:rPr>
                      <w:color w:val="auto"/>
                      <w:kern w:val="0"/>
                    </w:rPr>
                  </w:pPr>
                  <w:r>
                    <w:rPr>
                      <w:rFonts w:hint="eastAsia"/>
                      <w:color w:val="auto"/>
                      <w:kern w:val="0"/>
                    </w:rPr>
                    <w:t>应急照明灯</w:t>
                  </w:r>
                </w:p>
              </w:tc>
              <w:tc>
                <w:tcPr>
                  <w:tcW w:w="2541" w:type="dxa"/>
                  <w:vAlign w:val="center"/>
                </w:tcPr>
                <w:p w14:paraId="20741192">
                  <w:pPr>
                    <w:jc w:val="center"/>
                    <w:rPr>
                      <w:color w:val="auto"/>
                      <w:kern w:val="0"/>
                    </w:rPr>
                  </w:pPr>
                  <w:r>
                    <w:rPr>
                      <w:rFonts w:hint="eastAsia"/>
                      <w:color w:val="auto"/>
                      <w:kern w:val="0"/>
                    </w:rPr>
                    <w:t>3</w:t>
                  </w:r>
                </w:p>
              </w:tc>
              <w:tc>
                <w:tcPr>
                  <w:tcW w:w="2541" w:type="dxa"/>
                  <w:vAlign w:val="center"/>
                </w:tcPr>
                <w:p w14:paraId="7B5B4908">
                  <w:pPr>
                    <w:jc w:val="center"/>
                    <w:rPr>
                      <w:color w:val="auto"/>
                      <w:kern w:val="0"/>
                    </w:rPr>
                  </w:pPr>
                  <w:r>
                    <w:rPr>
                      <w:rFonts w:hint="eastAsia"/>
                      <w:color w:val="auto"/>
                      <w:kern w:val="0"/>
                    </w:rPr>
                    <w:t>值班室</w:t>
                  </w:r>
                </w:p>
              </w:tc>
            </w:tr>
            <w:tr w14:paraId="26A8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501C0D58">
                  <w:pPr>
                    <w:jc w:val="center"/>
                    <w:rPr>
                      <w:color w:val="auto"/>
                      <w:kern w:val="0"/>
                    </w:rPr>
                  </w:pPr>
                  <w:r>
                    <w:rPr>
                      <w:rFonts w:hint="eastAsia"/>
                      <w:color w:val="auto"/>
                      <w:kern w:val="0"/>
                    </w:rPr>
                    <w:t>10</w:t>
                  </w:r>
                </w:p>
              </w:tc>
              <w:tc>
                <w:tcPr>
                  <w:tcW w:w="1482" w:type="dxa"/>
                  <w:vMerge w:val="continue"/>
                  <w:vAlign w:val="center"/>
                </w:tcPr>
                <w:p w14:paraId="0D4DF25B">
                  <w:pPr>
                    <w:jc w:val="center"/>
                    <w:rPr>
                      <w:color w:val="auto"/>
                      <w:kern w:val="0"/>
                    </w:rPr>
                  </w:pPr>
                </w:p>
              </w:tc>
              <w:tc>
                <w:tcPr>
                  <w:tcW w:w="5395" w:type="dxa"/>
                  <w:vAlign w:val="center"/>
                </w:tcPr>
                <w:p w14:paraId="13DA97C0">
                  <w:pPr>
                    <w:jc w:val="center"/>
                    <w:rPr>
                      <w:color w:val="auto"/>
                      <w:kern w:val="0"/>
                    </w:rPr>
                  </w:pPr>
                  <w:r>
                    <w:rPr>
                      <w:rFonts w:hint="eastAsia"/>
                      <w:color w:val="auto"/>
                      <w:kern w:val="0"/>
                    </w:rPr>
                    <w:t>担架</w:t>
                  </w:r>
                </w:p>
              </w:tc>
              <w:tc>
                <w:tcPr>
                  <w:tcW w:w="2541" w:type="dxa"/>
                  <w:vAlign w:val="center"/>
                </w:tcPr>
                <w:p w14:paraId="49DC9C52">
                  <w:pPr>
                    <w:jc w:val="center"/>
                    <w:rPr>
                      <w:color w:val="auto"/>
                      <w:kern w:val="0"/>
                    </w:rPr>
                  </w:pPr>
                  <w:r>
                    <w:rPr>
                      <w:rFonts w:hint="eastAsia"/>
                      <w:color w:val="auto"/>
                      <w:kern w:val="0"/>
                    </w:rPr>
                    <w:t>1</w:t>
                  </w:r>
                </w:p>
              </w:tc>
              <w:tc>
                <w:tcPr>
                  <w:tcW w:w="2541" w:type="dxa"/>
                  <w:vAlign w:val="center"/>
                </w:tcPr>
                <w:p w14:paraId="7E6C191B">
                  <w:pPr>
                    <w:jc w:val="center"/>
                    <w:rPr>
                      <w:color w:val="auto"/>
                      <w:kern w:val="0"/>
                    </w:rPr>
                  </w:pPr>
                  <w:r>
                    <w:rPr>
                      <w:rFonts w:hint="eastAsia"/>
                      <w:color w:val="auto"/>
                      <w:kern w:val="0"/>
                    </w:rPr>
                    <w:t>值班室</w:t>
                  </w:r>
                </w:p>
              </w:tc>
            </w:tr>
            <w:tr w14:paraId="3AA1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24F80948">
                  <w:pPr>
                    <w:jc w:val="center"/>
                    <w:rPr>
                      <w:color w:val="auto"/>
                      <w:kern w:val="0"/>
                    </w:rPr>
                  </w:pPr>
                  <w:r>
                    <w:rPr>
                      <w:rFonts w:hint="eastAsia"/>
                      <w:color w:val="auto"/>
                      <w:kern w:val="0"/>
                    </w:rPr>
                    <w:t>11</w:t>
                  </w:r>
                </w:p>
              </w:tc>
              <w:tc>
                <w:tcPr>
                  <w:tcW w:w="1482" w:type="dxa"/>
                  <w:vMerge w:val="continue"/>
                  <w:vAlign w:val="center"/>
                </w:tcPr>
                <w:p w14:paraId="0E4DA132">
                  <w:pPr>
                    <w:jc w:val="center"/>
                    <w:rPr>
                      <w:color w:val="auto"/>
                      <w:kern w:val="0"/>
                    </w:rPr>
                  </w:pPr>
                </w:p>
              </w:tc>
              <w:tc>
                <w:tcPr>
                  <w:tcW w:w="5395" w:type="dxa"/>
                  <w:vAlign w:val="center"/>
                </w:tcPr>
                <w:p w14:paraId="7CD54119">
                  <w:pPr>
                    <w:jc w:val="center"/>
                    <w:rPr>
                      <w:color w:val="auto"/>
                      <w:kern w:val="0"/>
                    </w:rPr>
                  </w:pPr>
                  <w:r>
                    <w:rPr>
                      <w:rFonts w:hint="eastAsia"/>
                      <w:color w:val="auto"/>
                      <w:kern w:val="0"/>
                    </w:rPr>
                    <w:t>应急救援药箱</w:t>
                  </w:r>
                </w:p>
              </w:tc>
              <w:tc>
                <w:tcPr>
                  <w:tcW w:w="2541" w:type="dxa"/>
                  <w:vAlign w:val="center"/>
                </w:tcPr>
                <w:p w14:paraId="76F6AABD">
                  <w:pPr>
                    <w:jc w:val="center"/>
                    <w:rPr>
                      <w:color w:val="auto"/>
                      <w:kern w:val="0"/>
                    </w:rPr>
                  </w:pPr>
                  <w:r>
                    <w:rPr>
                      <w:rFonts w:hint="eastAsia"/>
                      <w:color w:val="auto"/>
                      <w:kern w:val="0"/>
                    </w:rPr>
                    <w:t>3</w:t>
                  </w:r>
                </w:p>
              </w:tc>
              <w:tc>
                <w:tcPr>
                  <w:tcW w:w="2541" w:type="dxa"/>
                  <w:vAlign w:val="center"/>
                </w:tcPr>
                <w:p w14:paraId="40A7E2E6">
                  <w:pPr>
                    <w:jc w:val="center"/>
                    <w:rPr>
                      <w:color w:val="auto"/>
                      <w:kern w:val="0"/>
                    </w:rPr>
                  </w:pPr>
                  <w:r>
                    <w:rPr>
                      <w:rFonts w:hint="eastAsia"/>
                      <w:color w:val="auto"/>
                      <w:kern w:val="0"/>
                    </w:rPr>
                    <w:t>值班室</w:t>
                  </w:r>
                </w:p>
              </w:tc>
            </w:tr>
            <w:tr w14:paraId="71FE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4" w:type="dxa"/>
                  <w:vAlign w:val="center"/>
                </w:tcPr>
                <w:p w14:paraId="6427F60E">
                  <w:pPr>
                    <w:jc w:val="center"/>
                    <w:rPr>
                      <w:color w:val="auto"/>
                      <w:kern w:val="0"/>
                    </w:rPr>
                  </w:pPr>
                  <w:r>
                    <w:rPr>
                      <w:rFonts w:hint="eastAsia"/>
                      <w:color w:val="auto"/>
                      <w:kern w:val="0"/>
                    </w:rPr>
                    <w:t>12</w:t>
                  </w:r>
                </w:p>
              </w:tc>
              <w:tc>
                <w:tcPr>
                  <w:tcW w:w="1482" w:type="dxa"/>
                  <w:vMerge w:val="restart"/>
                  <w:vAlign w:val="center"/>
                </w:tcPr>
                <w:p w14:paraId="02D59F10">
                  <w:pPr>
                    <w:jc w:val="center"/>
                    <w:rPr>
                      <w:color w:val="auto"/>
                      <w:kern w:val="0"/>
                    </w:rPr>
                  </w:pPr>
                  <w:r>
                    <w:rPr>
                      <w:rFonts w:hint="eastAsia"/>
                      <w:color w:val="auto"/>
                      <w:kern w:val="0"/>
                    </w:rPr>
                    <w:t>监视控制设施</w:t>
                  </w:r>
                </w:p>
              </w:tc>
              <w:tc>
                <w:tcPr>
                  <w:tcW w:w="5395" w:type="dxa"/>
                  <w:vAlign w:val="center"/>
                </w:tcPr>
                <w:p w14:paraId="0E1973C9">
                  <w:pPr>
                    <w:jc w:val="center"/>
                    <w:rPr>
                      <w:color w:val="auto"/>
                      <w:kern w:val="0"/>
                    </w:rPr>
                  </w:pPr>
                  <w:r>
                    <w:rPr>
                      <w:rFonts w:hint="eastAsia"/>
                      <w:color w:val="auto"/>
                      <w:kern w:val="0"/>
                    </w:rPr>
                    <w:t>视频监控</w:t>
                  </w:r>
                </w:p>
              </w:tc>
              <w:tc>
                <w:tcPr>
                  <w:tcW w:w="2541" w:type="dxa"/>
                  <w:vAlign w:val="center"/>
                </w:tcPr>
                <w:p w14:paraId="25AD897F">
                  <w:pPr>
                    <w:jc w:val="center"/>
                    <w:rPr>
                      <w:color w:val="auto"/>
                      <w:kern w:val="0"/>
                    </w:rPr>
                  </w:pPr>
                  <w:r>
                    <w:rPr>
                      <w:rFonts w:hint="eastAsia"/>
                      <w:color w:val="auto"/>
                      <w:kern w:val="0"/>
                    </w:rPr>
                    <w:t>2</w:t>
                  </w:r>
                </w:p>
              </w:tc>
              <w:tc>
                <w:tcPr>
                  <w:tcW w:w="2541" w:type="dxa"/>
                  <w:vAlign w:val="center"/>
                </w:tcPr>
                <w:p w14:paraId="4CC13441">
                  <w:pPr>
                    <w:jc w:val="center"/>
                    <w:rPr>
                      <w:color w:val="auto"/>
                      <w:kern w:val="0"/>
                    </w:rPr>
                  </w:pPr>
                  <w:r>
                    <w:rPr>
                      <w:rFonts w:hint="eastAsia"/>
                      <w:color w:val="auto"/>
                      <w:kern w:val="0"/>
                    </w:rPr>
                    <w:t>危废仓库</w:t>
                  </w:r>
                </w:p>
              </w:tc>
            </w:tr>
            <w:tr w14:paraId="582A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14:paraId="4FAD4153">
                  <w:pPr>
                    <w:jc w:val="center"/>
                    <w:rPr>
                      <w:color w:val="auto"/>
                      <w:kern w:val="0"/>
                    </w:rPr>
                  </w:pPr>
                  <w:r>
                    <w:rPr>
                      <w:rFonts w:hint="eastAsia"/>
                      <w:color w:val="auto"/>
                      <w:kern w:val="0"/>
                    </w:rPr>
                    <w:t>13</w:t>
                  </w:r>
                </w:p>
              </w:tc>
              <w:tc>
                <w:tcPr>
                  <w:tcW w:w="1482" w:type="dxa"/>
                  <w:vMerge w:val="continue"/>
                  <w:vAlign w:val="center"/>
                </w:tcPr>
                <w:p w14:paraId="53A60637">
                  <w:pPr>
                    <w:jc w:val="center"/>
                    <w:rPr>
                      <w:color w:val="auto"/>
                      <w:kern w:val="0"/>
                    </w:rPr>
                  </w:pPr>
                </w:p>
              </w:tc>
              <w:tc>
                <w:tcPr>
                  <w:tcW w:w="5395" w:type="dxa"/>
                  <w:vAlign w:val="center"/>
                </w:tcPr>
                <w:p w14:paraId="10ED008A">
                  <w:pPr>
                    <w:jc w:val="center"/>
                    <w:rPr>
                      <w:color w:val="auto"/>
                      <w:kern w:val="0"/>
                    </w:rPr>
                  </w:pPr>
                  <w:r>
                    <w:rPr>
                      <w:rFonts w:hint="eastAsia"/>
                      <w:color w:val="auto"/>
                      <w:kern w:val="0"/>
                    </w:rPr>
                    <w:t>火灾报警装置</w:t>
                  </w:r>
                </w:p>
              </w:tc>
              <w:tc>
                <w:tcPr>
                  <w:tcW w:w="2541" w:type="dxa"/>
                  <w:vAlign w:val="center"/>
                </w:tcPr>
                <w:p w14:paraId="4F8D2234">
                  <w:pPr>
                    <w:jc w:val="center"/>
                    <w:rPr>
                      <w:color w:val="auto"/>
                      <w:kern w:val="0"/>
                    </w:rPr>
                  </w:pPr>
                  <w:r>
                    <w:rPr>
                      <w:rFonts w:hint="eastAsia"/>
                      <w:color w:val="auto"/>
                      <w:kern w:val="0"/>
                    </w:rPr>
                    <w:t>1</w:t>
                  </w:r>
                </w:p>
              </w:tc>
              <w:tc>
                <w:tcPr>
                  <w:tcW w:w="2541" w:type="dxa"/>
                  <w:vAlign w:val="center"/>
                </w:tcPr>
                <w:p w14:paraId="497B8464">
                  <w:pPr>
                    <w:jc w:val="center"/>
                    <w:rPr>
                      <w:color w:val="auto"/>
                      <w:kern w:val="0"/>
                    </w:rPr>
                  </w:pPr>
                  <w:r>
                    <w:rPr>
                      <w:rFonts w:hint="eastAsia"/>
                      <w:color w:val="auto"/>
                      <w:kern w:val="0"/>
                    </w:rPr>
                    <w:t>原料存放区</w:t>
                  </w:r>
                </w:p>
              </w:tc>
            </w:tr>
          </w:tbl>
          <w:p w14:paraId="78C84E8A">
            <w:pPr>
              <w:spacing w:line="360" w:lineRule="auto"/>
              <w:ind w:firstLine="480" w:firstLineChars="200"/>
              <w:rPr>
                <w:color w:val="auto"/>
                <w:sz w:val="24"/>
              </w:rPr>
            </w:pPr>
            <w:r>
              <w:rPr>
                <w:rFonts w:hint="eastAsia"/>
                <w:color w:val="auto"/>
                <w:sz w:val="24"/>
              </w:rPr>
              <w:t>④安全风险辨识要求</w:t>
            </w:r>
          </w:p>
          <w:p w14:paraId="28654062">
            <w:pPr>
              <w:spacing w:line="360" w:lineRule="auto"/>
              <w:ind w:firstLine="480" w:firstLineChars="200"/>
              <w:rPr>
                <w:color w:val="auto"/>
                <w:sz w:val="24"/>
              </w:rPr>
            </w:pPr>
            <w:r>
              <w:rPr>
                <w:rFonts w:hint="eastAsia"/>
                <w:color w:val="auto"/>
                <w:sz w:val="24"/>
              </w:rPr>
              <w:t>企业应开展污染防治设施的安全风险辨识，采取有效措施降低安全风险。</w:t>
            </w:r>
          </w:p>
          <w:p w14:paraId="6D83EC61">
            <w:pPr>
              <w:spacing w:line="360" w:lineRule="auto"/>
              <w:ind w:firstLine="480" w:firstLineChars="200"/>
              <w:rPr>
                <w:color w:val="auto"/>
                <w:sz w:val="24"/>
              </w:rPr>
            </w:pPr>
            <w:r>
              <w:rPr>
                <w:rFonts w:hint="eastAsia"/>
                <w:color w:val="auto"/>
                <w:sz w:val="24"/>
              </w:rPr>
              <w:t>⑤与金坛区应急预案联动</w:t>
            </w:r>
          </w:p>
          <w:p w14:paraId="78AF4968">
            <w:pPr>
              <w:pStyle w:val="8"/>
              <w:spacing w:before="0" w:after="0"/>
              <w:ind w:firstLine="480" w:firstLineChars="200"/>
              <w:jc w:val="left"/>
              <w:rPr>
                <w:rFonts w:ascii="宋体" w:hAnsi="宋体"/>
                <w:bCs/>
                <w:color w:val="auto"/>
                <w:sz w:val="24"/>
                <w:szCs w:val="28"/>
                <w:lang w:val="zh-CN"/>
              </w:rPr>
            </w:pPr>
            <w:r>
              <w:rPr>
                <w:rFonts w:ascii="宋体" w:hAnsi="宋体"/>
                <w:bCs/>
                <w:color w:val="auto"/>
                <w:sz w:val="24"/>
                <w:szCs w:val="28"/>
              </w:rPr>
              <w:t>企业一旦发生环境风险事故，首先启动企业环境应急预案，采取自救。</w:t>
            </w:r>
            <w:r>
              <w:rPr>
                <w:rFonts w:ascii="宋体" w:hAnsi="宋体"/>
                <w:bCs/>
                <w:color w:val="auto"/>
                <w:sz w:val="24"/>
                <w:szCs w:val="28"/>
                <w:lang w:val="zh-CN"/>
              </w:rPr>
              <w:t>Ⅱ级及以下环境事件由企业相关部门自行处置，I级事件由企业及</w:t>
            </w:r>
            <w:r>
              <w:rPr>
                <w:rFonts w:hint="eastAsia" w:ascii="宋体" w:hAnsi="宋体"/>
                <w:bCs/>
                <w:color w:val="auto"/>
                <w:sz w:val="24"/>
                <w:szCs w:val="28"/>
              </w:rPr>
              <w:t>金坛</w:t>
            </w:r>
            <w:r>
              <w:rPr>
                <w:rFonts w:hint="eastAsia" w:ascii="宋体" w:hAnsi="宋体"/>
                <w:bCs/>
                <w:color w:val="auto"/>
                <w:sz w:val="24"/>
                <w:szCs w:val="28"/>
                <w:lang w:val="zh-CN"/>
              </w:rPr>
              <w:t>区相关部门负责处理。</w:t>
            </w:r>
          </w:p>
          <w:p w14:paraId="4B39A24D">
            <w:pPr>
              <w:pStyle w:val="8"/>
              <w:spacing w:before="0" w:after="0"/>
              <w:ind w:firstLine="480" w:firstLineChars="200"/>
              <w:jc w:val="left"/>
              <w:rPr>
                <w:color w:val="auto"/>
                <w:sz w:val="24"/>
              </w:rPr>
            </w:pPr>
            <w:r>
              <w:rPr>
                <w:rFonts w:ascii="宋体" w:hAnsi="宋体"/>
                <w:bCs/>
                <w:color w:val="auto"/>
                <w:sz w:val="24"/>
                <w:szCs w:val="28"/>
                <w:lang w:val="zh-CN"/>
              </w:rPr>
              <w:t>事件超出本级应急处置能力时，请求上一级应急救援指挥机构处理。当</w:t>
            </w:r>
            <w:r>
              <w:rPr>
                <w:rFonts w:hint="eastAsia" w:ascii="宋体" w:hAnsi="宋体"/>
                <w:bCs/>
                <w:color w:val="auto"/>
                <w:sz w:val="24"/>
                <w:szCs w:val="28"/>
                <w:lang w:val="zh-CN"/>
              </w:rPr>
              <w:t>事件</w:t>
            </w:r>
            <w:r>
              <w:rPr>
                <w:rFonts w:ascii="宋体" w:hAnsi="宋体"/>
                <w:bCs/>
                <w:color w:val="auto"/>
                <w:sz w:val="24"/>
                <w:szCs w:val="28"/>
                <w:lang w:val="zh-CN"/>
              </w:rPr>
              <w:t>超出公司内部应急处置能力时，企业应迅速向</w:t>
            </w:r>
            <w:r>
              <w:rPr>
                <w:rFonts w:hint="eastAsia" w:ascii="宋体" w:hAnsi="宋体"/>
                <w:bCs/>
                <w:color w:val="auto"/>
                <w:sz w:val="24"/>
                <w:szCs w:val="28"/>
              </w:rPr>
              <w:t>金坛</w:t>
            </w:r>
            <w:r>
              <w:rPr>
                <w:rFonts w:ascii="宋体" w:hAnsi="宋体"/>
                <w:bCs/>
                <w:color w:val="auto"/>
                <w:sz w:val="24"/>
                <w:szCs w:val="28"/>
                <w:lang w:val="zh-CN"/>
              </w:rPr>
              <w:t>区政府等上级领导机关报告并</w:t>
            </w:r>
            <w:r>
              <w:rPr>
                <w:rFonts w:hint="eastAsia" w:ascii="宋体" w:hAnsi="宋体"/>
                <w:bCs/>
                <w:color w:val="auto"/>
                <w:sz w:val="24"/>
                <w:szCs w:val="28"/>
                <w:lang w:val="zh-CN"/>
              </w:rPr>
              <w:t>请求</w:t>
            </w:r>
            <w:r>
              <w:rPr>
                <w:rFonts w:ascii="宋体" w:hAnsi="宋体"/>
                <w:bCs/>
                <w:color w:val="auto"/>
                <w:sz w:val="24"/>
                <w:szCs w:val="28"/>
                <w:lang w:val="zh-CN"/>
              </w:rPr>
              <w:t>外部增援。当地政府及有关部门介入后，公司内部应急救援组织将服从外部救援队伍的指挥，并协助进行相应职责的应急救援工作。</w:t>
            </w:r>
          </w:p>
          <w:p w14:paraId="0D7D06E2">
            <w:pPr>
              <w:spacing w:line="360" w:lineRule="auto"/>
              <w:ind w:firstLine="480" w:firstLineChars="200"/>
              <w:rPr>
                <w:color w:val="auto"/>
                <w:sz w:val="24"/>
              </w:rPr>
            </w:pPr>
            <w:r>
              <w:rPr>
                <w:rFonts w:hint="eastAsia"/>
                <w:color w:val="auto"/>
                <w:sz w:val="24"/>
              </w:rPr>
              <w:t>6.4.5环境风险评价结论与建议</w:t>
            </w:r>
          </w:p>
          <w:p w14:paraId="358553E4">
            <w:pPr>
              <w:spacing w:line="360" w:lineRule="auto"/>
              <w:ind w:firstLine="480" w:firstLineChars="200"/>
              <w:rPr>
                <w:color w:val="auto"/>
                <w:sz w:val="24"/>
              </w:rPr>
            </w:pPr>
            <w:r>
              <w:rPr>
                <w:color w:val="auto"/>
                <w:sz w:val="24"/>
              </w:rPr>
              <w:t>1</w:t>
            </w:r>
            <w:r>
              <w:rPr>
                <w:rFonts w:hint="eastAsia"/>
                <w:color w:val="auto"/>
                <w:sz w:val="24"/>
              </w:rPr>
              <w:t>）环境风险评价结论</w:t>
            </w:r>
          </w:p>
          <w:p w14:paraId="03DC5C9E">
            <w:pPr>
              <w:spacing w:line="360" w:lineRule="auto"/>
              <w:ind w:firstLine="480" w:firstLineChars="200"/>
              <w:rPr>
                <w:color w:val="auto"/>
                <w:sz w:val="24"/>
              </w:rPr>
            </w:pPr>
            <w:r>
              <w:rPr>
                <w:rFonts w:hint="eastAsia"/>
                <w:color w:val="auto"/>
                <w:sz w:val="24"/>
              </w:rPr>
              <w:t>企业主要环境风险为泄漏事故、火灾爆炸事故，主要风险情形有泄漏引发火灾爆炸事故、液态污染物泄漏或者火灾事故消防尾水未能有效围堵拦截</w:t>
            </w:r>
            <w:r>
              <w:rPr>
                <w:rFonts w:hint="eastAsia"/>
                <w:color w:val="auto"/>
                <w:sz w:val="24"/>
                <w:lang w:eastAsia="zh-CN"/>
              </w:rPr>
              <w:t>，</w:t>
            </w:r>
            <w:r>
              <w:rPr>
                <w:rFonts w:hint="eastAsia"/>
                <w:color w:val="auto"/>
                <w:sz w:val="24"/>
              </w:rPr>
              <w:t>污染周边水体，企业需配备可燃气体报警装置、事故应急池、灭火器材、雨水排口阀门等应急物资，可有效应对环境风险，基本满足要求，在建设完备的环境风险防范设施和完善的环境应急管理制度的前提下，建设项目环境风险可控。</w:t>
            </w:r>
          </w:p>
          <w:p w14:paraId="3EB263E6">
            <w:pPr>
              <w:spacing w:line="360" w:lineRule="auto"/>
              <w:ind w:firstLine="480" w:firstLineChars="200"/>
              <w:rPr>
                <w:color w:val="auto"/>
                <w:sz w:val="24"/>
              </w:rPr>
            </w:pPr>
            <w:r>
              <w:rPr>
                <w:color w:val="auto"/>
                <w:sz w:val="24"/>
              </w:rPr>
              <w:t>2</w:t>
            </w:r>
            <w:r>
              <w:rPr>
                <w:rFonts w:hint="eastAsia"/>
                <w:color w:val="auto"/>
                <w:sz w:val="24"/>
              </w:rPr>
              <w:t>）环境风险评价建议</w:t>
            </w:r>
          </w:p>
          <w:p w14:paraId="7D3CF14C">
            <w:pPr>
              <w:spacing w:line="360" w:lineRule="auto"/>
              <w:ind w:firstLine="480" w:firstLineChars="200"/>
              <w:rPr>
                <w:color w:val="auto"/>
                <w:sz w:val="24"/>
              </w:rPr>
            </w:pPr>
            <w:r>
              <w:rPr>
                <w:rFonts w:hint="eastAsia"/>
                <w:color w:val="auto"/>
                <w:sz w:val="24"/>
              </w:rPr>
              <w:t>①企业需按规范编制突发环境事件应急预案，并至当地环保主管部门备案。</w:t>
            </w:r>
          </w:p>
          <w:p w14:paraId="337A3D7E">
            <w:pPr>
              <w:spacing w:line="360" w:lineRule="auto"/>
              <w:ind w:firstLine="480" w:firstLineChars="200"/>
              <w:rPr>
                <w:color w:val="auto"/>
                <w:sz w:val="24"/>
              </w:rPr>
            </w:pPr>
            <w:r>
              <w:rPr>
                <w:rFonts w:hint="eastAsia"/>
                <w:color w:val="auto"/>
                <w:sz w:val="24"/>
              </w:rPr>
              <w:t>企业结合环境应急预案实施情况，至少每三年对环境应急预案进行一次回顾性评估。有下列情形之一的，及时修订：</w:t>
            </w:r>
          </w:p>
          <w:p w14:paraId="5F2FE785">
            <w:pPr>
              <w:spacing w:line="360" w:lineRule="auto"/>
              <w:ind w:firstLine="480" w:firstLineChars="200"/>
              <w:rPr>
                <w:color w:val="auto"/>
                <w:sz w:val="24"/>
              </w:rPr>
            </w:pPr>
            <w:r>
              <w:rPr>
                <w:rFonts w:hint="eastAsia"/>
                <w:color w:val="auto"/>
                <w:sz w:val="24"/>
              </w:rPr>
              <w:t>面临的环境风险发生重大变化，需要重新进行环境风险评估的；</w:t>
            </w:r>
          </w:p>
          <w:p w14:paraId="54E5633A">
            <w:pPr>
              <w:spacing w:line="360" w:lineRule="auto"/>
              <w:ind w:firstLine="480" w:firstLineChars="200"/>
              <w:rPr>
                <w:color w:val="auto"/>
                <w:sz w:val="24"/>
              </w:rPr>
            </w:pPr>
            <w:r>
              <w:rPr>
                <w:rFonts w:hint="eastAsia"/>
                <w:color w:val="auto"/>
                <w:sz w:val="24"/>
              </w:rPr>
              <w:t>应急管理组织指挥体系与职责发生重大变化的；</w:t>
            </w:r>
          </w:p>
          <w:p w14:paraId="5D489909">
            <w:pPr>
              <w:spacing w:line="360" w:lineRule="auto"/>
              <w:ind w:firstLine="480" w:firstLineChars="200"/>
              <w:rPr>
                <w:color w:val="auto"/>
                <w:sz w:val="24"/>
              </w:rPr>
            </w:pPr>
            <w:r>
              <w:rPr>
                <w:rFonts w:hint="eastAsia"/>
                <w:color w:val="auto"/>
                <w:sz w:val="24"/>
              </w:rPr>
              <w:t>环境应急监测预警及报告机制、应对流程和措施、应急保障措施发生重大变化的；</w:t>
            </w:r>
          </w:p>
          <w:p w14:paraId="0B59BC61">
            <w:pPr>
              <w:spacing w:line="360" w:lineRule="auto"/>
              <w:ind w:firstLine="480" w:firstLineChars="200"/>
              <w:rPr>
                <w:color w:val="auto"/>
                <w:sz w:val="24"/>
              </w:rPr>
            </w:pPr>
            <w:r>
              <w:rPr>
                <w:rFonts w:hint="eastAsia"/>
                <w:color w:val="auto"/>
                <w:sz w:val="24"/>
              </w:rPr>
              <w:t>重要应急资源发生重大变化的；</w:t>
            </w:r>
          </w:p>
          <w:p w14:paraId="77AA75CC">
            <w:pPr>
              <w:spacing w:line="360" w:lineRule="auto"/>
              <w:ind w:firstLine="480" w:firstLineChars="200"/>
              <w:rPr>
                <w:color w:val="auto"/>
                <w:sz w:val="24"/>
              </w:rPr>
            </w:pPr>
            <w:r>
              <w:rPr>
                <w:rFonts w:hint="eastAsia"/>
                <w:color w:val="auto"/>
                <w:sz w:val="24"/>
              </w:rPr>
              <w:t>在突发事件实际应对和应急演练中发现问题，需要对环境应急预案作出重大调整的；</w:t>
            </w:r>
          </w:p>
          <w:p w14:paraId="4BA82205">
            <w:pPr>
              <w:spacing w:line="360" w:lineRule="auto"/>
              <w:ind w:firstLine="480" w:firstLineChars="200"/>
              <w:rPr>
                <w:color w:val="auto"/>
                <w:sz w:val="24"/>
              </w:rPr>
            </w:pPr>
            <w:r>
              <w:rPr>
                <w:rFonts w:hint="eastAsia"/>
                <w:color w:val="auto"/>
                <w:sz w:val="24"/>
              </w:rPr>
              <w:t>其他需要修订的情况</w:t>
            </w:r>
          </w:p>
          <w:p w14:paraId="44FEB6C9">
            <w:pPr>
              <w:spacing w:line="360" w:lineRule="auto"/>
              <w:ind w:firstLine="480" w:firstLineChars="200"/>
              <w:rPr>
                <w:rFonts w:hint="eastAsia"/>
                <w:b/>
                <w:bCs/>
                <w:color w:val="auto"/>
                <w:sz w:val="24"/>
                <w:szCs w:val="24"/>
              </w:rPr>
            </w:pPr>
            <w:r>
              <w:rPr>
                <w:rFonts w:hint="eastAsia"/>
                <w:color w:val="auto"/>
                <w:sz w:val="24"/>
              </w:rPr>
              <w:t>②企业需建立突发环境事件隐患排查治理制度，按要求开展隐患排查治理工作。</w:t>
            </w:r>
          </w:p>
          <w:p w14:paraId="5FB0C9E7">
            <w:pPr>
              <w:spacing w:line="360" w:lineRule="auto"/>
              <w:jc w:val="center"/>
              <w:rPr>
                <w:b/>
                <w:bCs/>
                <w:color w:val="auto"/>
                <w:sz w:val="24"/>
                <w:szCs w:val="24"/>
              </w:rPr>
            </w:pPr>
            <w:r>
              <w:rPr>
                <w:rFonts w:hint="eastAsia"/>
                <w:b/>
                <w:bCs/>
                <w:color w:val="auto"/>
                <w:sz w:val="24"/>
                <w:szCs w:val="24"/>
              </w:rPr>
              <w:t>表4-43  建设项目环境风险简单分析内容表</w:t>
            </w:r>
          </w:p>
          <w:tbl>
            <w:tblPr>
              <w:tblStyle w:val="23"/>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7330"/>
            </w:tblGrid>
            <w:tr w14:paraId="3F49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14:paraId="7E199BF1">
                  <w:pPr>
                    <w:jc w:val="center"/>
                    <w:rPr>
                      <w:color w:val="auto"/>
                      <w:kern w:val="0"/>
                    </w:rPr>
                  </w:pPr>
                  <w:r>
                    <w:rPr>
                      <w:rFonts w:hint="eastAsia"/>
                      <w:color w:val="auto"/>
                      <w:kern w:val="0"/>
                    </w:rPr>
                    <w:t>建设项目名称</w:t>
                  </w:r>
                </w:p>
              </w:tc>
              <w:tc>
                <w:tcPr>
                  <w:tcW w:w="10327" w:type="dxa"/>
                </w:tcPr>
                <w:p w14:paraId="5767DEF5">
                  <w:pPr>
                    <w:jc w:val="center"/>
                    <w:rPr>
                      <w:color w:val="auto"/>
                      <w:kern w:val="0"/>
                    </w:rPr>
                  </w:pPr>
                  <w:r>
                    <w:rPr>
                      <w:rFonts w:hint="eastAsia"/>
                      <w:color w:val="auto"/>
                      <w:kern w:val="0"/>
                    </w:rPr>
                    <w:t>新建年产2800万支气弹簧项目</w:t>
                  </w:r>
                </w:p>
              </w:tc>
            </w:tr>
            <w:tr w14:paraId="2A29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14:paraId="23D1BCE7">
                  <w:pPr>
                    <w:jc w:val="center"/>
                    <w:rPr>
                      <w:color w:val="auto"/>
                      <w:kern w:val="0"/>
                    </w:rPr>
                  </w:pPr>
                  <w:r>
                    <w:rPr>
                      <w:rFonts w:hint="eastAsia"/>
                      <w:color w:val="auto"/>
                      <w:kern w:val="0"/>
                    </w:rPr>
                    <w:t>建设地点</w:t>
                  </w:r>
                </w:p>
              </w:tc>
              <w:tc>
                <w:tcPr>
                  <w:tcW w:w="10327" w:type="dxa"/>
                </w:tcPr>
                <w:p w14:paraId="01C183E3">
                  <w:pPr>
                    <w:jc w:val="center"/>
                    <w:rPr>
                      <w:color w:val="auto"/>
                      <w:kern w:val="0"/>
                    </w:rPr>
                  </w:pPr>
                  <w:r>
                    <w:rPr>
                      <w:color w:val="auto"/>
                    </w:rPr>
                    <w:t>江苏省常州市金坛区直溪镇工业集中区直溪大道16号</w:t>
                  </w:r>
                </w:p>
              </w:tc>
            </w:tr>
            <w:tr w14:paraId="70F4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14:paraId="160C513B">
                  <w:pPr>
                    <w:jc w:val="center"/>
                    <w:rPr>
                      <w:color w:val="auto"/>
                      <w:kern w:val="0"/>
                    </w:rPr>
                  </w:pPr>
                  <w:r>
                    <w:rPr>
                      <w:rFonts w:hint="eastAsia"/>
                      <w:color w:val="auto"/>
                      <w:kern w:val="0"/>
                    </w:rPr>
                    <w:t>地理坐标</w:t>
                  </w:r>
                </w:p>
              </w:tc>
              <w:tc>
                <w:tcPr>
                  <w:tcW w:w="10327" w:type="dxa"/>
                </w:tcPr>
                <w:p w14:paraId="60665C31">
                  <w:pPr>
                    <w:jc w:val="center"/>
                    <w:rPr>
                      <w:color w:val="auto"/>
                      <w:kern w:val="0"/>
                    </w:rPr>
                  </w:pPr>
                  <w:r>
                    <w:rPr>
                      <w:rFonts w:hint="eastAsia"/>
                      <w:color w:val="auto"/>
                      <w:kern w:val="0"/>
                      <w:lang w:val="zh-CN"/>
                    </w:rPr>
                    <w:t>1</w:t>
                  </w:r>
                  <w:r>
                    <w:rPr>
                      <w:rFonts w:hint="eastAsia"/>
                      <w:color w:val="auto"/>
                      <w:kern w:val="0"/>
                    </w:rPr>
                    <w:t>19</w:t>
                  </w:r>
                  <w:r>
                    <w:rPr>
                      <w:rFonts w:hint="eastAsia"/>
                      <w:color w:val="auto"/>
                      <w:kern w:val="0"/>
                      <w:lang w:val="zh-CN"/>
                    </w:rPr>
                    <w:t>度</w:t>
                  </w:r>
                  <w:r>
                    <w:rPr>
                      <w:rFonts w:hint="eastAsia"/>
                      <w:color w:val="auto"/>
                      <w:kern w:val="0"/>
                    </w:rPr>
                    <w:t>28</w:t>
                  </w:r>
                  <w:r>
                    <w:rPr>
                      <w:rFonts w:hint="eastAsia"/>
                      <w:color w:val="auto"/>
                      <w:kern w:val="0"/>
                      <w:lang w:val="zh-CN"/>
                    </w:rPr>
                    <w:t>分</w:t>
                  </w:r>
                  <w:r>
                    <w:rPr>
                      <w:rFonts w:hint="eastAsia"/>
                      <w:color w:val="auto"/>
                      <w:kern w:val="0"/>
                    </w:rPr>
                    <w:t>5.592</w:t>
                  </w:r>
                  <w:r>
                    <w:rPr>
                      <w:rFonts w:hint="eastAsia"/>
                      <w:color w:val="auto"/>
                      <w:kern w:val="0"/>
                      <w:lang w:val="zh-CN"/>
                    </w:rPr>
                    <w:t>秒，31度</w:t>
                  </w:r>
                  <w:r>
                    <w:rPr>
                      <w:rFonts w:hint="eastAsia"/>
                      <w:color w:val="auto"/>
                      <w:kern w:val="0"/>
                    </w:rPr>
                    <w:t>47</w:t>
                  </w:r>
                  <w:r>
                    <w:rPr>
                      <w:rFonts w:hint="eastAsia"/>
                      <w:color w:val="auto"/>
                      <w:kern w:val="0"/>
                      <w:lang w:val="zh-CN"/>
                    </w:rPr>
                    <w:t>分</w:t>
                  </w:r>
                  <w:r>
                    <w:rPr>
                      <w:rFonts w:hint="eastAsia"/>
                      <w:color w:val="auto"/>
                      <w:kern w:val="0"/>
                    </w:rPr>
                    <w:t>16.008</w:t>
                  </w:r>
                  <w:r>
                    <w:rPr>
                      <w:rFonts w:hint="eastAsia"/>
                      <w:color w:val="auto"/>
                      <w:kern w:val="0"/>
                      <w:lang w:val="zh-CN"/>
                    </w:rPr>
                    <w:t>秒</w:t>
                  </w:r>
                </w:p>
              </w:tc>
            </w:tr>
            <w:tr w14:paraId="586B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14:paraId="1F27C0CC">
                  <w:pPr>
                    <w:jc w:val="center"/>
                    <w:rPr>
                      <w:color w:val="auto"/>
                      <w:kern w:val="0"/>
                    </w:rPr>
                  </w:pPr>
                  <w:r>
                    <w:rPr>
                      <w:rFonts w:hint="eastAsia"/>
                      <w:color w:val="auto"/>
                      <w:kern w:val="0"/>
                    </w:rPr>
                    <w:t>危险物质及分布</w:t>
                  </w:r>
                </w:p>
              </w:tc>
              <w:tc>
                <w:tcPr>
                  <w:tcW w:w="10327" w:type="dxa"/>
                </w:tcPr>
                <w:p w14:paraId="57FB2F92">
                  <w:pPr>
                    <w:jc w:val="left"/>
                    <w:rPr>
                      <w:color w:val="auto"/>
                      <w:kern w:val="0"/>
                    </w:rPr>
                  </w:pPr>
                  <w:r>
                    <w:rPr>
                      <w:rFonts w:hint="eastAsia"/>
                      <w:color w:val="auto"/>
                      <w:kern w:val="0"/>
                    </w:rPr>
                    <w:t>主要危险物质：白油、天然气、磨削液、液压油、危废废物</w:t>
                  </w:r>
                </w:p>
                <w:p w14:paraId="745DAE30">
                  <w:pPr>
                    <w:jc w:val="left"/>
                    <w:rPr>
                      <w:color w:val="auto"/>
                      <w:kern w:val="0"/>
                    </w:rPr>
                  </w:pPr>
                  <w:r>
                    <w:rPr>
                      <w:rFonts w:hint="eastAsia"/>
                      <w:color w:val="auto"/>
                      <w:kern w:val="0"/>
                    </w:rPr>
                    <w:t>分布位置：原料仓库；危废仓库</w:t>
                  </w:r>
                </w:p>
              </w:tc>
            </w:tr>
            <w:tr w14:paraId="156A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14:paraId="698D6650">
                  <w:pPr>
                    <w:jc w:val="center"/>
                    <w:rPr>
                      <w:color w:val="auto"/>
                      <w:kern w:val="0"/>
                    </w:rPr>
                  </w:pPr>
                  <w:r>
                    <w:rPr>
                      <w:rFonts w:hint="eastAsia"/>
                      <w:color w:val="auto"/>
                      <w:kern w:val="0"/>
                    </w:rPr>
                    <w:t>环境影响途径及危害后果（大气、地表水、地下水等）</w:t>
                  </w:r>
                </w:p>
              </w:tc>
              <w:tc>
                <w:tcPr>
                  <w:tcW w:w="10327" w:type="dxa"/>
                </w:tcPr>
                <w:p w14:paraId="3703596A">
                  <w:pPr>
                    <w:jc w:val="left"/>
                    <w:rPr>
                      <w:color w:val="auto"/>
                      <w:kern w:val="0"/>
                    </w:rPr>
                  </w:pPr>
                  <w:r>
                    <w:rPr>
                      <w:rFonts w:hint="eastAsia"/>
                      <w:color w:val="auto"/>
                      <w:kern w:val="0"/>
                    </w:rPr>
                    <w:t>大气：白油泄漏，遇明火、高热等可引发火灾爆炸事故，事故伴生</w:t>
                  </w:r>
                  <w:r>
                    <w:rPr>
                      <w:color w:val="auto"/>
                      <w:kern w:val="0"/>
                    </w:rPr>
                    <w:t>/</w:t>
                  </w:r>
                  <w:r>
                    <w:rPr>
                      <w:rFonts w:hint="eastAsia"/>
                      <w:color w:val="auto"/>
                      <w:kern w:val="0"/>
                    </w:rPr>
                    <w:t>次生污染物污染周边大气环境。废气处理装置故障可导致废气事故排放，污染周边大气环境。</w:t>
                  </w:r>
                </w:p>
                <w:p w14:paraId="583EE425">
                  <w:pPr>
                    <w:jc w:val="left"/>
                    <w:rPr>
                      <w:color w:val="auto"/>
                      <w:kern w:val="0"/>
                    </w:rPr>
                  </w:pPr>
                  <w:r>
                    <w:rPr>
                      <w:rFonts w:hint="eastAsia"/>
                      <w:color w:val="auto"/>
                      <w:kern w:val="0"/>
                    </w:rPr>
                    <w:t>地表水：白油包装桶破损未能及时收集或者拦截，导致液态泄漏形成厂区地面漫流，可通过雨水排口扩散出厂界，导致周边水体污染；设备故障导致白油泄漏形成厂区地面漫流，可通过雨水排口扩散出厂界，导致周边水体污染；火灾事故时产生的事故废水、消防尾水收集处理不当扩散出厂界可造成周边水体污染。</w:t>
                  </w:r>
                </w:p>
                <w:p w14:paraId="73C99DBD">
                  <w:pPr>
                    <w:jc w:val="left"/>
                    <w:rPr>
                      <w:color w:val="auto"/>
                      <w:kern w:val="0"/>
                    </w:rPr>
                  </w:pPr>
                  <w:r>
                    <w:rPr>
                      <w:rFonts w:hint="eastAsia"/>
                      <w:color w:val="auto"/>
                      <w:kern w:val="0"/>
                    </w:rPr>
                    <w:t>土壤、地下水：白油漏未能有效收集，扩散出厂界，导致周边地下水体及土壤污染；随意倾倒固废，导致地下水及土壤污染事故；危废库房防渗漏措施不到位，危险废物在存放过程中发生渗漏事故，从地面渗漏污染土壤及地下水壤。</w:t>
                  </w:r>
                </w:p>
              </w:tc>
            </w:tr>
            <w:tr w14:paraId="7BFA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FA3AE83">
                  <w:pPr>
                    <w:jc w:val="center"/>
                    <w:rPr>
                      <w:color w:val="auto"/>
                      <w:kern w:val="0"/>
                    </w:rPr>
                  </w:pPr>
                  <w:r>
                    <w:rPr>
                      <w:rFonts w:hint="eastAsia"/>
                      <w:color w:val="auto"/>
                      <w:kern w:val="0"/>
                    </w:rPr>
                    <w:t>风险防范措施要求</w:t>
                  </w:r>
                </w:p>
              </w:tc>
              <w:tc>
                <w:tcPr>
                  <w:tcW w:w="10327" w:type="dxa"/>
                </w:tcPr>
                <w:p w14:paraId="561D0AE9">
                  <w:pPr>
                    <w:jc w:val="left"/>
                    <w:rPr>
                      <w:color w:val="auto"/>
                      <w:kern w:val="0"/>
                    </w:rPr>
                  </w:pPr>
                  <w:r>
                    <w:rPr>
                      <w:rFonts w:hint="eastAsia"/>
                      <w:color w:val="auto"/>
                      <w:kern w:val="0"/>
                    </w:rPr>
                    <w:t>（</w:t>
                  </w:r>
                  <w:r>
                    <w:rPr>
                      <w:color w:val="auto"/>
                      <w:kern w:val="0"/>
                    </w:rPr>
                    <w:t>1</w:t>
                  </w:r>
                  <w:r>
                    <w:rPr>
                      <w:rFonts w:hint="eastAsia"/>
                      <w:color w:val="auto"/>
                      <w:kern w:val="0"/>
                    </w:rPr>
                    <w:t>）大气环境风险防范措施</w:t>
                  </w:r>
                </w:p>
                <w:p w14:paraId="3EBDA0CD">
                  <w:pPr>
                    <w:jc w:val="left"/>
                    <w:rPr>
                      <w:color w:val="auto"/>
                      <w:kern w:val="0"/>
                    </w:rPr>
                  </w:pPr>
                  <w:r>
                    <w:rPr>
                      <w:rFonts w:hint="eastAsia"/>
                      <w:color w:val="auto"/>
                      <w:kern w:val="0"/>
                    </w:rPr>
                    <w:t>①泄漏事故风险防范措施：加强现场管理，定期对管道等进行维护保养，防止因设备老化、故障造成泄漏事故；加强员工培训，加强应急演练，防止因野蛮操作造成泄漏事故，或者因缺乏急救常识造成影响恶化；可能存在或产生有毒物质的工作场所应根据有毒物质的理化性质和危害特点配备现场急救用品，设置冲洗喷淋设施、应急撤离通道、必要的泄险区以及风向标等，配备充足的应急物资。</w:t>
                  </w:r>
                </w:p>
                <w:p w14:paraId="04F0A056">
                  <w:pPr>
                    <w:jc w:val="left"/>
                    <w:rPr>
                      <w:color w:val="auto"/>
                      <w:kern w:val="0"/>
                    </w:rPr>
                  </w:pPr>
                  <w:r>
                    <w:rPr>
                      <w:rFonts w:hint="eastAsia"/>
                      <w:color w:val="auto"/>
                      <w:kern w:val="0"/>
                    </w:rPr>
                    <w:t>②火灾爆炸事故风险防范措施：对所有建筑物的防火要求，包括材料的选用、布置、构造、疏散等均按《建筑设计防火规范》、《建筑内部装修设计的防火规范》、《建筑灭火器配置设计规范》等要求进行设计与施工；企业应建立严格的消防管理制度，在厂区内设置灭火器材，如手提式或推车式干粉灭火器，仓储区设置干粉灭火器。在车间设置可燃气体探测报警装置。</w:t>
                  </w:r>
                </w:p>
                <w:p w14:paraId="0648E39C">
                  <w:pPr>
                    <w:jc w:val="left"/>
                    <w:rPr>
                      <w:color w:val="auto"/>
                      <w:kern w:val="0"/>
                    </w:rPr>
                  </w:pPr>
                  <w:r>
                    <w:rPr>
                      <w:rFonts w:hint="eastAsia"/>
                      <w:color w:val="auto"/>
                      <w:kern w:val="0"/>
                    </w:rPr>
                    <w:t>③制定应急监测方案，落实应急监测单位。</w:t>
                  </w:r>
                </w:p>
                <w:p w14:paraId="5104EAEC">
                  <w:pPr>
                    <w:jc w:val="left"/>
                    <w:rPr>
                      <w:color w:val="auto"/>
                      <w:kern w:val="0"/>
                    </w:rPr>
                  </w:pPr>
                  <w:r>
                    <w:rPr>
                      <w:rFonts w:hint="eastAsia"/>
                      <w:color w:val="auto"/>
                      <w:kern w:val="0"/>
                    </w:rPr>
                    <w:t>（</w:t>
                  </w:r>
                  <w:r>
                    <w:rPr>
                      <w:color w:val="auto"/>
                      <w:kern w:val="0"/>
                    </w:rPr>
                    <w:t>2</w:t>
                  </w:r>
                  <w:r>
                    <w:rPr>
                      <w:rFonts w:hint="eastAsia"/>
                      <w:color w:val="auto"/>
                      <w:kern w:val="0"/>
                    </w:rPr>
                    <w:t>）事故废水环境风险防范措施</w:t>
                  </w:r>
                </w:p>
                <w:p w14:paraId="1AF312AE">
                  <w:pPr>
                    <w:jc w:val="left"/>
                    <w:rPr>
                      <w:color w:val="auto"/>
                      <w:kern w:val="0"/>
                    </w:rPr>
                  </w:pPr>
                  <w:r>
                    <w:rPr>
                      <w:rFonts w:hint="eastAsia"/>
                      <w:color w:val="auto"/>
                      <w:kern w:val="0"/>
                    </w:rPr>
                    <w:t>①原料暂存区需配备应急桶等应急物资，一旦发生泄漏，可及时将桶内物料转移。</w:t>
                  </w:r>
                </w:p>
                <w:p w14:paraId="03E61F3A">
                  <w:pPr>
                    <w:jc w:val="left"/>
                    <w:rPr>
                      <w:color w:val="auto"/>
                      <w:kern w:val="0"/>
                    </w:rPr>
                  </w:pPr>
                  <w:r>
                    <w:rPr>
                      <w:rFonts w:hint="eastAsia"/>
                      <w:color w:val="auto"/>
                      <w:kern w:val="0"/>
                    </w:rPr>
                    <w:t>②雨水排口安装阀门，日常情况下保持关闭状态。</w:t>
                  </w:r>
                </w:p>
                <w:p w14:paraId="078C932E">
                  <w:pPr>
                    <w:jc w:val="left"/>
                    <w:rPr>
                      <w:color w:val="auto"/>
                      <w:kern w:val="0"/>
                    </w:rPr>
                  </w:pPr>
                  <w:r>
                    <w:rPr>
                      <w:rFonts w:hint="eastAsia"/>
                      <w:color w:val="auto"/>
                      <w:kern w:val="0"/>
                    </w:rPr>
                    <w:t>③按规范设置事故应急池。</w:t>
                  </w:r>
                </w:p>
                <w:p w14:paraId="5779CAF9">
                  <w:pPr>
                    <w:jc w:val="left"/>
                    <w:rPr>
                      <w:color w:val="auto"/>
                      <w:kern w:val="0"/>
                    </w:rPr>
                  </w:pPr>
                  <w:r>
                    <w:rPr>
                      <w:rFonts w:hint="eastAsia"/>
                      <w:color w:val="auto"/>
                      <w:kern w:val="0"/>
                    </w:rPr>
                    <w:t>④外部互联互通：企业已与园区设施衔接，需与兄弟单位签订互救协议。</w:t>
                  </w:r>
                </w:p>
                <w:p w14:paraId="6BC8FD57">
                  <w:pPr>
                    <w:jc w:val="left"/>
                    <w:rPr>
                      <w:color w:val="auto"/>
                      <w:kern w:val="0"/>
                    </w:rPr>
                  </w:pPr>
                  <w:r>
                    <w:rPr>
                      <w:rFonts w:hint="eastAsia"/>
                      <w:color w:val="auto"/>
                      <w:kern w:val="0"/>
                    </w:rPr>
                    <w:t>⑤制定水环境事故应急监测方案，落实监测单位。</w:t>
                  </w:r>
                </w:p>
                <w:p w14:paraId="09364A3C">
                  <w:pPr>
                    <w:jc w:val="left"/>
                    <w:rPr>
                      <w:color w:val="auto"/>
                      <w:kern w:val="0"/>
                    </w:rPr>
                  </w:pPr>
                  <w:r>
                    <w:rPr>
                      <w:rFonts w:hint="eastAsia"/>
                      <w:color w:val="auto"/>
                      <w:kern w:val="0"/>
                    </w:rPr>
                    <w:t>（</w:t>
                  </w:r>
                  <w:r>
                    <w:rPr>
                      <w:color w:val="auto"/>
                      <w:kern w:val="0"/>
                    </w:rPr>
                    <w:t>3</w:t>
                  </w:r>
                  <w:r>
                    <w:rPr>
                      <w:rFonts w:hint="eastAsia"/>
                      <w:color w:val="auto"/>
                      <w:kern w:val="0"/>
                    </w:rPr>
                    <w:t>）其他</w:t>
                  </w:r>
                </w:p>
                <w:p w14:paraId="089CBADD">
                  <w:pPr>
                    <w:jc w:val="left"/>
                    <w:rPr>
                      <w:color w:val="auto"/>
                      <w:kern w:val="0"/>
                    </w:rPr>
                  </w:pPr>
                  <w:r>
                    <w:rPr>
                      <w:rFonts w:hint="eastAsia"/>
                      <w:color w:val="auto"/>
                      <w:kern w:val="0"/>
                    </w:rPr>
                    <w:t>①编制突发环境事件应急预案；</w:t>
                  </w:r>
                </w:p>
                <w:p w14:paraId="4526A718">
                  <w:pPr>
                    <w:jc w:val="left"/>
                    <w:rPr>
                      <w:color w:val="auto"/>
                      <w:kern w:val="0"/>
                    </w:rPr>
                  </w:pPr>
                  <w:r>
                    <w:rPr>
                      <w:rFonts w:hint="eastAsia"/>
                      <w:color w:val="auto"/>
                      <w:kern w:val="0"/>
                    </w:rPr>
                    <w:t>②开展突发环境事件隐患排查工作；</w:t>
                  </w:r>
                </w:p>
                <w:p w14:paraId="11F00275">
                  <w:pPr>
                    <w:jc w:val="left"/>
                    <w:rPr>
                      <w:color w:val="auto"/>
                      <w:kern w:val="0"/>
                    </w:rPr>
                  </w:pPr>
                  <w:r>
                    <w:rPr>
                      <w:rFonts w:hint="eastAsia"/>
                      <w:color w:val="auto"/>
                      <w:kern w:val="0"/>
                    </w:rPr>
                    <w:t>③开展污染防治设施的安全风险辨识，采取有效措施降低安全风险。</w:t>
                  </w:r>
                </w:p>
              </w:tc>
            </w:tr>
            <w:tr w14:paraId="4B8A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3" w:type="dxa"/>
                  <w:gridSpan w:val="2"/>
                </w:tcPr>
                <w:p w14:paraId="52806F78">
                  <w:pPr>
                    <w:jc w:val="left"/>
                    <w:rPr>
                      <w:color w:val="auto"/>
                      <w:kern w:val="0"/>
                    </w:rPr>
                  </w:pPr>
                  <w:r>
                    <w:rPr>
                      <w:rFonts w:hint="eastAsia"/>
                      <w:color w:val="auto"/>
                      <w:kern w:val="0"/>
                    </w:rPr>
                    <w:t>填表说明（列出项目相关信息及评价说明）：</w:t>
                  </w:r>
                  <w:r>
                    <w:rPr>
                      <w:color w:val="auto"/>
                      <w:kern w:val="0"/>
                    </w:rPr>
                    <w:t>/</w:t>
                  </w:r>
                </w:p>
              </w:tc>
            </w:tr>
          </w:tbl>
          <w:p w14:paraId="5CD4D3EC">
            <w:pPr>
              <w:spacing w:line="360" w:lineRule="auto"/>
              <w:ind w:firstLine="480" w:firstLineChars="200"/>
              <w:rPr>
                <w:color w:val="auto"/>
                <w:sz w:val="24"/>
              </w:rPr>
            </w:pPr>
            <w:r>
              <w:rPr>
                <w:rFonts w:hint="eastAsia"/>
                <w:color w:val="auto"/>
                <w:sz w:val="24"/>
              </w:rPr>
              <w:t>7、电磁辐射</w:t>
            </w:r>
          </w:p>
          <w:p w14:paraId="7882356C">
            <w:pPr>
              <w:spacing w:line="360" w:lineRule="auto"/>
              <w:ind w:firstLine="480" w:firstLineChars="200"/>
              <w:rPr>
                <w:color w:val="auto"/>
                <w:sz w:val="24"/>
              </w:rPr>
            </w:pPr>
            <w:r>
              <w:rPr>
                <w:rFonts w:hint="eastAsia"/>
                <w:color w:val="auto"/>
                <w:sz w:val="24"/>
              </w:rPr>
              <w:t>本次环评内容不涉及电磁辐射，企业若有涉及电磁辐射的设备，根据相关导则应单独履行环保手续。</w:t>
            </w:r>
          </w:p>
          <w:p w14:paraId="24C149FC">
            <w:pPr>
              <w:pStyle w:val="8"/>
              <w:ind w:firstLine="480" w:firstLineChars="200"/>
              <w:rPr>
                <w:rFonts w:hint="eastAsia"/>
                <w:b/>
                <w:bCs/>
                <w:color w:val="auto"/>
                <w:sz w:val="24"/>
              </w:rPr>
            </w:pPr>
            <w:r>
              <w:rPr>
                <w:rFonts w:hint="eastAsia"/>
                <w:color w:val="auto"/>
                <w:sz w:val="24"/>
              </w:rPr>
              <w:t>8、清洁生产水平</w:t>
            </w:r>
          </w:p>
          <w:p w14:paraId="69E93FBB">
            <w:pPr>
              <w:pStyle w:val="8"/>
              <w:spacing w:before="0" w:after="0"/>
              <w:ind w:right="0"/>
              <w:jc w:val="center"/>
              <w:rPr>
                <w:color w:val="auto"/>
              </w:rPr>
            </w:pPr>
            <w:r>
              <w:rPr>
                <w:rFonts w:hint="eastAsia"/>
                <w:b/>
                <w:bCs/>
                <w:color w:val="auto"/>
                <w:sz w:val="24"/>
              </w:rPr>
              <w:t xml:space="preserve">表4-44  </w:t>
            </w:r>
            <w:r>
              <w:rPr>
                <w:b/>
                <w:bCs/>
                <w:color w:val="auto"/>
                <w:spacing w:val="-2"/>
                <w:sz w:val="24"/>
                <w:szCs w:val="24"/>
              </w:rPr>
              <w:t>机械行业清洁生产定量评价指标项目、权重及基准值</w:t>
            </w:r>
          </w:p>
          <w:tbl>
            <w:tblPr>
              <w:tblStyle w:val="50"/>
              <w:tblW w:w="8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1"/>
              <w:gridCol w:w="658"/>
              <w:gridCol w:w="1315"/>
              <w:gridCol w:w="857"/>
              <w:gridCol w:w="916"/>
              <w:gridCol w:w="1046"/>
              <w:gridCol w:w="2276"/>
              <w:gridCol w:w="878"/>
            </w:tblGrid>
            <w:tr w14:paraId="453AA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jc w:val="center"/>
              </w:trPr>
              <w:tc>
                <w:tcPr>
                  <w:tcW w:w="895" w:type="dxa"/>
                  <w:vAlign w:val="center"/>
                </w:tcPr>
                <w:p w14:paraId="78782AFF">
                  <w:pPr>
                    <w:jc w:val="center"/>
                    <w:rPr>
                      <w:b/>
                      <w:bCs/>
                      <w:color w:val="auto"/>
                    </w:rPr>
                  </w:pPr>
                  <w:r>
                    <w:rPr>
                      <w:b/>
                      <w:bCs/>
                      <w:color w:val="auto"/>
                    </w:rPr>
                    <w:t>一级指标</w:t>
                  </w:r>
                </w:p>
              </w:tc>
              <w:tc>
                <w:tcPr>
                  <w:tcW w:w="700" w:type="dxa"/>
                  <w:vAlign w:val="center"/>
                </w:tcPr>
                <w:p w14:paraId="70474FCA">
                  <w:pPr>
                    <w:jc w:val="center"/>
                    <w:rPr>
                      <w:b/>
                      <w:bCs/>
                      <w:color w:val="auto"/>
                    </w:rPr>
                  </w:pPr>
                  <w:r>
                    <w:rPr>
                      <w:b/>
                      <w:bCs/>
                      <w:color w:val="auto"/>
                    </w:rPr>
                    <w:t>权重值</w:t>
                  </w:r>
                </w:p>
              </w:tc>
              <w:tc>
                <w:tcPr>
                  <w:tcW w:w="1400" w:type="dxa"/>
                  <w:vAlign w:val="center"/>
                </w:tcPr>
                <w:p w14:paraId="661F07C1">
                  <w:pPr>
                    <w:jc w:val="center"/>
                    <w:rPr>
                      <w:b/>
                      <w:bCs/>
                      <w:color w:val="auto"/>
                    </w:rPr>
                  </w:pPr>
                  <w:r>
                    <w:rPr>
                      <w:b/>
                      <w:bCs/>
                      <w:color w:val="auto"/>
                    </w:rPr>
                    <w:t>二级指标</w:t>
                  </w:r>
                </w:p>
              </w:tc>
              <w:tc>
                <w:tcPr>
                  <w:tcW w:w="912" w:type="dxa"/>
                  <w:vAlign w:val="center"/>
                </w:tcPr>
                <w:p w14:paraId="5AD58593">
                  <w:pPr>
                    <w:jc w:val="center"/>
                    <w:rPr>
                      <w:b/>
                      <w:bCs/>
                      <w:color w:val="auto"/>
                    </w:rPr>
                  </w:pPr>
                  <w:r>
                    <w:rPr>
                      <w:b/>
                      <w:bCs/>
                      <w:color w:val="auto"/>
                    </w:rPr>
                    <w:t>单位</w:t>
                  </w:r>
                </w:p>
              </w:tc>
              <w:tc>
                <w:tcPr>
                  <w:tcW w:w="975" w:type="dxa"/>
                  <w:vAlign w:val="center"/>
                </w:tcPr>
                <w:p w14:paraId="6CB1481B">
                  <w:pPr>
                    <w:jc w:val="center"/>
                    <w:rPr>
                      <w:b/>
                      <w:bCs/>
                      <w:color w:val="auto"/>
                    </w:rPr>
                  </w:pPr>
                  <w:r>
                    <w:rPr>
                      <w:b/>
                      <w:bCs/>
                      <w:color w:val="auto"/>
                    </w:rPr>
                    <w:t>权重分值</w:t>
                  </w:r>
                </w:p>
              </w:tc>
              <w:tc>
                <w:tcPr>
                  <w:tcW w:w="1113" w:type="dxa"/>
                  <w:vAlign w:val="center"/>
                </w:tcPr>
                <w:p w14:paraId="24A01E3E">
                  <w:pPr>
                    <w:jc w:val="center"/>
                    <w:rPr>
                      <w:b/>
                      <w:bCs/>
                      <w:color w:val="auto"/>
                    </w:rPr>
                  </w:pPr>
                  <w:r>
                    <w:rPr>
                      <w:b/>
                      <w:bCs/>
                      <w:color w:val="auto"/>
                    </w:rPr>
                    <w:t>评价基准值</w:t>
                  </w:r>
                </w:p>
              </w:tc>
              <w:tc>
                <w:tcPr>
                  <w:tcW w:w="2425" w:type="dxa"/>
                  <w:vAlign w:val="center"/>
                </w:tcPr>
                <w:p w14:paraId="570C3A2E">
                  <w:pPr>
                    <w:jc w:val="center"/>
                    <w:rPr>
                      <w:b/>
                      <w:bCs/>
                      <w:color w:val="auto"/>
                    </w:rPr>
                  </w:pPr>
                  <w:r>
                    <w:rPr>
                      <w:rFonts w:hint="eastAsia"/>
                      <w:b/>
                      <w:bCs/>
                      <w:color w:val="auto"/>
                    </w:rPr>
                    <w:t>本项目</w:t>
                  </w:r>
                </w:p>
              </w:tc>
              <w:tc>
                <w:tcPr>
                  <w:tcW w:w="934" w:type="dxa"/>
                  <w:vAlign w:val="center"/>
                </w:tcPr>
                <w:p w14:paraId="5153C0AB">
                  <w:pPr>
                    <w:jc w:val="center"/>
                    <w:rPr>
                      <w:b/>
                      <w:bCs/>
                      <w:color w:val="auto"/>
                    </w:rPr>
                  </w:pPr>
                  <w:r>
                    <w:rPr>
                      <w:rFonts w:hint="eastAsia"/>
                      <w:b/>
                      <w:bCs/>
                      <w:color w:val="auto"/>
                    </w:rPr>
                    <w:t>分值</w:t>
                  </w:r>
                </w:p>
              </w:tc>
            </w:tr>
            <w:tr w14:paraId="4E3C0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95" w:type="dxa"/>
                  <w:vMerge w:val="restart"/>
                  <w:tcBorders>
                    <w:bottom w:val="nil"/>
                  </w:tcBorders>
                  <w:vAlign w:val="center"/>
                </w:tcPr>
                <w:p w14:paraId="5C16936C">
                  <w:pPr>
                    <w:pStyle w:val="51"/>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（一）资源与能源</w:t>
                  </w:r>
                  <w:r>
                    <w:rPr>
                      <w:rFonts w:hint="eastAsia" w:ascii="Times New Roman" w:hAnsi="Times New Roman" w:cs="Times New Roman"/>
                      <w:color w:val="auto"/>
                      <w:sz w:val="21"/>
                      <w:szCs w:val="21"/>
                      <w:lang w:val="en-US" w:eastAsia="zh-CN"/>
                    </w:rPr>
                    <w:t>消</w:t>
                  </w:r>
                  <w:r>
                    <w:rPr>
                      <w:rFonts w:ascii="Times New Roman" w:hAnsi="Times New Roman" w:cs="Times New Roman"/>
                      <w:color w:val="auto"/>
                      <w:sz w:val="21"/>
                      <w:szCs w:val="21"/>
                      <w:lang w:eastAsia="zh-CN"/>
                    </w:rPr>
                    <w:t>耗指标</w:t>
                  </w:r>
                </w:p>
              </w:tc>
              <w:tc>
                <w:tcPr>
                  <w:tcW w:w="700" w:type="dxa"/>
                  <w:vMerge w:val="restart"/>
                  <w:tcBorders>
                    <w:bottom w:val="nil"/>
                  </w:tcBorders>
                  <w:vAlign w:val="center"/>
                </w:tcPr>
                <w:p w14:paraId="7BB98A2C">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20</w:t>
                  </w:r>
                </w:p>
              </w:tc>
              <w:tc>
                <w:tcPr>
                  <w:tcW w:w="1400" w:type="dxa"/>
                  <w:vAlign w:val="center"/>
                </w:tcPr>
                <w:p w14:paraId="528E44ED">
                  <w:pPr>
                    <w:pStyle w:val="51"/>
                    <w:jc w:val="center"/>
                    <w:rPr>
                      <w:rFonts w:ascii="Times New Roman" w:hAnsi="Times New Roman" w:cs="Times New Roman"/>
                      <w:color w:val="auto"/>
                      <w:sz w:val="21"/>
                      <w:szCs w:val="21"/>
                    </w:rPr>
                  </w:pPr>
                  <w:r>
                    <w:rPr>
                      <w:rFonts w:ascii="Times New Roman" w:hAnsi="Times New Roman" w:cs="Times New Roman"/>
                      <w:color w:val="auto"/>
                      <w:spacing w:val="-1"/>
                      <w:sz w:val="21"/>
                      <w:szCs w:val="21"/>
                    </w:rPr>
                    <w:t>万元工业增加值钢耗</w:t>
                  </w:r>
                </w:p>
              </w:tc>
              <w:tc>
                <w:tcPr>
                  <w:tcW w:w="912" w:type="dxa"/>
                  <w:vAlign w:val="center"/>
                </w:tcPr>
                <w:p w14:paraId="31B935F7">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t/万元</w:t>
                  </w:r>
                </w:p>
              </w:tc>
              <w:tc>
                <w:tcPr>
                  <w:tcW w:w="975" w:type="dxa"/>
                  <w:vAlign w:val="center"/>
                </w:tcPr>
                <w:p w14:paraId="4B1129FA">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113" w:type="dxa"/>
                  <w:vAlign w:val="center"/>
                </w:tcPr>
                <w:p w14:paraId="14F26AA8">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0.56</w:t>
                  </w:r>
                </w:p>
              </w:tc>
              <w:tc>
                <w:tcPr>
                  <w:tcW w:w="2425" w:type="dxa"/>
                  <w:vAlign w:val="center"/>
                </w:tcPr>
                <w:p w14:paraId="70A098A9">
                  <w:pPr>
                    <w:pStyle w:val="51"/>
                    <w:jc w:val="center"/>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13000t/</w:t>
                  </w:r>
                  <w:r>
                    <w:rPr>
                      <w:rFonts w:hint="eastAsia" w:ascii="Times New Roman" w:hAnsi="Times New Roman" w:cs="Times New Roman"/>
                      <w:color w:val="auto"/>
                      <w:spacing w:val="-2"/>
                      <w:sz w:val="21"/>
                      <w:szCs w:val="21"/>
                      <w:lang w:eastAsia="zh-CN"/>
                    </w:rPr>
                    <w:t>20000万元</w:t>
                  </w:r>
                  <w:r>
                    <w:rPr>
                      <w:rFonts w:hint="eastAsia" w:ascii="Times New Roman" w:hAnsi="Times New Roman" w:cs="Times New Roman"/>
                      <w:color w:val="auto"/>
                      <w:spacing w:val="-2"/>
                      <w:sz w:val="21"/>
                      <w:szCs w:val="21"/>
                      <w:lang w:val="en-US" w:eastAsia="zh-CN"/>
                    </w:rPr>
                    <w:t>=0.65</w:t>
                  </w:r>
                </w:p>
              </w:tc>
              <w:tc>
                <w:tcPr>
                  <w:tcW w:w="934" w:type="dxa"/>
                  <w:vAlign w:val="center"/>
                </w:tcPr>
                <w:p w14:paraId="107537B8">
                  <w:pPr>
                    <w:pStyle w:val="51"/>
                    <w:jc w:val="center"/>
                    <w:rPr>
                      <w:rFonts w:ascii="Times New Roman" w:hAnsi="Times New Roman" w:cs="Times New Roman"/>
                      <w:color w:val="auto"/>
                      <w:spacing w:val="-2"/>
                      <w:sz w:val="21"/>
                      <w:szCs w:val="21"/>
                      <w:lang w:eastAsia="zh-CN"/>
                    </w:rPr>
                  </w:pPr>
                  <w:r>
                    <w:rPr>
                      <w:rFonts w:hint="eastAsia" w:ascii="Times New Roman" w:hAnsi="Times New Roman" w:cs="Times New Roman"/>
                      <w:color w:val="auto"/>
                      <w:spacing w:val="-2"/>
                      <w:sz w:val="21"/>
                      <w:szCs w:val="21"/>
                      <w:lang w:val="en-US" w:eastAsia="zh-CN"/>
                    </w:rPr>
                    <w:t>7</w:t>
                  </w:r>
                </w:p>
              </w:tc>
            </w:tr>
            <w:tr w14:paraId="654CB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895" w:type="dxa"/>
                  <w:vMerge w:val="continue"/>
                  <w:tcBorders>
                    <w:top w:val="nil"/>
                    <w:bottom w:val="nil"/>
                  </w:tcBorders>
                  <w:vAlign w:val="center"/>
                </w:tcPr>
                <w:p w14:paraId="69D55BC2">
                  <w:pPr>
                    <w:ind w:firstLine="420" w:firstLineChars="200"/>
                    <w:rPr>
                      <w:color w:val="auto"/>
                    </w:rPr>
                  </w:pPr>
                </w:p>
              </w:tc>
              <w:tc>
                <w:tcPr>
                  <w:tcW w:w="700" w:type="dxa"/>
                  <w:vMerge w:val="continue"/>
                  <w:tcBorders>
                    <w:top w:val="nil"/>
                    <w:bottom w:val="nil"/>
                  </w:tcBorders>
                  <w:vAlign w:val="center"/>
                </w:tcPr>
                <w:p w14:paraId="3621519A">
                  <w:pPr>
                    <w:jc w:val="center"/>
                    <w:rPr>
                      <w:color w:val="auto"/>
                    </w:rPr>
                  </w:pPr>
                </w:p>
              </w:tc>
              <w:tc>
                <w:tcPr>
                  <w:tcW w:w="1400" w:type="dxa"/>
                  <w:vAlign w:val="center"/>
                </w:tcPr>
                <w:p w14:paraId="5DC4FC3A">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
                      <w:sz w:val="21"/>
                      <w:szCs w:val="21"/>
                      <w:lang w:eastAsia="zh-CN"/>
                    </w:rPr>
                    <w:t>万元工业增加值综合能耗</w:t>
                  </w:r>
                </w:p>
              </w:tc>
              <w:tc>
                <w:tcPr>
                  <w:tcW w:w="912" w:type="dxa"/>
                  <w:vAlign w:val="center"/>
                </w:tcPr>
                <w:p w14:paraId="5F69620C">
                  <w:pPr>
                    <w:pStyle w:val="51"/>
                    <w:jc w:val="center"/>
                    <w:rPr>
                      <w:rFonts w:ascii="Times New Roman" w:hAnsi="Times New Roman" w:cs="Times New Roman"/>
                      <w:color w:val="auto"/>
                      <w:sz w:val="21"/>
                      <w:szCs w:val="21"/>
                    </w:rPr>
                  </w:pPr>
                  <w:r>
                    <w:rPr>
                      <w:rFonts w:ascii="Times New Roman" w:hAnsi="Times New Roman" w:cs="Times New Roman"/>
                      <w:color w:val="auto"/>
                      <w:spacing w:val="-1"/>
                      <w:sz w:val="21"/>
                      <w:szCs w:val="21"/>
                    </w:rPr>
                    <w:t>kgce/万元</w:t>
                  </w:r>
                </w:p>
              </w:tc>
              <w:tc>
                <w:tcPr>
                  <w:tcW w:w="975" w:type="dxa"/>
                  <w:vAlign w:val="center"/>
                </w:tcPr>
                <w:p w14:paraId="2AC7CD02">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113" w:type="dxa"/>
                  <w:vAlign w:val="center"/>
                </w:tcPr>
                <w:p w14:paraId="30073B46">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0.42</w:t>
                  </w:r>
                </w:p>
              </w:tc>
              <w:tc>
                <w:tcPr>
                  <w:tcW w:w="2425" w:type="dxa"/>
                  <w:vAlign w:val="center"/>
                </w:tcPr>
                <w:p w14:paraId="7E27A20F">
                  <w:pPr>
                    <w:pStyle w:val="51"/>
                    <w:jc w:val="center"/>
                    <w:rPr>
                      <w:rFonts w:ascii="Times New Roman" w:hAnsi="Times New Roman" w:cs="Times New Roman"/>
                      <w:color w:val="auto"/>
                      <w:spacing w:val="-2"/>
                      <w:sz w:val="21"/>
                      <w:szCs w:val="21"/>
                      <w:lang w:eastAsia="zh-CN"/>
                    </w:rPr>
                  </w:pPr>
                  <w:r>
                    <w:rPr>
                      <w:rFonts w:hint="eastAsia" w:ascii="Times New Roman" w:hAnsi="Times New Roman" w:cs="Times New Roman"/>
                      <w:color w:val="auto"/>
                      <w:spacing w:val="-2"/>
                      <w:sz w:val="21"/>
                      <w:szCs w:val="21"/>
                      <w:lang w:eastAsia="zh-CN"/>
                    </w:rPr>
                    <w:t>190万kwh*0.1229kgce/kW·h/20000万元=11.68</w:t>
                  </w:r>
                </w:p>
              </w:tc>
              <w:tc>
                <w:tcPr>
                  <w:tcW w:w="934" w:type="dxa"/>
                  <w:vAlign w:val="center"/>
                </w:tcPr>
                <w:p w14:paraId="070147F9">
                  <w:pPr>
                    <w:pStyle w:val="51"/>
                    <w:jc w:val="center"/>
                    <w:rPr>
                      <w:rFonts w:ascii="Times New Roman" w:hAnsi="Times New Roman" w:cs="Times New Roman"/>
                      <w:color w:val="auto"/>
                      <w:spacing w:val="-3"/>
                      <w:sz w:val="21"/>
                      <w:szCs w:val="21"/>
                      <w:lang w:eastAsia="zh-CN"/>
                    </w:rPr>
                  </w:pPr>
                  <w:r>
                    <w:rPr>
                      <w:rFonts w:hint="eastAsia" w:ascii="Times New Roman" w:hAnsi="Times New Roman" w:cs="Times New Roman"/>
                      <w:color w:val="auto"/>
                      <w:spacing w:val="-3"/>
                      <w:sz w:val="21"/>
                      <w:szCs w:val="21"/>
                      <w:lang w:val="en-US" w:eastAsia="zh-CN"/>
                    </w:rPr>
                    <w:t>2</w:t>
                  </w:r>
                </w:p>
              </w:tc>
            </w:tr>
            <w:tr w14:paraId="1D871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895" w:type="dxa"/>
                  <w:vMerge w:val="continue"/>
                  <w:tcBorders>
                    <w:top w:val="nil"/>
                  </w:tcBorders>
                  <w:vAlign w:val="center"/>
                </w:tcPr>
                <w:p w14:paraId="3C57656D">
                  <w:pPr>
                    <w:ind w:firstLine="420" w:firstLineChars="200"/>
                    <w:rPr>
                      <w:color w:val="auto"/>
                    </w:rPr>
                  </w:pPr>
                </w:p>
              </w:tc>
              <w:tc>
                <w:tcPr>
                  <w:tcW w:w="700" w:type="dxa"/>
                  <w:vMerge w:val="continue"/>
                  <w:tcBorders>
                    <w:top w:val="nil"/>
                  </w:tcBorders>
                  <w:vAlign w:val="center"/>
                </w:tcPr>
                <w:p w14:paraId="590D5299">
                  <w:pPr>
                    <w:jc w:val="center"/>
                    <w:rPr>
                      <w:color w:val="auto"/>
                    </w:rPr>
                  </w:pPr>
                </w:p>
              </w:tc>
              <w:tc>
                <w:tcPr>
                  <w:tcW w:w="1400" w:type="dxa"/>
                  <w:vAlign w:val="center"/>
                </w:tcPr>
                <w:p w14:paraId="2B22B686">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5"/>
                      <w:sz w:val="21"/>
                      <w:szCs w:val="21"/>
                      <w:lang w:eastAsia="zh-CN"/>
                    </w:rPr>
                    <w:t>万元工业增加值新鲜水耗</w:t>
                  </w:r>
                  <w:r>
                    <w:rPr>
                      <w:rFonts w:ascii="Times New Roman" w:hAnsi="Times New Roman" w:cs="Times New Roman"/>
                      <w:color w:val="auto"/>
                      <w:sz w:val="21"/>
                      <w:szCs w:val="21"/>
                      <w:lang w:eastAsia="zh-CN"/>
                    </w:rPr>
                    <w:t>量</w:t>
                  </w:r>
                </w:p>
              </w:tc>
              <w:tc>
                <w:tcPr>
                  <w:tcW w:w="912" w:type="dxa"/>
                  <w:vAlign w:val="center"/>
                </w:tcPr>
                <w:p w14:paraId="5B802C3D">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t/万元</w:t>
                  </w:r>
                </w:p>
              </w:tc>
              <w:tc>
                <w:tcPr>
                  <w:tcW w:w="975" w:type="dxa"/>
                  <w:vAlign w:val="center"/>
                </w:tcPr>
                <w:p w14:paraId="71269B62">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1113" w:type="dxa"/>
                  <w:vAlign w:val="center"/>
                </w:tcPr>
                <w:p w14:paraId="2E9676F6">
                  <w:pPr>
                    <w:pStyle w:val="51"/>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18.48</w:t>
                  </w:r>
                </w:p>
              </w:tc>
              <w:tc>
                <w:tcPr>
                  <w:tcW w:w="2425" w:type="dxa"/>
                  <w:vAlign w:val="center"/>
                </w:tcPr>
                <w:p w14:paraId="6DD97F2A">
                  <w:pPr>
                    <w:pStyle w:val="51"/>
                    <w:jc w:val="center"/>
                    <w:rPr>
                      <w:rFonts w:ascii="Times New Roman" w:hAnsi="Times New Roman" w:cs="Times New Roman"/>
                      <w:color w:val="auto"/>
                      <w:spacing w:val="-2"/>
                      <w:sz w:val="21"/>
                      <w:szCs w:val="21"/>
                      <w:lang w:eastAsia="zh-CN"/>
                    </w:rPr>
                  </w:pPr>
                  <w:r>
                    <w:rPr>
                      <w:rFonts w:hint="eastAsia" w:ascii="Times New Roman" w:hAnsi="Times New Roman" w:cs="Times New Roman"/>
                      <w:color w:val="auto"/>
                      <w:spacing w:val="-2"/>
                      <w:sz w:val="21"/>
                      <w:szCs w:val="21"/>
                      <w:lang w:val="en-US" w:eastAsia="zh-CN"/>
                    </w:rPr>
                    <w:t>0</w:t>
                  </w:r>
                  <w:r>
                    <w:rPr>
                      <w:rFonts w:hint="eastAsia" w:ascii="Times New Roman" w:hAnsi="Times New Roman" w:cs="Times New Roman"/>
                      <w:color w:val="auto"/>
                      <w:spacing w:val="-2"/>
                      <w:sz w:val="21"/>
                      <w:szCs w:val="21"/>
                      <w:lang w:eastAsia="zh-CN"/>
                    </w:rPr>
                    <w:t>/20000万元=</w:t>
                  </w:r>
                  <w:r>
                    <w:rPr>
                      <w:rFonts w:hint="eastAsia" w:ascii="Times New Roman" w:hAnsi="Times New Roman" w:cs="Times New Roman"/>
                      <w:color w:val="auto"/>
                      <w:spacing w:val="-2"/>
                      <w:sz w:val="21"/>
                      <w:szCs w:val="21"/>
                      <w:lang w:val="en-US" w:eastAsia="zh-CN"/>
                    </w:rPr>
                    <w:t>0</w:t>
                  </w:r>
                </w:p>
              </w:tc>
              <w:tc>
                <w:tcPr>
                  <w:tcW w:w="934" w:type="dxa"/>
                  <w:vAlign w:val="center"/>
                </w:tcPr>
                <w:p w14:paraId="53FCC8AB">
                  <w:pPr>
                    <w:pStyle w:val="51"/>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4</w:t>
                  </w:r>
                </w:p>
              </w:tc>
            </w:tr>
            <w:tr w14:paraId="1237A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895" w:type="dxa"/>
                  <w:vMerge w:val="restart"/>
                  <w:tcBorders>
                    <w:bottom w:val="nil"/>
                  </w:tcBorders>
                  <w:vAlign w:val="center"/>
                </w:tcPr>
                <w:p w14:paraId="2DEDF092">
                  <w:pPr>
                    <w:pStyle w:val="51"/>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（二）污染物产生指标</w:t>
                  </w:r>
                </w:p>
              </w:tc>
              <w:tc>
                <w:tcPr>
                  <w:tcW w:w="700" w:type="dxa"/>
                  <w:vMerge w:val="restart"/>
                  <w:tcBorders>
                    <w:bottom w:val="nil"/>
                  </w:tcBorders>
                  <w:vAlign w:val="center"/>
                </w:tcPr>
                <w:p w14:paraId="4752F921">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30</w:t>
                  </w:r>
                </w:p>
              </w:tc>
              <w:tc>
                <w:tcPr>
                  <w:tcW w:w="1400" w:type="dxa"/>
                  <w:vAlign w:val="center"/>
                </w:tcPr>
                <w:p w14:paraId="276CD929">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
                      <w:sz w:val="21"/>
                      <w:szCs w:val="21"/>
                      <w:lang w:eastAsia="zh-CN"/>
                    </w:rPr>
                    <w:t>万元工业增加值SO</w:t>
                  </w:r>
                  <w:r>
                    <w:rPr>
                      <w:rFonts w:ascii="Times New Roman" w:hAnsi="Times New Roman" w:cs="Times New Roman"/>
                      <w:color w:val="auto"/>
                      <w:spacing w:val="-1"/>
                      <w:sz w:val="21"/>
                      <w:szCs w:val="21"/>
                      <w:vertAlign w:val="superscript"/>
                      <w:lang w:eastAsia="zh-CN"/>
                    </w:rPr>
                    <w:t>2</w:t>
                  </w:r>
                  <w:r>
                    <w:rPr>
                      <w:rFonts w:ascii="Times New Roman" w:hAnsi="Times New Roman" w:cs="Times New Roman"/>
                      <w:color w:val="auto"/>
                      <w:spacing w:val="-1"/>
                      <w:sz w:val="21"/>
                      <w:szCs w:val="21"/>
                      <w:lang w:eastAsia="zh-CN"/>
                    </w:rPr>
                    <w:t>排放量</w:t>
                  </w:r>
                </w:p>
              </w:tc>
              <w:tc>
                <w:tcPr>
                  <w:tcW w:w="912" w:type="dxa"/>
                  <w:vAlign w:val="center"/>
                </w:tcPr>
                <w:p w14:paraId="4D731C31">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kg/万元</w:t>
                  </w:r>
                </w:p>
              </w:tc>
              <w:tc>
                <w:tcPr>
                  <w:tcW w:w="975" w:type="dxa"/>
                  <w:vAlign w:val="center"/>
                </w:tcPr>
                <w:p w14:paraId="0AE32F93">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1113" w:type="dxa"/>
                  <w:vAlign w:val="center"/>
                </w:tcPr>
                <w:p w14:paraId="541917C8">
                  <w:pPr>
                    <w:pStyle w:val="51"/>
                    <w:jc w:val="center"/>
                    <w:rPr>
                      <w:rFonts w:ascii="Times New Roman" w:hAnsi="Times New Roman" w:cs="Times New Roman"/>
                      <w:color w:val="auto"/>
                      <w:sz w:val="21"/>
                      <w:szCs w:val="21"/>
                    </w:rPr>
                  </w:pPr>
                  <w:r>
                    <w:rPr>
                      <w:rFonts w:ascii="Times New Roman" w:hAnsi="Times New Roman" w:cs="Times New Roman"/>
                      <w:color w:val="auto"/>
                      <w:spacing w:val="-6"/>
                      <w:sz w:val="21"/>
                      <w:szCs w:val="21"/>
                    </w:rPr>
                    <w:t>1.48</w:t>
                  </w:r>
                </w:p>
              </w:tc>
              <w:tc>
                <w:tcPr>
                  <w:tcW w:w="2425" w:type="dxa"/>
                  <w:vAlign w:val="center"/>
                </w:tcPr>
                <w:p w14:paraId="6C055C1E">
                  <w:pPr>
                    <w:pStyle w:val="51"/>
                    <w:jc w:val="center"/>
                    <w:rPr>
                      <w:rFonts w:ascii="Times New Roman" w:hAnsi="Times New Roman" w:cs="Times New Roman"/>
                      <w:color w:val="auto"/>
                      <w:spacing w:val="-6"/>
                      <w:sz w:val="21"/>
                      <w:szCs w:val="21"/>
                      <w:lang w:eastAsia="zh-CN"/>
                    </w:rPr>
                  </w:pPr>
                  <w:r>
                    <w:rPr>
                      <w:rFonts w:hint="eastAsia" w:ascii="Times New Roman" w:hAnsi="Times New Roman" w:cs="Times New Roman"/>
                      <w:color w:val="auto"/>
                      <w:spacing w:val="-6"/>
                      <w:sz w:val="21"/>
                      <w:szCs w:val="21"/>
                      <w:lang w:val="en-US" w:eastAsia="zh-CN"/>
                    </w:rPr>
                    <w:t>0</w:t>
                  </w:r>
                  <w:r>
                    <w:rPr>
                      <w:rFonts w:hint="eastAsia" w:ascii="Times New Roman" w:hAnsi="Times New Roman" w:cs="Times New Roman"/>
                      <w:color w:val="auto"/>
                      <w:spacing w:val="-2"/>
                      <w:sz w:val="21"/>
                      <w:szCs w:val="21"/>
                      <w:lang w:eastAsia="zh-CN"/>
                    </w:rPr>
                    <w:t>/20000万元=</w:t>
                  </w:r>
                  <w:r>
                    <w:rPr>
                      <w:rFonts w:hint="eastAsia" w:ascii="Times New Roman" w:hAnsi="Times New Roman" w:cs="Times New Roman"/>
                      <w:color w:val="auto"/>
                      <w:spacing w:val="-2"/>
                      <w:sz w:val="21"/>
                      <w:szCs w:val="21"/>
                      <w:lang w:val="en-US" w:eastAsia="zh-CN"/>
                    </w:rPr>
                    <w:t>0</w:t>
                  </w:r>
                </w:p>
              </w:tc>
              <w:tc>
                <w:tcPr>
                  <w:tcW w:w="934" w:type="dxa"/>
                  <w:vAlign w:val="center"/>
                </w:tcPr>
                <w:p w14:paraId="3CDCFBEC">
                  <w:pPr>
                    <w:pStyle w:val="51"/>
                    <w:jc w:val="center"/>
                    <w:rPr>
                      <w:rFonts w:ascii="Times New Roman" w:hAnsi="Times New Roman" w:cs="Times New Roman"/>
                      <w:color w:val="auto"/>
                      <w:spacing w:val="-6"/>
                      <w:sz w:val="21"/>
                      <w:szCs w:val="21"/>
                      <w:lang w:eastAsia="zh-CN"/>
                    </w:rPr>
                  </w:pPr>
                  <w:r>
                    <w:rPr>
                      <w:rFonts w:hint="eastAsia" w:ascii="Times New Roman" w:hAnsi="Times New Roman" w:cs="Times New Roman"/>
                      <w:color w:val="auto"/>
                      <w:spacing w:val="-6"/>
                      <w:sz w:val="21"/>
                      <w:szCs w:val="21"/>
                      <w:lang w:eastAsia="zh-CN"/>
                    </w:rPr>
                    <w:t>4</w:t>
                  </w:r>
                </w:p>
              </w:tc>
            </w:tr>
            <w:tr w14:paraId="3777D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895" w:type="dxa"/>
                  <w:vMerge w:val="continue"/>
                  <w:tcBorders>
                    <w:top w:val="nil"/>
                    <w:bottom w:val="nil"/>
                  </w:tcBorders>
                  <w:vAlign w:val="center"/>
                </w:tcPr>
                <w:p w14:paraId="26970199">
                  <w:pPr>
                    <w:jc w:val="center"/>
                    <w:rPr>
                      <w:color w:val="auto"/>
                    </w:rPr>
                  </w:pPr>
                </w:p>
              </w:tc>
              <w:tc>
                <w:tcPr>
                  <w:tcW w:w="700" w:type="dxa"/>
                  <w:vMerge w:val="continue"/>
                  <w:tcBorders>
                    <w:top w:val="nil"/>
                    <w:bottom w:val="nil"/>
                  </w:tcBorders>
                  <w:vAlign w:val="center"/>
                </w:tcPr>
                <w:p w14:paraId="380630D6">
                  <w:pPr>
                    <w:jc w:val="center"/>
                    <w:rPr>
                      <w:color w:val="auto"/>
                    </w:rPr>
                  </w:pPr>
                </w:p>
              </w:tc>
              <w:tc>
                <w:tcPr>
                  <w:tcW w:w="1400" w:type="dxa"/>
                  <w:vAlign w:val="center"/>
                </w:tcPr>
                <w:p w14:paraId="5877C982">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5"/>
                      <w:sz w:val="21"/>
                      <w:szCs w:val="21"/>
                      <w:lang w:eastAsia="zh-CN"/>
                    </w:rPr>
                    <w:t>万元工业增加值烟尘排放</w:t>
                  </w:r>
                  <w:r>
                    <w:rPr>
                      <w:rFonts w:ascii="Times New Roman" w:hAnsi="Times New Roman" w:cs="Times New Roman"/>
                      <w:color w:val="auto"/>
                      <w:sz w:val="21"/>
                      <w:szCs w:val="21"/>
                      <w:lang w:eastAsia="zh-CN"/>
                    </w:rPr>
                    <w:t>量</w:t>
                  </w:r>
                </w:p>
              </w:tc>
              <w:tc>
                <w:tcPr>
                  <w:tcW w:w="912" w:type="dxa"/>
                  <w:vAlign w:val="center"/>
                </w:tcPr>
                <w:p w14:paraId="113011FB">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kg/万元</w:t>
                  </w:r>
                </w:p>
              </w:tc>
              <w:tc>
                <w:tcPr>
                  <w:tcW w:w="975" w:type="dxa"/>
                  <w:vAlign w:val="center"/>
                </w:tcPr>
                <w:p w14:paraId="46B89526">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1113" w:type="dxa"/>
                  <w:vAlign w:val="center"/>
                </w:tcPr>
                <w:p w14:paraId="797248A1">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0.99</w:t>
                  </w:r>
                </w:p>
              </w:tc>
              <w:tc>
                <w:tcPr>
                  <w:tcW w:w="2425" w:type="dxa"/>
                  <w:vAlign w:val="center"/>
                </w:tcPr>
                <w:p w14:paraId="5AB8B147">
                  <w:pPr>
                    <w:pStyle w:val="51"/>
                    <w:jc w:val="center"/>
                    <w:rPr>
                      <w:rFonts w:ascii="Times New Roman" w:hAnsi="Times New Roman" w:cs="Times New Roman"/>
                      <w:color w:val="auto"/>
                      <w:spacing w:val="-3"/>
                      <w:sz w:val="21"/>
                      <w:szCs w:val="21"/>
                      <w:lang w:eastAsia="zh-CN"/>
                    </w:rPr>
                  </w:pPr>
                  <w:r>
                    <w:rPr>
                      <w:rFonts w:hint="eastAsia" w:ascii="Times New Roman" w:hAnsi="Times New Roman" w:cs="Times New Roman"/>
                      <w:color w:val="auto"/>
                      <w:spacing w:val="-3"/>
                      <w:sz w:val="21"/>
                      <w:szCs w:val="21"/>
                      <w:lang w:val="en-US" w:eastAsia="zh-CN"/>
                    </w:rPr>
                    <w:t>7</w:t>
                  </w:r>
                  <w:r>
                    <w:rPr>
                      <w:rFonts w:hint="eastAsia" w:ascii="Times New Roman" w:hAnsi="Times New Roman" w:cs="Times New Roman"/>
                      <w:color w:val="auto"/>
                      <w:spacing w:val="-3"/>
                      <w:sz w:val="21"/>
                      <w:szCs w:val="21"/>
                      <w:lang w:eastAsia="zh-CN"/>
                    </w:rPr>
                    <w:t>kg/</w:t>
                  </w:r>
                  <w:r>
                    <w:rPr>
                      <w:rFonts w:hint="eastAsia" w:ascii="Times New Roman" w:hAnsi="Times New Roman" w:cs="Times New Roman"/>
                      <w:color w:val="auto"/>
                      <w:spacing w:val="-2"/>
                      <w:sz w:val="21"/>
                      <w:szCs w:val="21"/>
                      <w:lang w:eastAsia="zh-CN"/>
                    </w:rPr>
                    <w:t>20000万元=0.000</w:t>
                  </w:r>
                  <w:r>
                    <w:rPr>
                      <w:rFonts w:hint="eastAsia" w:ascii="Times New Roman" w:hAnsi="Times New Roman" w:cs="Times New Roman"/>
                      <w:color w:val="auto"/>
                      <w:spacing w:val="-2"/>
                      <w:sz w:val="21"/>
                      <w:szCs w:val="21"/>
                      <w:lang w:val="en-US" w:eastAsia="zh-CN"/>
                    </w:rPr>
                    <w:t>4</w:t>
                  </w:r>
                </w:p>
              </w:tc>
              <w:tc>
                <w:tcPr>
                  <w:tcW w:w="934" w:type="dxa"/>
                  <w:vAlign w:val="center"/>
                </w:tcPr>
                <w:p w14:paraId="02FBBDB6">
                  <w:pPr>
                    <w:pStyle w:val="51"/>
                    <w:jc w:val="center"/>
                    <w:rPr>
                      <w:rFonts w:ascii="Times New Roman" w:hAnsi="Times New Roman" w:cs="Times New Roman"/>
                      <w:color w:val="auto"/>
                      <w:spacing w:val="-3"/>
                      <w:sz w:val="21"/>
                      <w:szCs w:val="21"/>
                      <w:lang w:eastAsia="zh-CN"/>
                    </w:rPr>
                  </w:pPr>
                  <w:r>
                    <w:rPr>
                      <w:rFonts w:hint="eastAsia" w:ascii="Times New Roman" w:hAnsi="Times New Roman" w:cs="Times New Roman"/>
                      <w:color w:val="auto"/>
                      <w:spacing w:val="-3"/>
                      <w:sz w:val="21"/>
                      <w:szCs w:val="21"/>
                      <w:lang w:eastAsia="zh-CN"/>
                    </w:rPr>
                    <w:t>6</w:t>
                  </w:r>
                </w:p>
              </w:tc>
            </w:tr>
            <w:tr w14:paraId="0BC3A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895" w:type="dxa"/>
                  <w:vMerge w:val="continue"/>
                  <w:tcBorders>
                    <w:top w:val="nil"/>
                    <w:bottom w:val="nil"/>
                  </w:tcBorders>
                  <w:vAlign w:val="center"/>
                </w:tcPr>
                <w:p w14:paraId="55F75001">
                  <w:pPr>
                    <w:jc w:val="center"/>
                    <w:rPr>
                      <w:color w:val="auto"/>
                    </w:rPr>
                  </w:pPr>
                </w:p>
              </w:tc>
              <w:tc>
                <w:tcPr>
                  <w:tcW w:w="700" w:type="dxa"/>
                  <w:vMerge w:val="continue"/>
                  <w:tcBorders>
                    <w:top w:val="nil"/>
                    <w:bottom w:val="nil"/>
                  </w:tcBorders>
                  <w:vAlign w:val="center"/>
                </w:tcPr>
                <w:p w14:paraId="3A7B8240">
                  <w:pPr>
                    <w:jc w:val="center"/>
                    <w:rPr>
                      <w:color w:val="auto"/>
                    </w:rPr>
                  </w:pPr>
                </w:p>
              </w:tc>
              <w:tc>
                <w:tcPr>
                  <w:tcW w:w="1400" w:type="dxa"/>
                  <w:vAlign w:val="center"/>
                </w:tcPr>
                <w:p w14:paraId="6EA53ECA">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5"/>
                      <w:sz w:val="21"/>
                      <w:szCs w:val="21"/>
                      <w:lang w:eastAsia="zh-CN"/>
                    </w:rPr>
                    <w:t>万元工业增加值外排废水</w:t>
                  </w:r>
                  <w:r>
                    <w:rPr>
                      <w:rFonts w:ascii="Times New Roman" w:hAnsi="Times New Roman" w:cs="Times New Roman"/>
                      <w:color w:val="auto"/>
                      <w:sz w:val="21"/>
                      <w:szCs w:val="21"/>
                      <w:lang w:eastAsia="zh-CN"/>
                    </w:rPr>
                    <w:t>量</w:t>
                  </w:r>
                </w:p>
              </w:tc>
              <w:tc>
                <w:tcPr>
                  <w:tcW w:w="912" w:type="dxa"/>
                  <w:vAlign w:val="center"/>
                </w:tcPr>
                <w:p w14:paraId="7F85404B">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t/万元</w:t>
                  </w:r>
                </w:p>
              </w:tc>
              <w:tc>
                <w:tcPr>
                  <w:tcW w:w="975" w:type="dxa"/>
                  <w:vAlign w:val="center"/>
                </w:tcPr>
                <w:p w14:paraId="11192006">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113" w:type="dxa"/>
                  <w:vAlign w:val="center"/>
                </w:tcPr>
                <w:p w14:paraId="08653A9E">
                  <w:pPr>
                    <w:pStyle w:val="51"/>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14.45</w:t>
                  </w:r>
                </w:p>
              </w:tc>
              <w:tc>
                <w:tcPr>
                  <w:tcW w:w="2425" w:type="dxa"/>
                  <w:vAlign w:val="center"/>
                </w:tcPr>
                <w:p w14:paraId="04E3E203">
                  <w:pPr>
                    <w:pStyle w:val="51"/>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3"/>
                      <w:sz w:val="21"/>
                      <w:szCs w:val="21"/>
                      <w:lang w:val="en-US" w:eastAsia="zh-CN"/>
                    </w:rPr>
                    <w:t>0</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2"/>
                      <w:sz w:val="21"/>
                      <w:szCs w:val="21"/>
                      <w:lang w:eastAsia="zh-CN"/>
                    </w:rPr>
                    <w:t>20000万元=</w:t>
                  </w:r>
                  <w:r>
                    <w:rPr>
                      <w:rFonts w:hint="eastAsia" w:ascii="Times New Roman" w:hAnsi="Times New Roman" w:cs="Times New Roman"/>
                      <w:color w:val="auto"/>
                      <w:spacing w:val="-2"/>
                      <w:sz w:val="21"/>
                      <w:szCs w:val="21"/>
                      <w:lang w:val="en-US" w:eastAsia="zh-CN"/>
                    </w:rPr>
                    <w:t>0</w:t>
                  </w:r>
                </w:p>
              </w:tc>
              <w:tc>
                <w:tcPr>
                  <w:tcW w:w="934" w:type="dxa"/>
                  <w:vAlign w:val="center"/>
                </w:tcPr>
                <w:p w14:paraId="33E1A593">
                  <w:pPr>
                    <w:pStyle w:val="51"/>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8</w:t>
                  </w:r>
                </w:p>
              </w:tc>
            </w:tr>
            <w:tr w14:paraId="18825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895" w:type="dxa"/>
                  <w:vMerge w:val="continue"/>
                  <w:tcBorders>
                    <w:top w:val="nil"/>
                    <w:bottom w:val="nil"/>
                  </w:tcBorders>
                  <w:vAlign w:val="center"/>
                </w:tcPr>
                <w:p w14:paraId="2528D161">
                  <w:pPr>
                    <w:jc w:val="center"/>
                    <w:rPr>
                      <w:color w:val="auto"/>
                    </w:rPr>
                  </w:pPr>
                </w:p>
              </w:tc>
              <w:tc>
                <w:tcPr>
                  <w:tcW w:w="700" w:type="dxa"/>
                  <w:vMerge w:val="continue"/>
                  <w:tcBorders>
                    <w:top w:val="nil"/>
                    <w:bottom w:val="nil"/>
                  </w:tcBorders>
                  <w:vAlign w:val="center"/>
                </w:tcPr>
                <w:p w14:paraId="7EECDE68">
                  <w:pPr>
                    <w:jc w:val="center"/>
                    <w:rPr>
                      <w:color w:val="auto"/>
                    </w:rPr>
                  </w:pPr>
                </w:p>
              </w:tc>
              <w:tc>
                <w:tcPr>
                  <w:tcW w:w="1400" w:type="dxa"/>
                  <w:vAlign w:val="center"/>
                </w:tcPr>
                <w:p w14:paraId="68D68042">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5"/>
                      <w:sz w:val="21"/>
                      <w:szCs w:val="21"/>
                      <w:lang w:eastAsia="zh-CN"/>
                    </w:rPr>
                    <w:t>万元工业增加值石油类排</w:t>
                  </w:r>
                  <w:r>
                    <w:rPr>
                      <w:rFonts w:ascii="Times New Roman" w:hAnsi="Times New Roman" w:cs="Times New Roman"/>
                      <w:color w:val="auto"/>
                      <w:spacing w:val="-3"/>
                      <w:sz w:val="21"/>
                      <w:szCs w:val="21"/>
                      <w:lang w:eastAsia="zh-CN"/>
                    </w:rPr>
                    <w:t>放量</w:t>
                  </w:r>
                </w:p>
              </w:tc>
              <w:tc>
                <w:tcPr>
                  <w:tcW w:w="912" w:type="dxa"/>
                  <w:vAlign w:val="center"/>
                </w:tcPr>
                <w:p w14:paraId="06854343">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kg/万元</w:t>
                  </w:r>
                </w:p>
              </w:tc>
              <w:tc>
                <w:tcPr>
                  <w:tcW w:w="975" w:type="dxa"/>
                  <w:vAlign w:val="center"/>
                </w:tcPr>
                <w:p w14:paraId="5D8A6016">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113" w:type="dxa"/>
                  <w:vAlign w:val="center"/>
                </w:tcPr>
                <w:p w14:paraId="538352B4">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0.03</w:t>
                  </w:r>
                </w:p>
              </w:tc>
              <w:tc>
                <w:tcPr>
                  <w:tcW w:w="2425" w:type="dxa"/>
                  <w:vAlign w:val="center"/>
                </w:tcPr>
                <w:p w14:paraId="79D46C39">
                  <w:pPr>
                    <w:pStyle w:val="51"/>
                    <w:jc w:val="center"/>
                    <w:rPr>
                      <w:rFonts w:ascii="Times New Roman" w:hAnsi="Times New Roman" w:cs="Times New Roman"/>
                      <w:color w:val="auto"/>
                      <w:spacing w:val="-3"/>
                      <w:sz w:val="21"/>
                      <w:szCs w:val="21"/>
                      <w:lang w:eastAsia="zh-CN"/>
                    </w:rPr>
                  </w:pPr>
                  <w:r>
                    <w:rPr>
                      <w:rFonts w:hint="eastAsia" w:ascii="Times New Roman" w:hAnsi="Times New Roman" w:cs="Times New Roman"/>
                      <w:color w:val="auto"/>
                      <w:spacing w:val="-3"/>
                      <w:sz w:val="21"/>
                      <w:szCs w:val="21"/>
                      <w:lang w:val="en-US" w:eastAsia="zh-CN"/>
                    </w:rPr>
                    <w:t>0</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2"/>
                      <w:sz w:val="21"/>
                      <w:szCs w:val="21"/>
                      <w:lang w:eastAsia="zh-CN"/>
                    </w:rPr>
                    <w:t>20000万元=</w:t>
                  </w:r>
                  <w:r>
                    <w:rPr>
                      <w:rFonts w:hint="eastAsia" w:ascii="Times New Roman" w:hAnsi="Times New Roman" w:cs="Times New Roman"/>
                      <w:color w:val="auto"/>
                      <w:spacing w:val="-2"/>
                      <w:sz w:val="21"/>
                      <w:szCs w:val="21"/>
                      <w:lang w:val="en-US" w:eastAsia="zh-CN"/>
                    </w:rPr>
                    <w:t>0</w:t>
                  </w:r>
                </w:p>
              </w:tc>
              <w:tc>
                <w:tcPr>
                  <w:tcW w:w="934" w:type="dxa"/>
                  <w:vAlign w:val="center"/>
                </w:tcPr>
                <w:p w14:paraId="65B99381">
                  <w:pPr>
                    <w:pStyle w:val="51"/>
                    <w:jc w:val="center"/>
                    <w:rPr>
                      <w:rFonts w:ascii="Times New Roman" w:hAnsi="Times New Roman" w:cs="Times New Roman"/>
                      <w:color w:val="auto"/>
                      <w:spacing w:val="-3"/>
                      <w:sz w:val="21"/>
                      <w:szCs w:val="21"/>
                      <w:lang w:eastAsia="zh-CN"/>
                    </w:rPr>
                  </w:pPr>
                  <w:r>
                    <w:rPr>
                      <w:rFonts w:hint="eastAsia" w:ascii="Times New Roman" w:hAnsi="Times New Roman" w:cs="Times New Roman"/>
                      <w:color w:val="auto"/>
                      <w:spacing w:val="-3"/>
                      <w:sz w:val="21"/>
                      <w:szCs w:val="21"/>
                      <w:lang w:eastAsia="zh-CN"/>
                    </w:rPr>
                    <w:t>3</w:t>
                  </w:r>
                </w:p>
              </w:tc>
            </w:tr>
            <w:tr w14:paraId="5F5F0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895" w:type="dxa"/>
                  <w:vMerge w:val="continue"/>
                  <w:tcBorders>
                    <w:top w:val="nil"/>
                    <w:bottom w:val="nil"/>
                  </w:tcBorders>
                  <w:vAlign w:val="center"/>
                </w:tcPr>
                <w:p w14:paraId="64845218">
                  <w:pPr>
                    <w:jc w:val="center"/>
                    <w:rPr>
                      <w:color w:val="auto"/>
                    </w:rPr>
                  </w:pPr>
                </w:p>
              </w:tc>
              <w:tc>
                <w:tcPr>
                  <w:tcW w:w="700" w:type="dxa"/>
                  <w:vMerge w:val="continue"/>
                  <w:tcBorders>
                    <w:top w:val="nil"/>
                    <w:bottom w:val="nil"/>
                  </w:tcBorders>
                  <w:vAlign w:val="center"/>
                </w:tcPr>
                <w:p w14:paraId="3348D808">
                  <w:pPr>
                    <w:jc w:val="center"/>
                    <w:rPr>
                      <w:color w:val="auto"/>
                    </w:rPr>
                  </w:pPr>
                </w:p>
              </w:tc>
              <w:tc>
                <w:tcPr>
                  <w:tcW w:w="1400" w:type="dxa"/>
                  <w:vAlign w:val="center"/>
                </w:tcPr>
                <w:p w14:paraId="61C5F964">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
                      <w:sz w:val="21"/>
                      <w:szCs w:val="21"/>
                      <w:lang w:eastAsia="zh-CN"/>
                    </w:rPr>
                    <w:t>万元工业增加值COD排放量</w:t>
                  </w:r>
                </w:p>
              </w:tc>
              <w:tc>
                <w:tcPr>
                  <w:tcW w:w="912" w:type="dxa"/>
                  <w:vAlign w:val="center"/>
                </w:tcPr>
                <w:p w14:paraId="6FB84E0C">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kg/万元</w:t>
                  </w:r>
                </w:p>
              </w:tc>
              <w:tc>
                <w:tcPr>
                  <w:tcW w:w="975" w:type="dxa"/>
                  <w:vAlign w:val="center"/>
                </w:tcPr>
                <w:p w14:paraId="5472110F">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113" w:type="dxa"/>
                  <w:vAlign w:val="center"/>
                </w:tcPr>
                <w:p w14:paraId="4B6858C5">
                  <w:pPr>
                    <w:pStyle w:val="51"/>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1.77</w:t>
                  </w:r>
                </w:p>
              </w:tc>
              <w:tc>
                <w:tcPr>
                  <w:tcW w:w="2425" w:type="dxa"/>
                  <w:vAlign w:val="center"/>
                </w:tcPr>
                <w:p w14:paraId="1B7520C6">
                  <w:pPr>
                    <w:pStyle w:val="51"/>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3"/>
                      <w:sz w:val="21"/>
                      <w:szCs w:val="21"/>
                      <w:lang w:val="en-US" w:eastAsia="zh-CN"/>
                    </w:rPr>
                    <w:t>0</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2"/>
                      <w:sz w:val="21"/>
                      <w:szCs w:val="21"/>
                      <w:lang w:eastAsia="zh-CN"/>
                    </w:rPr>
                    <w:t>20000万元=</w:t>
                  </w:r>
                  <w:r>
                    <w:rPr>
                      <w:rFonts w:hint="eastAsia" w:ascii="Times New Roman" w:hAnsi="Times New Roman" w:cs="Times New Roman"/>
                      <w:color w:val="auto"/>
                      <w:spacing w:val="-2"/>
                      <w:sz w:val="21"/>
                      <w:szCs w:val="21"/>
                      <w:lang w:val="en-US" w:eastAsia="zh-CN"/>
                    </w:rPr>
                    <w:t>0</w:t>
                  </w:r>
                </w:p>
              </w:tc>
              <w:tc>
                <w:tcPr>
                  <w:tcW w:w="934" w:type="dxa"/>
                  <w:vAlign w:val="center"/>
                </w:tcPr>
                <w:p w14:paraId="6E597CBE">
                  <w:pPr>
                    <w:pStyle w:val="51"/>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3</w:t>
                  </w:r>
                </w:p>
              </w:tc>
            </w:tr>
            <w:tr w14:paraId="673C6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895" w:type="dxa"/>
                  <w:vMerge w:val="continue"/>
                  <w:tcBorders>
                    <w:top w:val="nil"/>
                  </w:tcBorders>
                  <w:vAlign w:val="center"/>
                </w:tcPr>
                <w:p w14:paraId="69156A45">
                  <w:pPr>
                    <w:jc w:val="center"/>
                    <w:rPr>
                      <w:color w:val="auto"/>
                    </w:rPr>
                  </w:pPr>
                </w:p>
              </w:tc>
              <w:tc>
                <w:tcPr>
                  <w:tcW w:w="700" w:type="dxa"/>
                  <w:vMerge w:val="continue"/>
                  <w:tcBorders>
                    <w:top w:val="nil"/>
                  </w:tcBorders>
                  <w:vAlign w:val="center"/>
                </w:tcPr>
                <w:p w14:paraId="4C299270">
                  <w:pPr>
                    <w:jc w:val="center"/>
                    <w:rPr>
                      <w:color w:val="auto"/>
                    </w:rPr>
                  </w:pPr>
                </w:p>
              </w:tc>
              <w:tc>
                <w:tcPr>
                  <w:tcW w:w="1400" w:type="dxa"/>
                  <w:vAlign w:val="center"/>
                </w:tcPr>
                <w:p w14:paraId="2074122F">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5"/>
                      <w:sz w:val="21"/>
                      <w:szCs w:val="21"/>
                      <w:lang w:eastAsia="zh-CN"/>
                    </w:rPr>
                    <w:t>万元工业增加值废渣排放</w:t>
                  </w:r>
                  <w:r>
                    <w:rPr>
                      <w:rFonts w:ascii="Times New Roman" w:hAnsi="Times New Roman" w:cs="Times New Roman"/>
                      <w:color w:val="auto"/>
                      <w:sz w:val="21"/>
                      <w:szCs w:val="21"/>
                      <w:lang w:eastAsia="zh-CN"/>
                    </w:rPr>
                    <w:t>量</w:t>
                  </w:r>
                </w:p>
              </w:tc>
              <w:tc>
                <w:tcPr>
                  <w:tcW w:w="912" w:type="dxa"/>
                  <w:vAlign w:val="center"/>
                </w:tcPr>
                <w:p w14:paraId="1998595F">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t/万元</w:t>
                  </w:r>
                </w:p>
              </w:tc>
              <w:tc>
                <w:tcPr>
                  <w:tcW w:w="975" w:type="dxa"/>
                  <w:vAlign w:val="center"/>
                </w:tcPr>
                <w:p w14:paraId="27279A37">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1113" w:type="dxa"/>
                  <w:vAlign w:val="center"/>
                </w:tcPr>
                <w:p w14:paraId="45C2B71A">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0.12</w:t>
                  </w:r>
                </w:p>
              </w:tc>
              <w:tc>
                <w:tcPr>
                  <w:tcW w:w="2425" w:type="dxa"/>
                  <w:vAlign w:val="center"/>
                </w:tcPr>
                <w:p w14:paraId="44758A3D">
                  <w:pPr>
                    <w:pStyle w:val="51"/>
                    <w:jc w:val="center"/>
                    <w:rPr>
                      <w:rFonts w:hint="default" w:ascii="Times New Roman" w:hAnsi="Times New Roman"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95.413t/20000</w:t>
                  </w:r>
                  <w:r>
                    <w:rPr>
                      <w:rFonts w:hint="eastAsia" w:ascii="Times New Roman" w:hAnsi="Times New Roman" w:cs="Times New Roman"/>
                      <w:color w:val="auto"/>
                      <w:spacing w:val="-2"/>
                      <w:sz w:val="21"/>
                      <w:szCs w:val="21"/>
                      <w:lang w:eastAsia="zh-CN"/>
                    </w:rPr>
                    <w:t>万元</w:t>
                  </w:r>
                  <w:r>
                    <w:rPr>
                      <w:rFonts w:hint="eastAsia" w:ascii="Times New Roman" w:hAnsi="Times New Roman" w:cs="Times New Roman"/>
                      <w:color w:val="auto"/>
                      <w:spacing w:val="-2"/>
                      <w:sz w:val="21"/>
                      <w:szCs w:val="21"/>
                      <w:lang w:val="en-US" w:eastAsia="zh-CN"/>
                    </w:rPr>
                    <w:t>=0.005</w:t>
                  </w:r>
                </w:p>
              </w:tc>
              <w:tc>
                <w:tcPr>
                  <w:tcW w:w="934" w:type="dxa"/>
                  <w:vAlign w:val="center"/>
                </w:tcPr>
                <w:p w14:paraId="50595871">
                  <w:pPr>
                    <w:pStyle w:val="51"/>
                    <w:jc w:val="center"/>
                    <w:rPr>
                      <w:rFonts w:ascii="Times New Roman" w:hAnsi="Times New Roman" w:cs="Times New Roman"/>
                      <w:color w:val="auto"/>
                      <w:spacing w:val="-3"/>
                      <w:sz w:val="21"/>
                      <w:szCs w:val="21"/>
                      <w:lang w:eastAsia="zh-CN"/>
                    </w:rPr>
                  </w:pPr>
                  <w:r>
                    <w:rPr>
                      <w:rFonts w:hint="eastAsia" w:ascii="Times New Roman" w:hAnsi="Times New Roman" w:cs="Times New Roman"/>
                      <w:color w:val="auto"/>
                      <w:spacing w:val="-3"/>
                      <w:sz w:val="21"/>
                      <w:szCs w:val="21"/>
                      <w:lang w:eastAsia="zh-CN"/>
                    </w:rPr>
                    <w:t>6</w:t>
                  </w:r>
                </w:p>
              </w:tc>
            </w:tr>
            <w:tr w14:paraId="04D14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895" w:type="dxa"/>
                  <w:vMerge w:val="restart"/>
                  <w:tcBorders>
                    <w:bottom w:val="nil"/>
                  </w:tcBorders>
                  <w:vAlign w:val="center"/>
                </w:tcPr>
                <w:p w14:paraId="55B61821">
                  <w:pPr>
                    <w:pStyle w:val="51"/>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（三）产品特征指标</w:t>
                  </w:r>
                </w:p>
              </w:tc>
              <w:tc>
                <w:tcPr>
                  <w:tcW w:w="700" w:type="dxa"/>
                  <w:vMerge w:val="restart"/>
                  <w:tcBorders>
                    <w:bottom w:val="nil"/>
                  </w:tcBorders>
                  <w:vAlign w:val="center"/>
                </w:tcPr>
                <w:p w14:paraId="28D7BB04">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30</w:t>
                  </w:r>
                </w:p>
              </w:tc>
              <w:tc>
                <w:tcPr>
                  <w:tcW w:w="1400" w:type="dxa"/>
                  <w:vAlign w:val="center"/>
                </w:tcPr>
                <w:p w14:paraId="34D38712">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能源效率指标</w:t>
                  </w:r>
                </w:p>
              </w:tc>
              <w:tc>
                <w:tcPr>
                  <w:tcW w:w="912" w:type="dxa"/>
                  <w:vAlign w:val="center"/>
                </w:tcPr>
                <w:p w14:paraId="7BDEDCB6">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75" w:type="dxa"/>
                  <w:vAlign w:val="center"/>
                </w:tcPr>
                <w:p w14:paraId="57C8F545">
                  <w:pPr>
                    <w:pStyle w:val="51"/>
                    <w:jc w:val="center"/>
                    <w:rPr>
                      <w:rFonts w:ascii="Times New Roman" w:hAnsi="Times New Roman" w:cs="Times New Roman"/>
                      <w:color w:val="auto"/>
                      <w:sz w:val="21"/>
                      <w:szCs w:val="21"/>
                    </w:rPr>
                  </w:pPr>
                  <w:r>
                    <w:rPr>
                      <w:rFonts w:ascii="Times New Roman" w:hAnsi="Times New Roman" w:cs="Times New Roman"/>
                      <w:color w:val="auto"/>
                      <w:spacing w:val="-6"/>
                      <w:sz w:val="21"/>
                      <w:szCs w:val="21"/>
                    </w:rPr>
                    <w:t>12</w:t>
                  </w:r>
                </w:p>
              </w:tc>
              <w:tc>
                <w:tcPr>
                  <w:tcW w:w="1113" w:type="dxa"/>
                  <w:vAlign w:val="center"/>
                </w:tcPr>
                <w:p w14:paraId="543A69D3">
                  <w:pPr>
                    <w:pStyle w:val="51"/>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国家/行业产品</w:t>
                  </w:r>
                  <w:r>
                    <w:rPr>
                      <w:rFonts w:ascii="Times New Roman" w:hAnsi="Times New Roman" w:cs="Times New Roman"/>
                      <w:color w:val="auto"/>
                      <w:sz w:val="21"/>
                      <w:szCs w:val="21"/>
                    </w:rPr>
                    <w:t>标准</w:t>
                  </w:r>
                </w:p>
              </w:tc>
              <w:tc>
                <w:tcPr>
                  <w:tcW w:w="2425" w:type="dxa"/>
                  <w:vAlign w:val="center"/>
                </w:tcPr>
                <w:p w14:paraId="7FD5812C">
                  <w:pPr>
                    <w:pStyle w:val="51"/>
                    <w:jc w:val="center"/>
                    <w:rPr>
                      <w:rFonts w:ascii="Times New Roman" w:hAnsi="Times New Roman" w:cs="Times New Roman"/>
                      <w:color w:val="auto"/>
                      <w:spacing w:val="-3"/>
                      <w:sz w:val="21"/>
                      <w:szCs w:val="21"/>
                      <w:lang w:eastAsia="zh-CN"/>
                    </w:rPr>
                  </w:pPr>
                  <w:r>
                    <w:rPr>
                      <w:rFonts w:hint="eastAsia" w:ascii="Times New Roman" w:hAnsi="Times New Roman" w:cs="Times New Roman"/>
                      <w:color w:val="auto"/>
                      <w:spacing w:val="-3"/>
                      <w:sz w:val="21"/>
                      <w:szCs w:val="21"/>
                      <w:lang w:eastAsia="zh-CN"/>
                    </w:rPr>
                    <w:t>单位产品能耗233510kgce/2800万支=83</w:t>
                  </w:r>
                  <w:r>
                    <w:rPr>
                      <w:rFonts w:ascii="Times New Roman" w:hAnsi="Times New Roman" w:cs="Times New Roman"/>
                      <w:color w:val="auto"/>
                      <w:spacing w:val="-3"/>
                      <w:sz w:val="21"/>
                      <w:szCs w:val="21"/>
                      <w:lang w:eastAsia="zh-CN"/>
                    </w:rPr>
                    <w:t>kgce/</w:t>
                  </w:r>
                  <w:r>
                    <w:rPr>
                      <w:rFonts w:hint="eastAsia" w:ascii="Times New Roman" w:hAnsi="Times New Roman" w:cs="Times New Roman"/>
                      <w:color w:val="auto"/>
                      <w:spacing w:val="-3"/>
                      <w:sz w:val="21"/>
                      <w:szCs w:val="21"/>
                      <w:lang w:eastAsia="zh-CN"/>
                    </w:rPr>
                    <w:t>万支（折标系数0.1229kgce/kW·h）</w:t>
                  </w:r>
                </w:p>
              </w:tc>
              <w:tc>
                <w:tcPr>
                  <w:tcW w:w="934" w:type="dxa"/>
                  <w:vAlign w:val="center"/>
                </w:tcPr>
                <w:p w14:paraId="2FE2A5FC">
                  <w:pPr>
                    <w:pStyle w:val="51"/>
                    <w:jc w:val="center"/>
                    <w:rPr>
                      <w:rFonts w:hint="default" w:ascii="Times New Roman" w:hAnsi="Times New Roman"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10</w:t>
                  </w:r>
                </w:p>
              </w:tc>
            </w:tr>
            <w:tr w14:paraId="61DFF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895" w:type="dxa"/>
                  <w:vMerge w:val="continue"/>
                  <w:tcBorders>
                    <w:top w:val="nil"/>
                    <w:bottom w:val="nil"/>
                  </w:tcBorders>
                  <w:vAlign w:val="center"/>
                </w:tcPr>
                <w:p w14:paraId="37642944">
                  <w:pPr>
                    <w:pStyle w:val="51"/>
                    <w:jc w:val="center"/>
                    <w:rPr>
                      <w:rFonts w:ascii="Times New Roman" w:hAnsi="Times New Roman" w:cs="Times New Roman"/>
                      <w:color w:val="auto"/>
                      <w:sz w:val="21"/>
                      <w:szCs w:val="21"/>
                      <w:lang w:eastAsia="zh-CN"/>
                    </w:rPr>
                  </w:pPr>
                </w:p>
              </w:tc>
              <w:tc>
                <w:tcPr>
                  <w:tcW w:w="700" w:type="dxa"/>
                  <w:vMerge w:val="continue"/>
                  <w:tcBorders>
                    <w:top w:val="nil"/>
                    <w:bottom w:val="nil"/>
                  </w:tcBorders>
                  <w:vAlign w:val="center"/>
                </w:tcPr>
                <w:p w14:paraId="1DF2986C">
                  <w:pPr>
                    <w:jc w:val="center"/>
                    <w:rPr>
                      <w:color w:val="auto"/>
                    </w:rPr>
                  </w:pPr>
                </w:p>
              </w:tc>
              <w:tc>
                <w:tcPr>
                  <w:tcW w:w="1400" w:type="dxa"/>
                  <w:vAlign w:val="center"/>
                </w:tcPr>
                <w:p w14:paraId="0AA4CEAA">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污染物排放指标</w:t>
                  </w:r>
                </w:p>
              </w:tc>
              <w:tc>
                <w:tcPr>
                  <w:tcW w:w="912" w:type="dxa"/>
                  <w:vAlign w:val="center"/>
                </w:tcPr>
                <w:p w14:paraId="50130199">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75" w:type="dxa"/>
                  <w:vAlign w:val="center"/>
                </w:tcPr>
                <w:p w14:paraId="1CB5D313">
                  <w:pPr>
                    <w:pStyle w:val="51"/>
                    <w:jc w:val="center"/>
                    <w:rPr>
                      <w:rFonts w:ascii="Times New Roman" w:hAnsi="Times New Roman" w:cs="Times New Roman"/>
                      <w:color w:val="auto"/>
                      <w:sz w:val="21"/>
                      <w:szCs w:val="21"/>
                    </w:rPr>
                  </w:pPr>
                  <w:r>
                    <w:rPr>
                      <w:rFonts w:ascii="Times New Roman" w:hAnsi="Times New Roman" w:cs="Times New Roman"/>
                      <w:color w:val="auto"/>
                      <w:spacing w:val="-6"/>
                      <w:sz w:val="21"/>
                      <w:szCs w:val="21"/>
                    </w:rPr>
                    <w:t>12</w:t>
                  </w:r>
                </w:p>
              </w:tc>
              <w:tc>
                <w:tcPr>
                  <w:tcW w:w="1113" w:type="dxa"/>
                  <w:vAlign w:val="center"/>
                </w:tcPr>
                <w:p w14:paraId="0C69F183">
                  <w:pPr>
                    <w:pStyle w:val="51"/>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国家/行业产品</w:t>
                  </w:r>
                  <w:r>
                    <w:rPr>
                      <w:rFonts w:ascii="Times New Roman" w:hAnsi="Times New Roman" w:cs="Times New Roman"/>
                      <w:color w:val="auto"/>
                      <w:sz w:val="21"/>
                      <w:szCs w:val="21"/>
                    </w:rPr>
                    <w:t>标准</w:t>
                  </w:r>
                </w:p>
              </w:tc>
              <w:tc>
                <w:tcPr>
                  <w:tcW w:w="2425" w:type="dxa"/>
                  <w:vAlign w:val="center"/>
                </w:tcPr>
                <w:p w14:paraId="30366E85">
                  <w:pPr>
                    <w:pStyle w:val="51"/>
                    <w:jc w:val="center"/>
                    <w:rPr>
                      <w:rFonts w:ascii="Times New Roman" w:hAnsi="Times New Roman" w:cs="Times New Roman"/>
                      <w:color w:val="auto"/>
                      <w:spacing w:val="-5"/>
                      <w:sz w:val="21"/>
                      <w:szCs w:val="21"/>
                      <w:lang w:eastAsia="zh-CN"/>
                    </w:rPr>
                  </w:pPr>
                  <w:r>
                    <w:rPr>
                      <w:rFonts w:ascii="Times New Roman" w:hAnsi="Times New Roman" w:cs="Times New Roman"/>
                      <w:color w:val="auto"/>
                      <w:spacing w:val="-5"/>
                      <w:sz w:val="21"/>
                      <w:szCs w:val="21"/>
                      <w:lang w:eastAsia="zh-CN"/>
                    </w:rPr>
                    <w:t>建设项目主要污染物非甲烷总烃、颗粒物</w:t>
                  </w:r>
                  <w:r>
                    <w:rPr>
                      <w:rFonts w:hint="eastAsia" w:ascii="Times New Roman" w:hAnsi="Times New Roman" w:cs="Times New Roman"/>
                      <w:color w:val="auto"/>
                      <w:spacing w:val="-5"/>
                      <w:sz w:val="21"/>
                      <w:szCs w:val="21"/>
                      <w:lang w:eastAsia="zh-CN"/>
                    </w:rPr>
                    <w:t>排放浓度及排放速率</w:t>
                  </w:r>
                  <w:r>
                    <w:rPr>
                      <w:rFonts w:ascii="Times New Roman" w:hAnsi="Times New Roman" w:cs="Times New Roman"/>
                      <w:color w:val="auto"/>
                      <w:spacing w:val="-5"/>
                      <w:sz w:val="21"/>
                      <w:szCs w:val="21"/>
                      <w:lang w:eastAsia="zh-CN"/>
                    </w:rPr>
                    <w:t>符合《大气污染物综合排放标准》（DB32/4041-2021）表1、3标准，废水污染物</w:t>
                  </w:r>
                  <w:r>
                    <w:rPr>
                      <w:rFonts w:hint="eastAsia" w:ascii="Times New Roman" w:hAnsi="Times New Roman" w:cs="Times New Roman"/>
                      <w:color w:val="auto"/>
                      <w:spacing w:val="-5"/>
                      <w:sz w:val="21"/>
                      <w:szCs w:val="21"/>
                      <w:lang w:eastAsia="zh-CN"/>
                    </w:rPr>
                    <w:t>排放</w:t>
                  </w:r>
                  <w:r>
                    <w:rPr>
                      <w:rFonts w:ascii="Times New Roman" w:hAnsi="Times New Roman" w:cs="Times New Roman"/>
                      <w:color w:val="auto"/>
                      <w:spacing w:val="-5"/>
                      <w:sz w:val="21"/>
                      <w:szCs w:val="21"/>
                      <w:lang w:eastAsia="zh-CN"/>
                    </w:rPr>
                    <w:t>浓度符合《污水排入城镇下水道水质标准》（GB/T31962-2015）表1中B级标准</w:t>
                  </w:r>
                </w:p>
              </w:tc>
              <w:tc>
                <w:tcPr>
                  <w:tcW w:w="934" w:type="dxa"/>
                  <w:vAlign w:val="center"/>
                </w:tcPr>
                <w:p w14:paraId="634E59EB">
                  <w:pPr>
                    <w:pStyle w:val="51"/>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12</w:t>
                  </w:r>
                </w:p>
              </w:tc>
            </w:tr>
            <w:tr w14:paraId="44388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895" w:type="dxa"/>
                  <w:vMerge w:val="continue"/>
                  <w:tcBorders>
                    <w:top w:val="nil"/>
                    <w:bottom w:val="single" w:color="auto" w:sz="4" w:space="0"/>
                  </w:tcBorders>
                  <w:vAlign w:val="center"/>
                </w:tcPr>
                <w:p w14:paraId="2C137FC4">
                  <w:pPr>
                    <w:pStyle w:val="51"/>
                    <w:jc w:val="center"/>
                    <w:rPr>
                      <w:rFonts w:ascii="Times New Roman" w:hAnsi="Times New Roman" w:cs="Times New Roman"/>
                      <w:color w:val="auto"/>
                      <w:sz w:val="21"/>
                      <w:szCs w:val="21"/>
                      <w:lang w:eastAsia="zh-CN"/>
                    </w:rPr>
                  </w:pPr>
                </w:p>
              </w:tc>
              <w:tc>
                <w:tcPr>
                  <w:tcW w:w="700" w:type="dxa"/>
                  <w:vMerge w:val="continue"/>
                  <w:tcBorders>
                    <w:top w:val="nil"/>
                    <w:bottom w:val="single" w:color="auto" w:sz="4" w:space="0"/>
                  </w:tcBorders>
                  <w:vAlign w:val="center"/>
                </w:tcPr>
                <w:p w14:paraId="51B59913">
                  <w:pPr>
                    <w:jc w:val="center"/>
                    <w:rPr>
                      <w:color w:val="auto"/>
                    </w:rPr>
                  </w:pPr>
                </w:p>
              </w:tc>
              <w:tc>
                <w:tcPr>
                  <w:tcW w:w="1400" w:type="dxa"/>
                  <w:vAlign w:val="center"/>
                </w:tcPr>
                <w:p w14:paraId="7F937092">
                  <w:pPr>
                    <w:pStyle w:val="51"/>
                    <w:jc w:val="center"/>
                    <w:rPr>
                      <w:rFonts w:ascii="Times New Roman" w:hAnsi="Times New Roman" w:cs="Times New Roman"/>
                      <w:color w:val="auto"/>
                      <w:sz w:val="21"/>
                      <w:szCs w:val="21"/>
                    </w:rPr>
                  </w:pPr>
                  <w:r>
                    <w:rPr>
                      <w:rFonts w:ascii="Times New Roman" w:hAnsi="Times New Roman" w:cs="Times New Roman"/>
                      <w:color w:val="auto"/>
                      <w:spacing w:val="-4"/>
                      <w:sz w:val="21"/>
                      <w:szCs w:val="21"/>
                    </w:rPr>
                    <w:t>噪声指标</w:t>
                  </w:r>
                </w:p>
              </w:tc>
              <w:tc>
                <w:tcPr>
                  <w:tcW w:w="912" w:type="dxa"/>
                  <w:vAlign w:val="center"/>
                </w:tcPr>
                <w:p w14:paraId="3798D55D">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75" w:type="dxa"/>
                  <w:vAlign w:val="center"/>
                </w:tcPr>
                <w:p w14:paraId="2119EAC9">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6</w:t>
                  </w:r>
                </w:p>
              </w:tc>
              <w:tc>
                <w:tcPr>
                  <w:tcW w:w="1113" w:type="dxa"/>
                  <w:vAlign w:val="center"/>
                </w:tcPr>
                <w:p w14:paraId="41CA26A4">
                  <w:pPr>
                    <w:pStyle w:val="51"/>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国家/行业产品</w:t>
                  </w:r>
                  <w:r>
                    <w:rPr>
                      <w:rFonts w:ascii="Times New Roman" w:hAnsi="Times New Roman" w:cs="Times New Roman"/>
                      <w:color w:val="auto"/>
                      <w:sz w:val="21"/>
                      <w:szCs w:val="21"/>
                    </w:rPr>
                    <w:t>标准</w:t>
                  </w:r>
                </w:p>
              </w:tc>
              <w:tc>
                <w:tcPr>
                  <w:tcW w:w="2425" w:type="dxa"/>
                  <w:vAlign w:val="center"/>
                </w:tcPr>
                <w:p w14:paraId="52FE4CF0">
                  <w:pPr>
                    <w:pStyle w:val="51"/>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昼间＜65、夜间＜55</w:t>
                  </w:r>
                </w:p>
              </w:tc>
              <w:tc>
                <w:tcPr>
                  <w:tcW w:w="934" w:type="dxa"/>
                  <w:vAlign w:val="center"/>
                </w:tcPr>
                <w:p w14:paraId="47045E1C">
                  <w:pPr>
                    <w:pStyle w:val="51"/>
                    <w:jc w:val="center"/>
                    <w:rPr>
                      <w:rFonts w:ascii="Times New Roman" w:hAnsi="Times New Roman" w:cs="Times New Roman"/>
                      <w:color w:val="auto"/>
                      <w:spacing w:val="-5"/>
                      <w:sz w:val="21"/>
                      <w:szCs w:val="21"/>
                      <w:lang w:eastAsia="zh-CN"/>
                    </w:rPr>
                  </w:pPr>
                  <w:r>
                    <w:rPr>
                      <w:rFonts w:hint="eastAsia" w:ascii="Times New Roman" w:hAnsi="Times New Roman" w:cs="Times New Roman"/>
                      <w:color w:val="auto"/>
                      <w:spacing w:val="-5"/>
                      <w:sz w:val="21"/>
                      <w:szCs w:val="21"/>
                      <w:lang w:eastAsia="zh-CN"/>
                    </w:rPr>
                    <w:t>6</w:t>
                  </w:r>
                </w:p>
              </w:tc>
            </w:tr>
            <w:tr w14:paraId="3F859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895" w:type="dxa"/>
                  <w:vMerge w:val="restart"/>
                  <w:tcBorders>
                    <w:top w:val="single" w:color="auto" w:sz="4" w:space="0"/>
                    <w:left w:val="single" w:color="auto" w:sz="4" w:space="0"/>
                    <w:bottom w:val="single" w:color="auto" w:sz="4" w:space="0"/>
                    <w:right w:val="single" w:color="auto" w:sz="4" w:space="0"/>
                  </w:tcBorders>
                  <w:vAlign w:val="center"/>
                </w:tcPr>
                <w:p w14:paraId="5E06D7A0">
                  <w:pPr>
                    <w:pStyle w:val="51"/>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（四）资源综合利用指标</w:t>
                  </w:r>
                </w:p>
              </w:tc>
              <w:tc>
                <w:tcPr>
                  <w:tcW w:w="700" w:type="dxa"/>
                  <w:vMerge w:val="restart"/>
                  <w:tcBorders>
                    <w:top w:val="single" w:color="auto" w:sz="4" w:space="0"/>
                    <w:left w:val="single" w:color="auto" w:sz="4" w:space="0"/>
                    <w:bottom w:val="single" w:color="auto" w:sz="4" w:space="0"/>
                    <w:right w:val="single" w:color="auto" w:sz="4" w:space="0"/>
                  </w:tcBorders>
                  <w:vAlign w:val="center"/>
                </w:tcPr>
                <w:p w14:paraId="32C623F6">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20</w:t>
                  </w:r>
                </w:p>
              </w:tc>
              <w:tc>
                <w:tcPr>
                  <w:tcW w:w="1400" w:type="dxa"/>
                  <w:tcBorders>
                    <w:left w:val="single" w:color="auto" w:sz="4" w:space="0"/>
                  </w:tcBorders>
                  <w:vAlign w:val="center"/>
                </w:tcPr>
                <w:p w14:paraId="3541FA89">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
                      <w:sz w:val="21"/>
                      <w:szCs w:val="21"/>
                      <w:lang w:eastAsia="zh-CN"/>
                    </w:rPr>
                    <w:t>全厂生产用水重复利用率</w:t>
                  </w:r>
                </w:p>
              </w:tc>
              <w:tc>
                <w:tcPr>
                  <w:tcW w:w="912" w:type="dxa"/>
                  <w:vAlign w:val="center"/>
                </w:tcPr>
                <w:p w14:paraId="2F8EFAB7">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75" w:type="dxa"/>
                  <w:vAlign w:val="center"/>
                </w:tcPr>
                <w:p w14:paraId="6D512C8C">
                  <w:pPr>
                    <w:pStyle w:val="51"/>
                    <w:jc w:val="center"/>
                    <w:rPr>
                      <w:rFonts w:ascii="Times New Roman" w:hAnsi="Times New Roman" w:cs="Times New Roman"/>
                      <w:color w:val="auto"/>
                      <w:sz w:val="21"/>
                      <w:szCs w:val="21"/>
                    </w:rPr>
                  </w:pPr>
                  <w:r>
                    <w:rPr>
                      <w:rFonts w:ascii="Times New Roman" w:hAnsi="Times New Roman" w:cs="Times New Roman"/>
                      <w:color w:val="auto"/>
                      <w:spacing w:val="-6"/>
                      <w:sz w:val="21"/>
                      <w:szCs w:val="21"/>
                    </w:rPr>
                    <w:t>10</w:t>
                  </w:r>
                </w:p>
              </w:tc>
              <w:tc>
                <w:tcPr>
                  <w:tcW w:w="1113" w:type="dxa"/>
                  <w:vAlign w:val="center"/>
                </w:tcPr>
                <w:p w14:paraId="34D11A01">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80%</w:t>
                  </w:r>
                </w:p>
              </w:tc>
              <w:tc>
                <w:tcPr>
                  <w:tcW w:w="2425" w:type="dxa"/>
                  <w:vAlign w:val="center"/>
                </w:tcPr>
                <w:p w14:paraId="7F294DCE">
                  <w:pPr>
                    <w:pStyle w:val="51"/>
                    <w:jc w:val="center"/>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eastAsia="zh-CN"/>
                    </w:rPr>
                    <w:t>不涉及</w:t>
                  </w:r>
                </w:p>
              </w:tc>
              <w:tc>
                <w:tcPr>
                  <w:tcW w:w="934" w:type="dxa"/>
                  <w:vAlign w:val="center"/>
                </w:tcPr>
                <w:p w14:paraId="1E2356D4">
                  <w:pPr>
                    <w:pStyle w:val="51"/>
                    <w:jc w:val="center"/>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10</w:t>
                  </w:r>
                </w:p>
              </w:tc>
            </w:tr>
            <w:tr w14:paraId="2FA2E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95" w:type="dxa"/>
                  <w:vMerge w:val="continue"/>
                  <w:tcBorders>
                    <w:top w:val="single" w:color="auto" w:sz="4" w:space="0"/>
                    <w:left w:val="single" w:color="auto" w:sz="4" w:space="0"/>
                    <w:bottom w:val="single" w:color="auto" w:sz="4" w:space="0"/>
                    <w:right w:val="single" w:color="auto" w:sz="4" w:space="0"/>
                  </w:tcBorders>
                  <w:vAlign w:val="center"/>
                </w:tcPr>
                <w:p w14:paraId="079D8D76">
                  <w:pPr>
                    <w:jc w:val="center"/>
                    <w:rPr>
                      <w:color w:val="auto"/>
                    </w:rPr>
                  </w:pPr>
                </w:p>
              </w:tc>
              <w:tc>
                <w:tcPr>
                  <w:tcW w:w="700" w:type="dxa"/>
                  <w:vMerge w:val="continue"/>
                  <w:tcBorders>
                    <w:top w:val="single" w:color="auto" w:sz="4" w:space="0"/>
                    <w:left w:val="single" w:color="auto" w:sz="4" w:space="0"/>
                    <w:bottom w:val="single" w:color="auto" w:sz="4" w:space="0"/>
                    <w:right w:val="single" w:color="auto" w:sz="4" w:space="0"/>
                  </w:tcBorders>
                  <w:vAlign w:val="center"/>
                </w:tcPr>
                <w:p w14:paraId="47145B67">
                  <w:pPr>
                    <w:jc w:val="center"/>
                    <w:rPr>
                      <w:color w:val="auto"/>
                    </w:rPr>
                  </w:pPr>
                </w:p>
              </w:tc>
              <w:tc>
                <w:tcPr>
                  <w:tcW w:w="1400" w:type="dxa"/>
                  <w:tcBorders>
                    <w:left w:val="single" w:color="auto" w:sz="4" w:space="0"/>
                  </w:tcBorders>
                  <w:vAlign w:val="center"/>
                </w:tcPr>
                <w:p w14:paraId="788CAC22">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3"/>
                      <w:sz w:val="21"/>
                      <w:szCs w:val="21"/>
                      <w:lang w:eastAsia="zh-CN"/>
                    </w:rPr>
                    <w:t>固体废弃物再生利用率</w:t>
                  </w:r>
                </w:p>
              </w:tc>
              <w:tc>
                <w:tcPr>
                  <w:tcW w:w="912" w:type="dxa"/>
                  <w:vAlign w:val="center"/>
                </w:tcPr>
                <w:p w14:paraId="6FC64DA6">
                  <w:pPr>
                    <w:pStyle w:val="51"/>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w:t>
                  </w:r>
                </w:p>
              </w:tc>
              <w:tc>
                <w:tcPr>
                  <w:tcW w:w="975" w:type="dxa"/>
                  <w:vAlign w:val="center"/>
                </w:tcPr>
                <w:p w14:paraId="57EEA359">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6"/>
                      <w:sz w:val="21"/>
                      <w:szCs w:val="21"/>
                      <w:lang w:eastAsia="zh-CN"/>
                    </w:rPr>
                    <w:t>10</w:t>
                  </w:r>
                </w:p>
              </w:tc>
              <w:tc>
                <w:tcPr>
                  <w:tcW w:w="1113" w:type="dxa"/>
                  <w:vAlign w:val="center"/>
                </w:tcPr>
                <w:p w14:paraId="37C41E78">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2"/>
                      <w:sz w:val="21"/>
                      <w:szCs w:val="21"/>
                      <w:lang w:eastAsia="zh-CN"/>
                    </w:rPr>
                    <w:t>85%</w:t>
                  </w:r>
                </w:p>
              </w:tc>
              <w:tc>
                <w:tcPr>
                  <w:tcW w:w="2425" w:type="dxa"/>
                  <w:vAlign w:val="center"/>
                </w:tcPr>
                <w:p w14:paraId="205CE9E9">
                  <w:pPr>
                    <w:pStyle w:val="51"/>
                    <w:jc w:val="center"/>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eastAsia="zh-CN"/>
                    </w:rPr>
                    <w:t>不涉及</w:t>
                  </w:r>
                </w:p>
              </w:tc>
              <w:tc>
                <w:tcPr>
                  <w:tcW w:w="934" w:type="dxa"/>
                  <w:vAlign w:val="center"/>
                </w:tcPr>
                <w:p w14:paraId="765AF51D">
                  <w:pPr>
                    <w:pStyle w:val="51"/>
                    <w:jc w:val="center"/>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10</w:t>
                  </w:r>
                </w:p>
              </w:tc>
            </w:tr>
            <w:tr w14:paraId="245F2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5995" w:type="dxa"/>
                  <w:gridSpan w:val="6"/>
                  <w:tcBorders>
                    <w:top w:val="single" w:color="auto" w:sz="4" w:space="0"/>
                    <w:left w:val="single" w:color="auto" w:sz="4" w:space="0"/>
                    <w:bottom w:val="single" w:color="auto" w:sz="4" w:space="0"/>
                  </w:tcBorders>
                  <w:vAlign w:val="center"/>
                </w:tcPr>
                <w:p w14:paraId="77E68D16">
                  <w:pPr>
                    <w:pStyle w:val="51"/>
                    <w:jc w:val="center"/>
                    <w:rPr>
                      <w:rFonts w:ascii="Times New Roman" w:hAnsi="Times New Roman" w:cs="Times New Roman"/>
                      <w:color w:val="auto"/>
                      <w:spacing w:val="-2"/>
                      <w:sz w:val="21"/>
                      <w:szCs w:val="21"/>
                      <w:lang w:eastAsia="zh-CN"/>
                    </w:rPr>
                  </w:pPr>
                  <w:r>
                    <w:rPr>
                      <w:rFonts w:hint="eastAsia" w:ascii="Times New Roman" w:hAnsi="Times New Roman" w:cs="Times New Roman"/>
                      <w:color w:val="auto"/>
                      <w:sz w:val="21"/>
                      <w:szCs w:val="21"/>
                      <w:lang w:eastAsia="zh-CN"/>
                    </w:rPr>
                    <w:t>总分</w:t>
                  </w:r>
                </w:p>
              </w:tc>
              <w:tc>
                <w:tcPr>
                  <w:tcW w:w="2425" w:type="dxa"/>
                  <w:vAlign w:val="center"/>
                </w:tcPr>
                <w:p w14:paraId="709770B2">
                  <w:pPr>
                    <w:pStyle w:val="51"/>
                    <w:jc w:val="center"/>
                    <w:rPr>
                      <w:rFonts w:ascii="Times New Roman" w:hAnsi="Times New Roman" w:cs="Times New Roman"/>
                      <w:color w:val="auto"/>
                      <w:spacing w:val="-2"/>
                      <w:sz w:val="21"/>
                      <w:szCs w:val="21"/>
                      <w:lang w:eastAsia="zh-CN"/>
                    </w:rPr>
                  </w:pPr>
                  <w:r>
                    <w:rPr>
                      <w:rFonts w:hint="eastAsia" w:ascii="Times New Roman" w:hAnsi="Times New Roman" w:cs="Times New Roman"/>
                      <w:color w:val="auto"/>
                      <w:spacing w:val="-2"/>
                      <w:sz w:val="21"/>
                      <w:szCs w:val="21"/>
                      <w:lang w:eastAsia="zh-CN"/>
                    </w:rPr>
                    <w:t>/</w:t>
                  </w:r>
                </w:p>
              </w:tc>
              <w:tc>
                <w:tcPr>
                  <w:tcW w:w="934" w:type="dxa"/>
                  <w:vAlign w:val="center"/>
                </w:tcPr>
                <w:p w14:paraId="7207A6A3">
                  <w:pPr>
                    <w:pStyle w:val="51"/>
                    <w:jc w:val="center"/>
                    <w:rPr>
                      <w:rFonts w:hint="default" w:ascii="Times New Roman" w:hAnsi="Times New Roman"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91</w:t>
                  </w:r>
                </w:p>
              </w:tc>
            </w:tr>
          </w:tbl>
          <w:p w14:paraId="2D1904C0">
            <w:pPr>
              <w:keepNext w:val="0"/>
              <w:keepLines w:val="0"/>
              <w:widowControl/>
              <w:suppressLineNumbers w:val="0"/>
              <w:jc w:val="left"/>
              <w:rPr>
                <w:rFonts w:hint="default"/>
                <w:color w:val="auto"/>
                <w:lang w:val="en-US"/>
              </w:rPr>
            </w:pPr>
            <w:r>
              <w:rPr>
                <w:rFonts w:hint="eastAsia" w:ascii="Times New Roman" w:hAnsi="Times New Roman" w:eastAsia="宋体" w:cs="Times New Roman"/>
                <w:color w:val="auto"/>
                <w:spacing w:val="-3"/>
                <w:kern w:val="2"/>
                <w:sz w:val="21"/>
                <w:szCs w:val="21"/>
                <w:lang w:val="en-US" w:eastAsia="zh-CN" w:bidi="ar-SA"/>
              </w:rPr>
              <w:t>注：</w:t>
            </w:r>
            <w:r>
              <w:rPr>
                <w:rFonts w:hint="eastAsia" w:cs="Times New Roman"/>
                <w:color w:val="auto"/>
                <w:spacing w:val="-3"/>
                <w:kern w:val="2"/>
                <w:sz w:val="21"/>
                <w:szCs w:val="21"/>
                <w:lang w:val="en-US" w:eastAsia="zh-CN" w:bidi="ar-SA"/>
              </w:rPr>
              <w:t>不涉及按照满分核算</w:t>
            </w:r>
          </w:p>
          <w:p w14:paraId="3AAC81AB">
            <w:pPr>
              <w:pStyle w:val="8"/>
              <w:spacing w:before="48" w:line="217" w:lineRule="auto"/>
              <w:jc w:val="center"/>
              <w:outlineLvl w:val="0"/>
              <w:rPr>
                <w:rFonts w:hint="eastAsia"/>
                <w:b/>
                <w:bCs/>
                <w:color w:val="auto"/>
                <w:sz w:val="24"/>
              </w:rPr>
            </w:pPr>
          </w:p>
          <w:p w14:paraId="39C5E952">
            <w:pPr>
              <w:pStyle w:val="8"/>
              <w:spacing w:before="48" w:line="217" w:lineRule="auto"/>
              <w:jc w:val="center"/>
              <w:outlineLvl w:val="0"/>
              <w:rPr>
                <w:rFonts w:hint="eastAsia"/>
                <w:b/>
                <w:bCs/>
                <w:color w:val="auto"/>
                <w:sz w:val="24"/>
              </w:rPr>
            </w:pPr>
          </w:p>
          <w:p w14:paraId="2EDEAE12">
            <w:pPr>
              <w:pStyle w:val="8"/>
              <w:spacing w:before="48" w:line="217" w:lineRule="auto"/>
              <w:jc w:val="center"/>
              <w:outlineLvl w:val="0"/>
              <w:rPr>
                <w:rFonts w:hint="eastAsia"/>
                <w:b/>
                <w:bCs/>
                <w:color w:val="auto"/>
                <w:sz w:val="24"/>
              </w:rPr>
            </w:pPr>
          </w:p>
          <w:p w14:paraId="0BA936E9">
            <w:pPr>
              <w:pStyle w:val="8"/>
              <w:spacing w:before="48" w:line="217" w:lineRule="auto"/>
              <w:jc w:val="center"/>
              <w:outlineLvl w:val="0"/>
              <w:rPr>
                <w:rFonts w:hint="eastAsia"/>
                <w:b/>
                <w:bCs/>
                <w:color w:val="auto"/>
                <w:sz w:val="24"/>
              </w:rPr>
            </w:pPr>
          </w:p>
          <w:p w14:paraId="6055F8FF">
            <w:pPr>
              <w:pStyle w:val="8"/>
              <w:spacing w:before="48" w:line="217" w:lineRule="auto"/>
              <w:jc w:val="center"/>
              <w:outlineLvl w:val="0"/>
              <w:rPr>
                <w:b/>
                <w:bCs/>
                <w:color w:val="auto"/>
                <w:sz w:val="24"/>
              </w:rPr>
            </w:pPr>
            <w:r>
              <w:rPr>
                <w:rFonts w:hint="eastAsia"/>
                <w:b/>
                <w:bCs/>
                <w:color w:val="auto"/>
                <w:sz w:val="24"/>
              </w:rPr>
              <w:t>表4-45  机械行业清洁生产定性评价指标项目及指标分值</w:t>
            </w:r>
          </w:p>
          <w:tbl>
            <w:tblPr>
              <w:tblStyle w:val="50"/>
              <w:tblW w:w="8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5"/>
              <w:gridCol w:w="528"/>
              <w:gridCol w:w="1908"/>
              <w:gridCol w:w="514"/>
              <w:gridCol w:w="4242"/>
              <w:gridCol w:w="890"/>
            </w:tblGrid>
            <w:tr w14:paraId="6E44B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jc w:val="center"/>
              </w:trPr>
              <w:tc>
                <w:tcPr>
                  <w:tcW w:w="749" w:type="dxa"/>
                  <w:vAlign w:val="center"/>
                </w:tcPr>
                <w:p w14:paraId="210CC7E4">
                  <w:pPr>
                    <w:jc w:val="center"/>
                    <w:rPr>
                      <w:b/>
                      <w:bCs/>
                      <w:color w:val="auto"/>
                    </w:rPr>
                  </w:pPr>
                  <w:r>
                    <w:rPr>
                      <w:b/>
                      <w:bCs/>
                      <w:color w:val="auto"/>
                    </w:rPr>
                    <w:t>一级指标</w:t>
                  </w:r>
                </w:p>
              </w:tc>
              <w:tc>
                <w:tcPr>
                  <w:tcW w:w="561" w:type="dxa"/>
                  <w:vAlign w:val="center"/>
                </w:tcPr>
                <w:p w14:paraId="620045DD">
                  <w:pPr>
                    <w:jc w:val="center"/>
                    <w:rPr>
                      <w:b/>
                      <w:bCs/>
                      <w:color w:val="auto"/>
                    </w:rPr>
                  </w:pPr>
                  <w:r>
                    <w:rPr>
                      <w:b/>
                      <w:bCs/>
                      <w:color w:val="auto"/>
                    </w:rPr>
                    <w:t>指标分值</w:t>
                  </w:r>
                </w:p>
              </w:tc>
              <w:tc>
                <w:tcPr>
                  <w:tcW w:w="2032" w:type="dxa"/>
                  <w:vAlign w:val="center"/>
                </w:tcPr>
                <w:p w14:paraId="1A822344">
                  <w:pPr>
                    <w:jc w:val="center"/>
                    <w:rPr>
                      <w:b/>
                      <w:bCs/>
                      <w:color w:val="auto"/>
                    </w:rPr>
                  </w:pPr>
                  <w:r>
                    <w:rPr>
                      <w:b/>
                      <w:bCs/>
                      <w:color w:val="auto"/>
                    </w:rPr>
                    <w:t>二级指标</w:t>
                  </w:r>
                </w:p>
              </w:tc>
              <w:tc>
                <w:tcPr>
                  <w:tcW w:w="546" w:type="dxa"/>
                  <w:vAlign w:val="center"/>
                </w:tcPr>
                <w:p w14:paraId="55207D29">
                  <w:pPr>
                    <w:jc w:val="center"/>
                    <w:rPr>
                      <w:b/>
                      <w:bCs/>
                      <w:color w:val="auto"/>
                    </w:rPr>
                  </w:pPr>
                  <w:r>
                    <w:rPr>
                      <w:b/>
                      <w:bCs/>
                      <w:color w:val="auto"/>
                    </w:rPr>
                    <w:t>指标分值</w:t>
                  </w:r>
                </w:p>
              </w:tc>
              <w:tc>
                <w:tcPr>
                  <w:tcW w:w="4519" w:type="dxa"/>
                  <w:vAlign w:val="center"/>
                </w:tcPr>
                <w:p w14:paraId="59F5B916">
                  <w:pPr>
                    <w:jc w:val="center"/>
                    <w:rPr>
                      <w:b/>
                      <w:bCs/>
                      <w:color w:val="auto"/>
                    </w:rPr>
                  </w:pPr>
                  <w:r>
                    <w:rPr>
                      <w:rFonts w:hint="eastAsia"/>
                      <w:b/>
                      <w:bCs/>
                      <w:color w:val="auto"/>
                    </w:rPr>
                    <w:t>本项目</w:t>
                  </w:r>
                </w:p>
              </w:tc>
              <w:tc>
                <w:tcPr>
                  <w:tcW w:w="947" w:type="dxa"/>
                  <w:vAlign w:val="center"/>
                </w:tcPr>
                <w:p w14:paraId="3B8958B9">
                  <w:pPr>
                    <w:jc w:val="center"/>
                    <w:rPr>
                      <w:b/>
                      <w:bCs/>
                      <w:color w:val="auto"/>
                    </w:rPr>
                  </w:pPr>
                  <w:r>
                    <w:rPr>
                      <w:rFonts w:hint="eastAsia"/>
                      <w:b/>
                      <w:bCs/>
                      <w:color w:val="auto"/>
                    </w:rPr>
                    <w:t>分值</w:t>
                  </w:r>
                </w:p>
              </w:tc>
            </w:tr>
            <w:tr w14:paraId="6C88E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749" w:type="dxa"/>
                  <w:vMerge w:val="restart"/>
                  <w:tcBorders>
                    <w:bottom w:val="nil"/>
                  </w:tcBorders>
                  <w:vAlign w:val="center"/>
                </w:tcPr>
                <w:p w14:paraId="15510466">
                  <w:pPr>
                    <w:pStyle w:val="51"/>
                    <w:rPr>
                      <w:rFonts w:ascii="Times New Roman" w:hAnsi="Times New Roman" w:cs="Times New Roman"/>
                      <w:color w:val="auto"/>
                      <w:sz w:val="21"/>
                      <w:szCs w:val="21"/>
                      <w:lang w:eastAsia="zh-CN"/>
                    </w:rPr>
                  </w:pPr>
                  <w:r>
                    <w:rPr>
                      <w:rFonts w:ascii="Times New Roman" w:hAnsi="Times New Roman" w:cs="Times New Roman"/>
                      <w:color w:val="auto"/>
                      <w:spacing w:val="-25"/>
                      <w:sz w:val="21"/>
                      <w:szCs w:val="21"/>
                      <w:lang w:eastAsia="zh-CN"/>
                    </w:rPr>
                    <w:t>（一）环</w:t>
                  </w:r>
                </w:p>
                <w:p w14:paraId="3271E2BC">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3"/>
                      <w:sz w:val="21"/>
                      <w:szCs w:val="21"/>
                      <w:lang w:eastAsia="zh-CN"/>
                    </w:rPr>
                    <w:t>境管理</w:t>
                  </w:r>
                </w:p>
                <w:p w14:paraId="2D76F5C7">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3"/>
                      <w:sz w:val="21"/>
                      <w:szCs w:val="21"/>
                      <w:lang w:eastAsia="zh-CN"/>
                    </w:rPr>
                    <w:t>与劳动</w:t>
                  </w:r>
                </w:p>
                <w:p w14:paraId="102B4DFC">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3"/>
                      <w:sz w:val="21"/>
                      <w:szCs w:val="21"/>
                      <w:lang w:eastAsia="zh-CN"/>
                    </w:rPr>
                    <w:t>安全卫</w:t>
                  </w:r>
                </w:p>
                <w:p w14:paraId="5FABD47F">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生</w:t>
                  </w:r>
                </w:p>
              </w:tc>
              <w:tc>
                <w:tcPr>
                  <w:tcW w:w="561" w:type="dxa"/>
                  <w:vMerge w:val="restart"/>
                  <w:tcBorders>
                    <w:bottom w:val="nil"/>
                  </w:tcBorders>
                  <w:vAlign w:val="center"/>
                </w:tcPr>
                <w:p w14:paraId="64A5042B">
                  <w:pPr>
                    <w:jc w:val="center"/>
                    <w:rPr>
                      <w:color w:val="auto"/>
                    </w:rPr>
                  </w:pPr>
                </w:p>
                <w:p w14:paraId="56E49E92">
                  <w:pPr>
                    <w:jc w:val="center"/>
                    <w:rPr>
                      <w:color w:val="auto"/>
                    </w:rPr>
                  </w:pPr>
                </w:p>
                <w:p w14:paraId="535BB1E9">
                  <w:pPr>
                    <w:jc w:val="center"/>
                    <w:rPr>
                      <w:color w:val="auto"/>
                    </w:rPr>
                  </w:pPr>
                </w:p>
                <w:p w14:paraId="78D61902">
                  <w:pPr>
                    <w:jc w:val="center"/>
                    <w:rPr>
                      <w:color w:val="auto"/>
                    </w:rPr>
                  </w:pPr>
                </w:p>
                <w:p w14:paraId="54FDFF45">
                  <w:pPr>
                    <w:jc w:val="center"/>
                    <w:rPr>
                      <w:color w:val="auto"/>
                    </w:rPr>
                  </w:pPr>
                </w:p>
                <w:p w14:paraId="45FB2754">
                  <w:pPr>
                    <w:jc w:val="center"/>
                    <w:rPr>
                      <w:color w:val="auto"/>
                    </w:rPr>
                  </w:pPr>
                </w:p>
                <w:p w14:paraId="0D321903">
                  <w:pPr>
                    <w:jc w:val="center"/>
                    <w:rPr>
                      <w:color w:val="auto"/>
                    </w:rPr>
                  </w:pPr>
                </w:p>
                <w:p w14:paraId="523DE4B3">
                  <w:pPr>
                    <w:jc w:val="center"/>
                    <w:rPr>
                      <w:color w:val="auto"/>
                    </w:rPr>
                  </w:pPr>
                </w:p>
                <w:p w14:paraId="67B1FA5B">
                  <w:pPr>
                    <w:jc w:val="center"/>
                    <w:rPr>
                      <w:color w:val="auto"/>
                    </w:rPr>
                  </w:pPr>
                </w:p>
                <w:p w14:paraId="600236EA">
                  <w:pPr>
                    <w:jc w:val="center"/>
                    <w:rPr>
                      <w:color w:val="auto"/>
                    </w:rPr>
                  </w:pPr>
                </w:p>
                <w:p w14:paraId="3CAC47D0">
                  <w:pPr>
                    <w:jc w:val="center"/>
                    <w:rPr>
                      <w:color w:val="auto"/>
                    </w:rPr>
                  </w:pPr>
                </w:p>
                <w:p w14:paraId="2C7642FF">
                  <w:pPr>
                    <w:jc w:val="center"/>
                    <w:rPr>
                      <w:color w:val="auto"/>
                    </w:rPr>
                  </w:pPr>
                </w:p>
                <w:p w14:paraId="4E7AA78B">
                  <w:pPr>
                    <w:jc w:val="center"/>
                    <w:rPr>
                      <w:color w:val="auto"/>
                    </w:rPr>
                  </w:pPr>
                </w:p>
                <w:p w14:paraId="2A0CD75E">
                  <w:pPr>
                    <w:pStyle w:val="51"/>
                    <w:jc w:val="center"/>
                    <w:rPr>
                      <w:rFonts w:ascii="Times New Roman" w:hAnsi="Times New Roman" w:cs="Times New Roman"/>
                      <w:color w:val="auto"/>
                      <w:sz w:val="21"/>
                      <w:szCs w:val="21"/>
                    </w:rPr>
                  </w:pPr>
                  <w:r>
                    <w:rPr>
                      <w:rFonts w:ascii="Times New Roman" w:hAnsi="Times New Roman" w:cs="Times New Roman"/>
                      <w:color w:val="auto"/>
                      <w:spacing w:val="-4"/>
                      <w:sz w:val="21"/>
                      <w:szCs w:val="21"/>
                    </w:rPr>
                    <w:t>78</w:t>
                  </w:r>
                </w:p>
              </w:tc>
              <w:tc>
                <w:tcPr>
                  <w:tcW w:w="2032" w:type="dxa"/>
                  <w:vAlign w:val="center"/>
                </w:tcPr>
                <w:p w14:paraId="70335879">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4"/>
                      <w:sz w:val="21"/>
                      <w:szCs w:val="21"/>
                      <w:lang w:eastAsia="zh-CN"/>
                    </w:rPr>
                    <w:t>建立环境管理体系并通过</w:t>
                  </w:r>
                  <w:r>
                    <w:rPr>
                      <w:rFonts w:ascii="Times New Roman" w:hAnsi="Times New Roman" w:cs="Times New Roman"/>
                      <w:color w:val="auto"/>
                      <w:spacing w:val="-3"/>
                      <w:sz w:val="21"/>
                      <w:szCs w:val="21"/>
                      <w:lang w:eastAsia="zh-CN"/>
                    </w:rPr>
                    <w:t>认证</w:t>
                  </w:r>
                </w:p>
              </w:tc>
              <w:tc>
                <w:tcPr>
                  <w:tcW w:w="546" w:type="dxa"/>
                  <w:vAlign w:val="center"/>
                </w:tcPr>
                <w:p w14:paraId="3EF35F3E">
                  <w:pPr>
                    <w:pStyle w:val="51"/>
                    <w:jc w:val="center"/>
                    <w:rPr>
                      <w:rFonts w:ascii="Times New Roman" w:hAnsi="Times New Roman" w:cs="Times New Roman"/>
                      <w:color w:val="auto"/>
                      <w:sz w:val="21"/>
                      <w:szCs w:val="21"/>
                    </w:rPr>
                  </w:pPr>
                  <w:r>
                    <w:rPr>
                      <w:rFonts w:ascii="Times New Roman" w:hAnsi="Times New Roman" w:cs="Times New Roman"/>
                      <w:color w:val="auto"/>
                      <w:spacing w:val="-12"/>
                      <w:sz w:val="21"/>
                      <w:szCs w:val="21"/>
                    </w:rPr>
                    <w:t>10</w:t>
                  </w:r>
                </w:p>
              </w:tc>
              <w:tc>
                <w:tcPr>
                  <w:tcW w:w="4519" w:type="dxa"/>
                  <w:vAlign w:val="center"/>
                </w:tcPr>
                <w:p w14:paraId="70CBA81D">
                  <w:pPr>
                    <w:pStyle w:val="51"/>
                    <w:jc w:val="center"/>
                    <w:rPr>
                      <w:rFonts w:ascii="Times New Roman" w:hAnsi="Times New Roman" w:cs="Times New Roman"/>
                      <w:color w:val="auto"/>
                      <w:sz w:val="21"/>
                      <w:szCs w:val="21"/>
                      <w:lang w:eastAsia="zh-CN"/>
                    </w:rPr>
                  </w:pPr>
                  <w:r>
                    <w:rPr>
                      <w:rFonts w:hint="eastAsia" w:ascii="Times New Roman" w:hAnsi="Times New Roman" w:cs="Times New Roman"/>
                      <w:color w:val="auto"/>
                      <w:spacing w:val="-3"/>
                      <w:sz w:val="21"/>
                      <w:szCs w:val="21"/>
                      <w:lang w:eastAsia="zh-CN"/>
                    </w:rPr>
                    <w:t>项目建成后按照要求</w:t>
                  </w:r>
                  <w:r>
                    <w:rPr>
                      <w:rFonts w:hint="eastAsia" w:ascii="Times New Roman" w:hAnsi="Times New Roman" w:cs="Times New Roman"/>
                      <w:color w:val="auto"/>
                      <w:spacing w:val="1"/>
                      <w:sz w:val="21"/>
                      <w:szCs w:val="21"/>
                      <w:lang w:eastAsia="zh-CN"/>
                    </w:rPr>
                    <w:t>建立环境管理体系，并通过认证</w:t>
                  </w:r>
                </w:p>
              </w:tc>
              <w:tc>
                <w:tcPr>
                  <w:tcW w:w="947" w:type="dxa"/>
                  <w:vAlign w:val="center"/>
                </w:tcPr>
                <w:p w14:paraId="493829E3">
                  <w:pPr>
                    <w:pStyle w:val="51"/>
                    <w:jc w:val="center"/>
                    <w:rPr>
                      <w:rFonts w:ascii="Times New Roman" w:hAnsi="Times New Roman" w:cs="Times New Roman"/>
                      <w:color w:val="auto"/>
                      <w:spacing w:val="1"/>
                      <w:sz w:val="21"/>
                      <w:szCs w:val="21"/>
                      <w:lang w:eastAsia="zh-CN"/>
                    </w:rPr>
                  </w:pPr>
                  <w:r>
                    <w:rPr>
                      <w:rFonts w:hint="eastAsia" w:ascii="Times New Roman" w:hAnsi="Times New Roman" w:cs="Times New Roman"/>
                      <w:color w:val="auto"/>
                      <w:spacing w:val="1"/>
                      <w:sz w:val="21"/>
                      <w:szCs w:val="21"/>
                      <w:lang w:eastAsia="zh-CN"/>
                    </w:rPr>
                    <w:t>10</w:t>
                  </w:r>
                </w:p>
              </w:tc>
            </w:tr>
            <w:tr w14:paraId="27AFF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49" w:type="dxa"/>
                  <w:vMerge w:val="continue"/>
                  <w:tcBorders>
                    <w:top w:val="nil"/>
                    <w:bottom w:val="nil"/>
                  </w:tcBorders>
                  <w:vAlign w:val="center"/>
                </w:tcPr>
                <w:p w14:paraId="431F223E">
                  <w:pPr>
                    <w:jc w:val="center"/>
                    <w:rPr>
                      <w:color w:val="auto"/>
                    </w:rPr>
                  </w:pPr>
                </w:p>
              </w:tc>
              <w:tc>
                <w:tcPr>
                  <w:tcW w:w="561" w:type="dxa"/>
                  <w:vMerge w:val="continue"/>
                  <w:tcBorders>
                    <w:top w:val="nil"/>
                    <w:bottom w:val="nil"/>
                  </w:tcBorders>
                  <w:vAlign w:val="center"/>
                </w:tcPr>
                <w:p w14:paraId="1D9441BD">
                  <w:pPr>
                    <w:jc w:val="center"/>
                    <w:rPr>
                      <w:color w:val="auto"/>
                    </w:rPr>
                  </w:pPr>
                </w:p>
              </w:tc>
              <w:tc>
                <w:tcPr>
                  <w:tcW w:w="2032" w:type="dxa"/>
                  <w:vAlign w:val="center"/>
                </w:tcPr>
                <w:p w14:paraId="1EDEDD11">
                  <w:pPr>
                    <w:pStyle w:val="51"/>
                    <w:jc w:val="center"/>
                    <w:rPr>
                      <w:rFonts w:ascii="Times New Roman" w:hAnsi="Times New Roman" w:cs="Times New Roman"/>
                      <w:color w:val="auto"/>
                      <w:sz w:val="21"/>
                      <w:szCs w:val="21"/>
                    </w:rPr>
                  </w:pPr>
                  <w:r>
                    <w:rPr>
                      <w:rFonts w:ascii="Times New Roman" w:hAnsi="Times New Roman" w:cs="Times New Roman"/>
                      <w:color w:val="auto"/>
                      <w:spacing w:val="-2"/>
                      <w:sz w:val="21"/>
                      <w:szCs w:val="21"/>
                    </w:rPr>
                    <w:t>开展清洁生产审核</w:t>
                  </w:r>
                </w:p>
              </w:tc>
              <w:tc>
                <w:tcPr>
                  <w:tcW w:w="546" w:type="dxa"/>
                  <w:vAlign w:val="center"/>
                </w:tcPr>
                <w:p w14:paraId="260532D8">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4519" w:type="dxa"/>
                  <w:vAlign w:val="center"/>
                </w:tcPr>
                <w:p w14:paraId="15435B28">
                  <w:pPr>
                    <w:pStyle w:val="51"/>
                    <w:jc w:val="center"/>
                    <w:rPr>
                      <w:rFonts w:ascii="Times New Roman" w:hAnsi="Times New Roman" w:cs="Times New Roman"/>
                      <w:color w:val="auto"/>
                      <w:sz w:val="21"/>
                      <w:szCs w:val="21"/>
                      <w:lang w:eastAsia="zh-CN"/>
                    </w:rPr>
                  </w:pPr>
                  <w:r>
                    <w:rPr>
                      <w:rFonts w:hint="eastAsia" w:ascii="Times New Roman" w:hAnsi="Times New Roman" w:cs="Times New Roman"/>
                      <w:color w:val="auto"/>
                      <w:spacing w:val="-3"/>
                      <w:sz w:val="21"/>
                      <w:szCs w:val="21"/>
                      <w:lang w:eastAsia="zh-CN"/>
                    </w:rPr>
                    <w:t>项目建成后按照要求开展清洁生产审核</w:t>
                  </w:r>
                </w:p>
              </w:tc>
              <w:tc>
                <w:tcPr>
                  <w:tcW w:w="947" w:type="dxa"/>
                  <w:vAlign w:val="center"/>
                </w:tcPr>
                <w:p w14:paraId="7C0F2B02">
                  <w:pPr>
                    <w:pStyle w:val="51"/>
                    <w:jc w:val="center"/>
                    <w:rPr>
                      <w:rFonts w:ascii="Times New Roman" w:hAnsi="Times New Roman" w:cs="Times New Roman"/>
                      <w:color w:val="auto"/>
                      <w:spacing w:val="-3"/>
                      <w:sz w:val="21"/>
                      <w:szCs w:val="21"/>
                      <w:lang w:eastAsia="zh-CN"/>
                    </w:rPr>
                  </w:pPr>
                  <w:r>
                    <w:rPr>
                      <w:rFonts w:hint="eastAsia" w:ascii="Times New Roman" w:hAnsi="Times New Roman" w:cs="Times New Roman"/>
                      <w:color w:val="auto"/>
                      <w:spacing w:val="-3"/>
                      <w:sz w:val="21"/>
                      <w:szCs w:val="21"/>
                      <w:lang w:eastAsia="zh-CN"/>
                    </w:rPr>
                    <w:t>8</w:t>
                  </w:r>
                </w:p>
              </w:tc>
            </w:tr>
            <w:tr w14:paraId="56037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749" w:type="dxa"/>
                  <w:vMerge w:val="continue"/>
                  <w:tcBorders>
                    <w:top w:val="nil"/>
                    <w:bottom w:val="nil"/>
                  </w:tcBorders>
                  <w:vAlign w:val="center"/>
                </w:tcPr>
                <w:p w14:paraId="68D8FE03">
                  <w:pPr>
                    <w:jc w:val="center"/>
                    <w:rPr>
                      <w:color w:val="auto"/>
                    </w:rPr>
                  </w:pPr>
                </w:p>
              </w:tc>
              <w:tc>
                <w:tcPr>
                  <w:tcW w:w="561" w:type="dxa"/>
                  <w:vMerge w:val="continue"/>
                  <w:tcBorders>
                    <w:top w:val="nil"/>
                    <w:bottom w:val="nil"/>
                  </w:tcBorders>
                  <w:vAlign w:val="center"/>
                </w:tcPr>
                <w:p w14:paraId="75B6272C">
                  <w:pPr>
                    <w:jc w:val="center"/>
                    <w:rPr>
                      <w:color w:val="auto"/>
                    </w:rPr>
                  </w:pPr>
                </w:p>
              </w:tc>
              <w:tc>
                <w:tcPr>
                  <w:tcW w:w="2032" w:type="dxa"/>
                  <w:vAlign w:val="center"/>
                </w:tcPr>
                <w:p w14:paraId="32D3CA72">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5"/>
                      <w:sz w:val="21"/>
                      <w:szCs w:val="21"/>
                      <w:lang w:eastAsia="zh-CN"/>
                    </w:rPr>
                    <w:t>建设项目“三同时”执行情</w:t>
                  </w:r>
                  <w:r>
                    <w:rPr>
                      <w:rFonts w:ascii="Times New Roman" w:hAnsi="Times New Roman" w:cs="Times New Roman"/>
                      <w:color w:val="auto"/>
                      <w:sz w:val="21"/>
                      <w:szCs w:val="21"/>
                      <w:lang w:eastAsia="zh-CN"/>
                    </w:rPr>
                    <w:t>况</w:t>
                  </w:r>
                </w:p>
              </w:tc>
              <w:tc>
                <w:tcPr>
                  <w:tcW w:w="546" w:type="dxa"/>
                  <w:vAlign w:val="center"/>
                </w:tcPr>
                <w:p w14:paraId="4A6C7D5D">
                  <w:pPr>
                    <w:pStyle w:val="51"/>
                    <w:jc w:val="center"/>
                    <w:rPr>
                      <w:rFonts w:ascii="Times New Roman" w:hAnsi="Times New Roman" w:cs="Times New Roman"/>
                      <w:color w:val="auto"/>
                      <w:sz w:val="21"/>
                      <w:szCs w:val="21"/>
                    </w:rPr>
                  </w:pPr>
                  <w:r>
                    <w:rPr>
                      <w:rFonts w:ascii="Times New Roman" w:hAnsi="Times New Roman" w:cs="Times New Roman"/>
                      <w:color w:val="auto"/>
                      <w:spacing w:val="-12"/>
                      <w:sz w:val="21"/>
                      <w:szCs w:val="21"/>
                    </w:rPr>
                    <w:t>10</w:t>
                  </w:r>
                </w:p>
              </w:tc>
              <w:tc>
                <w:tcPr>
                  <w:tcW w:w="4519" w:type="dxa"/>
                  <w:vAlign w:val="center"/>
                </w:tcPr>
                <w:p w14:paraId="652447FE">
                  <w:pPr>
                    <w:pStyle w:val="51"/>
                    <w:jc w:val="center"/>
                    <w:rPr>
                      <w:rFonts w:ascii="Times New Roman" w:hAnsi="Times New Roman" w:cs="Times New Roman"/>
                      <w:color w:val="auto"/>
                      <w:sz w:val="21"/>
                      <w:szCs w:val="21"/>
                      <w:lang w:eastAsia="zh-CN"/>
                    </w:rPr>
                  </w:pPr>
                  <w:r>
                    <w:rPr>
                      <w:rFonts w:hint="eastAsia" w:ascii="Times New Roman" w:hAnsi="Times New Roman" w:cs="Times New Roman"/>
                      <w:color w:val="auto"/>
                      <w:spacing w:val="2"/>
                      <w:sz w:val="21"/>
                      <w:szCs w:val="21"/>
                      <w:lang w:eastAsia="zh-CN"/>
                    </w:rPr>
                    <w:t>本</w:t>
                  </w:r>
                  <w:r>
                    <w:rPr>
                      <w:rFonts w:ascii="Times New Roman" w:hAnsi="Times New Roman" w:cs="Times New Roman"/>
                      <w:color w:val="auto"/>
                      <w:spacing w:val="2"/>
                      <w:sz w:val="21"/>
                      <w:szCs w:val="21"/>
                      <w:lang w:eastAsia="zh-CN"/>
                    </w:rPr>
                    <w:t>项目</w:t>
                  </w:r>
                  <w:r>
                    <w:rPr>
                      <w:rFonts w:hint="eastAsia" w:ascii="Times New Roman" w:hAnsi="Times New Roman" w:cs="Times New Roman"/>
                      <w:color w:val="auto"/>
                      <w:spacing w:val="-3"/>
                      <w:sz w:val="21"/>
                      <w:szCs w:val="21"/>
                      <w:lang w:eastAsia="zh-CN"/>
                    </w:rPr>
                    <w:t>建成</w:t>
                  </w:r>
                  <w:r>
                    <w:rPr>
                      <w:rFonts w:hint="eastAsia" w:ascii="Times New Roman" w:hAnsi="Times New Roman" w:cs="Times New Roman"/>
                      <w:color w:val="auto"/>
                      <w:spacing w:val="2"/>
                      <w:sz w:val="21"/>
                      <w:szCs w:val="21"/>
                      <w:lang w:eastAsia="zh-CN"/>
                    </w:rPr>
                    <w:t>后按要求完成</w:t>
                  </w:r>
                  <w:r>
                    <w:rPr>
                      <w:rFonts w:ascii="Times New Roman" w:hAnsi="Times New Roman" w:cs="Times New Roman"/>
                      <w:color w:val="auto"/>
                      <w:spacing w:val="2"/>
                      <w:sz w:val="21"/>
                      <w:szCs w:val="21"/>
                      <w:lang w:eastAsia="zh-CN"/>
                    </w:rPr>
                    <w:t>环保“三同时”</w:t>
                  </w:r>
                </w:p>
              </w:tc>
              <w:tc>
                <w:tcPr>
                  <w:tcW w:w="947" w:type="dxa"/>
                  <w:vAlign w:val="center"/>
                </w:tcPr>
                <w:p w14:paraId="3CB9F564">
                  <w:pPr>
                    <w:pStyle w:val="51"/>
                    <w:jc w:val="center"/>
                    <w:rPr>
                      <w:rFonts w:ascii="Times New Roman" w:hAnsi="Times New Roman" w:cs="Times New Roman"/>
                      <w:color w:val="auto"/>
                      <w:spacing w:val="2"/>
                      <w:sz w:val="21"/>
                      <w:szCs w:val="21"/>
                      <w:lang w:eastAsia="zh-CN"/>
                    </w:rPr>
                  </w:pPr>
                  <w:r>
                    <w:rPr>
                      <w:rFonts w:hint="eastAsia" w:ascii="Times New Roman" w:hAnsi="Times New Roman" w:cs="Times New Roman"/>
                      <w:color w:val="auto"/>
                      <w:spacing w:val="2"/>
                      <w:sz w:val="21"/>
                      <w:szCs w:val="21"/>
                      <w:lang w:eastAsia="zh-CN"/>
                    </w:rPr>
                    <w:t>10</w:t>
                  </w:r>
                </w:p>
              </w:tc>
            </w:tr>
            <w:tr w14:paraId="39DE4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749" w:type="dxa"/>
                  <w:vMerge w:val="continue"/>
                  <w:tcBorders>
                    <w:top w:val="nil"/>
                    <w:bottom w:val="nil"/>
                  </w:tcBorders>
                  <w:vAlign w:val="center"/>
                </w:tcPr>
                <w:p w14:paraId="089C3B62">
                  <w:pPr>
                    <w:jc w:val="center"/>
                    <w:rPr>
                      <w:color w:val="auto"/>
                    </w:rPr>
                  </w:pPr>
                </w:p>
              </w:tc>
              <w:tc>
                <w:tcPr>
                  <w:tcW w:w="561" w:type="dxa"/>
                  <w:vMerge w:val="continue"/>
                  <w:tcBorders>
                    <w:top w:val="nil"/>
                    <w:bottom w:val="nil"/>
                  </w:tcBorders>
                  <w:vAlign w:val="center"/>
                </w:tcPr>
                <w:p w14:paraId="319A7094">
                  <w:pPr>
                    <w:jc w:val="center"/>
                    <w:rPr>
                      <w:color w:val="auto"/>
                    </w:rPr>
                  </w:pPr>
                </w:p>
              </w:tc>
              <w:tc>
                <w:tcPr>
                  <w:tcW w:w="2032" w:type="dxa"/>
                  <w:vAlign w:val="center"/>
                </w:tcPr>
                <w:p w14:paraId="3E05777D">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4"/>
                      <w:sz w:val="21"/>
                      <w:szCs w:val="21"/>
                      <w:lang w:eastAsia="zh-CN"/>
                    </w:rPr>
                    <w:t>老污染源限期治理指标完</w:t>
                  </w:r>
                  <w:r>
                    <w:rPr>
                      <w:rFonts w:ascii="Times New Roman" w:hAnsi="Times New Roman" w:cs="Times New Roman"/>
                      <w:color w:val="auto"/>
                      <w:spacing w:val="-3"/>
                      <w:sz w:val="21"/>
                      <w:szCs w:val="21"/>
                      <w:lang w:eastAsia="zh-CN"/>
                    </w:rPr>
                    <w:t>成情况</w:t>
                  </w:r>
                </w:p>
              </w:tc>
              <w:tc>
                <w:tcPr>
                  <w:tcW w:w="546" w:type="dxa"/>
                  <w:vAlign w:val="center"/>
                </w:tcPr>
                <w:p w14:paraId="306924FA">
                  <w:pPr>
                    <w:pStyle w:val="51"/>
                    <w:jc w:val="center"/>
                    <w:rPr>
                      <w:rFonts w:ascii="Times New Roman" w:hAnsi="Times New Roman" w:cs="Times New Roman"/>
                      <w:color w:val="auto"/>
                      <w:sz w:val="21"/>
                      <w:szCs w:val="21"/>
                    </w:rPr>
                  </w:pPr>
                  <w:r>
                    <w:rPr>
                      <w:rFonts w:ascii="Times New Roman" w:hAnsi="Times New Roman" w:cs="Times New Roman"/>
                      <w:color w:val="auto"/>
                      <w:spacing w:val="-12"/>
                      <w:sz w:val="21"/>
                      <w:szCs w:val="21"/>
                    </w:rPr>
                    <w:t>10</w:t>
                  </w:r>
                </w:p>
              </w:tc>
              <w:tc>
                <w:tcPr>
                  <w:tcW w:w="4519" w:type="dxa"/>
                  <w:vAlign w:val="center"/>
                </w:tcPr>
                <w:p w14:paraId="016B328B">
                  <w:pPr>
                    <w:pStyle w:val="51"/>
                    <w:jc w:val="center"/>
                    <w:rPr>
                      <w:rFonts w:ascii="Times New Roman" w:hAnsi="Times New Roman" w:cs="Times New Roman"/>
                      <w:color w:val="auto"/>
                      <w:sz w:val="21"/>
                      <w:szCs w:val="21"/>
                      <w:lang w:eastAsia="zh-CN"/>
                    </w:rPr>
                  </w:pPr>
                  <w:r>
                    <w:rPr>
                      <w:rFonts w:hint="eastAsia" w:ascii="Times New Roman" w:hAnsi="Times New Roman" w:cs="Times New Roman"/>
                      <w:color w:val="auto"/>
                      <w:spacing w:val="1"/>
                      <w:sz w:val="21"/>
                      <w:szCs w:val="21"/>
                      <w:lang w:eastAsia="zh-CN"/>
                    </w:rPr>
                    <w:t>不涉及</w:t>
                  </w:r>
                </w:p>
              </w:tc>
              <w:tc>
                <w:tcPr>
                  <w:tcW w:w="947" w:type="dxa"/>
                  <w:vAlign w:val="center"/>
                </w:tcPr>
                <w:p w14:paraId="12824B5D">
                  <w:pPr>
                    <w:pStyle w:val="51"/>
                    <w:jc w:val="center"/>
                    <w:rPr>
                      <w:rFonts w:ascii="Times New Roman" w:hAnsi="Times New Roman" w:cs="Times New Roman"/>
                      <w:color w:val="auto"/>
                      <w:spacing w:val="1"/>
                      <w:sz w:val="21"/>
                      <w:szCs w:val="21"/>
                      <w:lang w:eastAsia="zh-CN"/>
                    </w:rPr>
                  </w:pPr>
                  <w:r>
                    <w:rPr>
                      <w:rFonts w:hint="eastAsia" w:ascii="Times New Roman" w:hAnsi="Times New Roman" w:cs="Times New Roman"/>
                      <w:color w:val="auto"/>
                      <w:spacing w:val="1"/>
                      <w:sz w:val="21"/>
                      <w:szCs w:val="21"/>
                      <w:lang w:eastAsia="zh-CN"/>
                    </w:rPr>
                    <w:t>10</w:t>
                  </w:r>
                </w:p>
              </w:tc>
            </w:tr>
            <w:tr w14:paraId="7B0C7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749" w:type="dxa"/>
                  <w:vMerge w:val="continue"/>
                  <w:tcBorders>
                    <w:top w:val="nil"/>
                    <w:bottom w:val="nil"/>
                  </w:tcBorders>
                  <w:vAlign w:val="center"/>
                </w:tcPr>
                <w:p w14:paraId="1530A324">
                  <w:pPr>
                    <w:jc w:val="center"/>
                    <w:rPr>
                      <w:color w:val="auto"/>
                    </w:rPr>
                  </w:pPr>
                </w:p>
              </w:tc>
              <w:tc>
                <w:tcPr>
                  <w:tcW w:w="561" w:type="dxa"/>
                  <w:vMerge w:val="continue"/>
                  <w:tcBorders>
                    <w:top w:val="nil"/>
                    <w:bottom w:val="nil"/>
                  </w:tcBorders>
                  <w:vAlign w:val="center"/>
                </w:tcPr>
                <w:p w14:paraId="16D29AAE">
                  <w:pPr>
                    <w:jc w:val="center"/>
                    <w:rPr>
                      <w:color w:val="auto"/>
                    </w:rPr>
                  </w:pPr>
                </w:p>
              </w:tc>
              <w:tc>
                <w:tcPr>
                  <w:tcW w:w="2032" w:type="dxa"/>
                  <w:vAlign w:val="center"/>
                </w:tcPr>
                <w:p w14:paraId="13F396AB">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4"/>
                      <w:sz w:val="21"/>
                      <w:szCs w:val="21"/>
                      <w:lang w:eastAsia="zh-CN"/>
                    </w:rPr>
                    <w:t>建设项目环境影响评价制</w:t>
                  </w:r>
                  <w:r>
                    <w:rPr>
                      <w:rFonts w:ascii="Times New Roman" w:hAnsi="Times New Roman" w:cs="Times New Roman"/>
                      <w:color w:val="auto"/>
                      <w:spacing w:val="-2"/>
                      <w:sz w:val="21"/>
                      <w:szCs w:val="21"/>
                      <w:lang w:eastAsia="zh-CN"/>
                    </w:rPr>
                    <w:t>度执行情况</w:t>
                  </w:r>
                </w:p>
              </w:tc>
              <w:tc>
                <w:tcPr>
                  <w:tcW w:w="546" w:type="dxa"/>
                  <w:vAlign w:val="center"/>
                </w:tcPr>
                <w:p w14:paraId="11DB8E66">
                  <w:pPr>
                    <w:pStyle w:val="51"/>
                    <w:jc w:val="center"/>
                    <w:rPr>
                      <w:rFonts w:ascii="Times New Roman" w:hAnsi="Times New Roman" w:cs="Times New Roman"/>
                      <w:color w:val="auto"/>
                      <w:sz w:val="21"/>
                      <w:szCs w:val="21"/>
                    </w:rPr>
                  </w:pPr>
                  <w:r>
                    <w:rPr>
                      <w:rFonts w:ascii="Times New Roman" w:hAnsi="Times New Roman" w:cs="Times New Roman"/>
                      <w:color w:val="auto"/>
                      <w:spacing w:val="-12"/>
                      <w:sz w:val="21"/>
                      <w:szCs w:val="21"/>
                    </w:rPr>
                    <w:t>10</w:t>
                  </w:r>
                </w:p>
              </w:tc>
              <w:tc>
                <w:tcPr>
                  <w:tcW w:w="4519" w:type="dxa"/>
                  <w:vAlign w:val="center"/>
                </w:tcPr>
                <w:p w14:paraId="4BF5A601">
                  <w:pPr>
                    <w:pStyle w:val="51"/>
                    <w:jc w:val="center"/>
                    <w:rPr>
                      <w:rFonts w:ascii="Times New Roman" w:hAnsi="Times New Roman" w:cs="Times New Roman"/>
                      <w:color w:val="auto"/>
                      <w:sz w:val="21"/>
                      <w:szCs w:val="21"/>
                      <w:lang w:eastAsia="zh-CN"/>
                    </w:rPr>
                  </w:pPr>
                  <w:r>
                    <w:rPr>
                      <w:rFonts w:hint="eastAsia" w:ascii="Times New Roman" w:hAnsi="Times New Roman" w:cs="Times New Roman"/>
                      <w:color w:val="auto"/>
                      <w:spacing w:val="1"/>
                      <w:sz w:val="21"/>
                      <w:szCs w:val="21"/>
                      <w:lang w:eastAsia="zh-CN"/>
                    </w:rPr>
                    <w:t>正在编制环评报告</w:t>
                  </w:r>
                </w:p>
              </w:tc>
              <w:tc>
                <w:tcPr>
                  <w:tcW w:w="947" w:type="dxa"/>
                  <w:vAlign w:val="center"/>
                </w:tcPr>
                <w:p w14:paraId="057E32C8">
                  <w:pPr>
                    <w:pStyle w:val="51"/>
                    <w:jc w:val="center"/>
                    <w:rPr>
                      <w:rFonts w:ascii="Times New Roman" w:hAnsi="Times New Roman" w:cs="Times New Roman"/>
                      <w:color w:val="auto"/>
                      <w:spacing w:val="1"/>
                      <w:sz w:val="21"/>
                      <w:szCs w:val="21"/>
                      <w:lang w:eastAsia="zh-CN"/>
                    </w:rPr>
                  </w:pPr>
                  <w:r>
                    <w:rPr>
                      <w:rFonts w:hint="eastAsia" w:ascii="Times New Roman" w:hAnsi="Times New Roman" w:cs="Times New Roman"/>
                      <w:color w:val="auto"/>
                      <w:spacing w:val="1"/>
                      <w:sz w:val="21"/>
                      <w:szCs w:val="21"/>
                      <w:lang w:eastAsia="zh-CN"/>
                    </w:rPr>
                    <w:t>10</w:t>
                  </w:r>
                </w:p>
              </w:tc>
            </w:tr>
            <w:tr w14:paraId="2E800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jc w:val="center"/>
              </w:trPr>
              <w:tc>
                <w:tcPr>
                  <w:tcW w:w="749" w:type="dxa"/>
                  <w:vMerge w:val="continue"/>
                  <w:tcBorders>
                    <w:top w:val="nil"/>
                    <w:bottom w:val="nil"/>
                  </w:tcBorders>
                  <w:vAlign w:val="center"/>
                </w:tcPr>
                <w:p w14:paraId="3635055C">
                  <w:pPr>
                    <w:jc w:val="center"/>
                    <w:rPr>
                      <w:color w:val="auto"/>
                    </w:rPr>
                  </w:pPr>
                </w:p>
              </w:tc>
              <w:tc>
                <w:tcPr>
                  <w:tcW w:w="561" w:type="dxa"/>
                  <w:vMerge w:val="continue"/>
                  <w:tcBorders>
                    <w:top w:val="nil"/>
                    <w:bottom w:val="nil"/>
                  </w:tcBorders>
                  <w:vAlign w:val="center"/>
                </w:tcPr>
                <w:p w14:paraId="204A50F9">
                  <w:pPr>
                    <w:jc w:val="center"/>
                    <w:rPr>
                      <w:color w:val="auto"/>
                    </w:rPr>
                  </w:pPr>
                </w:p>
              </w:tc>
              <w:tc>
                <w:tcPr>
                  <w:tcW w:w="2032" w:type="dxa"/>
                  <w:vAlign w:val="center"/>
                </w:tcPr>
                <w:p w14:paraId="5C10B668">
                  <w:pPr>
                    <w:jc w:val="center"/>
                    <w:rPr>
                      <w:color w:val="auto"/>
                    </w:rPr>
                  </w:pPr>
                </w:p>
                <w:p w14:paraId="1ED9713C">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
                      <w:sz w:val="21"/>
                      <w:szCs w:val="21"/>
                      <w:lang w:eastAsia="zh-CN"/>
                    </w:rPr>
                    <w:t>污染物排放总量控制情况</w:t>
                  </w:r>
                </w:p>
              </w:tc>
              <w:tc>
                <w:tcPr>
                  <w:tcW w:w="546" w:type="dxa"/>
                  <w:vAlign w:val="center"/>
                </w:tcPr>
                <w:p w14:paraId="36C5DD85">
                  <w:pPr>
                    <w:pStyle w:val="51"/>
                    <w:jc w:val="center"/>
                    <w:rPr>
                      <w:rFonts w:ascii="Times New Roman" w:hAnsi="Times New Roman" w:cs="Times New Roman"/>
                      <w:color w:val="auto"/>
                      <w:sz w:val="21"/>
                      <w:szCs w:val="21"/>
                    </w:rPr>
                  </w:pPr>
                  <w:r>
                    <w:rPr>
                      <w:rFonts w:ascii="Times New Roman" w:hAnsi="Times New Roman" w:cs="Times New Roman"/>
                      <w:color w:val="auto"/>
                      <w:spacing w:val="-12"/>
                      <w:sz w:val="21"/>
                      <w:szCs w:val="21"/>
                    </w:rPr>
                    <w:t>10</w:t>
                  </w:r>
                </w:p>
              </w:tc>
              <w:tc>
                <w:tcPr>
                  <w:tcW w:w="4519" w:type="dxa"/>
                  <w:vAlign w:val="center"/>
                </w:tcPr>
                <w:p w14:paraId="64788529">
                  <w:pPr>
                    <w:pStyle w:val="51"/>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项目建成后按要求排放废水和废气，不超总量控制标准</w:t>
                  </w:r>
                </w:p>
              </w:tc>
              <w:tc>
                <w:tcPr>
                  <w:tcW w:w="947" w:type="dxa"/>
                  <w:vAlign w:val="center"/>
                </w:tcPr>
                <w:p w14:paraId="2BA7372F">
                  <w:pPr>
                    <w:pStyle w:val="51"/>
                    <w:jc w:val="center"/>
                    <w:rPr>
                      <w:rFonts w:ascii="Times New Roman" w:hAnsi="Times New Roman" w:cs="Times New Roman"/>
                      <w:color w:val="auto"/>
                      <w:spacing w:val="2"/>
                      <w:sz w:val="21"/>
                      <w:szCs w:val="21"/>
                      <w:lang w:eastAsia="zh-CN"/>
                    </w:rPr>
                  </w:pPr>
                  <w:r>
                    <w:rPr>
                      <w:rFonts w:hint="eastAsia" w:ascii="Times New Roman" w:hAnsi="Times New Roman" w:cs="Times New Roman"/>
                      <w:color w:val="auto"/>
                      <w:spacing w:val="2"/>
                      <w:sz w:val="21"/>
                      <w:szCs w:val="21"/>
                      <w:lang w:eastAsia="zh-CN"/>
                    </w:rPr>
                    <w:t>10</w:t>
                  </w:r>
                </w:p>
              </w:tc>
            </w:tr>
            <w:tr w14:paraId="71D92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749" w:type="dxa"/>
                  <w:vMerge w:val="continue"/>
                  <w:tcBorders>
                    <w:top w:val="nil"/>
                    <w:bottom w:val="nil"/>
                  </w:tcBorders>
                  <w:vAlign w:val="center"/>
                </w:tcPr>
                <w:p w14:paraId="0BC76690">
                  <w:pPr>
                    <w:jc w:val="center"/>
                    <w:rPr>
                      <w:color w:val="auto"/>
                    </w:rPr>
                  </w:pPr>
                </w:p>
              </w:tc>
              <w:tc>
                <w:tcPr>
                  <w:tcW w:w="561" w:type="dxa"/>
                  <w:vMerge w:val="continue"/>
                  <w:tcBorders>
                    <w:top w:val="nil"/>
                    <w:bottom w:val="nil"/>
                  </w:tcBorders>
                  <w:vAlign w:val="center"/>
                </w:tcPr>
                <w:p w14:paraId="1B557E58">
                  <w:pPr>
                    <w:jc w:val="center"/>
                    <w:rPr>
                      <w:color w:val="auto"/>
                    </w:rPr>
                  </w:pPr>
                </w:p>
              </w:tc>
              <w:tc>
                <w:tcPr>
                  <w:tcW w:w="2032" w:type="dxa"/>
                  <w:vAlign w:val="center"/>
                </w:tcPr>
                <w:p w14:paraId="265C7416">
                  <w:pPr>
                    <w:pStyle w:val="51"/>
                    <w:jc w:val="center"/>
                    <w:rPr>
                      <w:rFonts w:ascii="Times New Roman" w:hAnsi="Times New Roman" w:cs="Times New Roman"/>
                      <w:color w:val="auto"/>
                      <w:sz w:val="21"/>
                      <w:szCs w:val="21"/>
                    </w:rPr>
                  </w:pPr>
                  <w:r>
                    <w:rPr>
                      <w:rFonts w:ascii="Times New Roman" w:hAnsi="Times New Roman" w:cs="Times New Roman"/>
                      <w:color w:val="auto"/>
                      <w:spacing w:val="-1"/>
                      <w:sz w:val="21"/>
                      <w:szCs w:val="21"/>
                    </w:rPr>
                    <w:t>污染物达标排放情况</w:t>
                  </w:r>
                </w:p>
              </w:tc>
              <w:tc>
                <w:tcPr>
                  <w:tcW w:w="546" w:type="dxa"/>
                  <w:vAlign w:val="center"/>
                </w:tcPr>
                <w:p w14:paraId="36FAE98C">
                  <w:pPr>
                    <w:pStyle w:val="51"/>
                    <w:jc w:val="center"/>
                    <w:rPr>
                      <w:rFonts w:ascii="Times New Roman" w:hAnsi="Times New Roman" w:cs="Times New Roman"/>
                      <w:color w:val="auto"/>
                      <w:sz w:val="21"/>
                      <w:szCs w:val="21"/>
                    </w:rPr>
                  </w:pPr>
                  <w:r>
                    <w:rPr>
                      <w:rFonts w:ascii="Times New Roman" w:hAnsi="Times New Roman" w:cs="Times New Roman"/>
                      <w:color w:val="auto"/>
                      <w:spacing w:val="-12"/>
                      <w:sz w:val="21"/>
                      <w:szCs w:val="21"/>
                    </w:rPr>
                    <w:t>10</w:t>
                  </w:r>
                </w:p>
              </w:tc>
              <w:tc>
                <w:tcPr>
                  <w:tcW w:w="4519" w:type="dxa"/>
                  <w:vAlign w:val="center"/>
                </w:tcPr>
                <w:p w14:paraId="0292B3D4">
                  <w:pPr>
                    <w:pStyle w:val="51"/>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项目建成后按要求排放废水和废气，不超排放标准限值要求</w:t>
                  </w:r>
                </w:p>
              </w:tc>
              <w:tc>
                <w:tcPr>
                  <w:tcW w:w="947" w:type="dxa"/>
                  <w:vAlign w:val="center"/>
                </w:tcPr>
                <w:p w14:paraId="5F32DF7F">
                  <w:pPr>
                    <w:pStyle w:val="51"/>
                    <w:jc w:val="center"/>
                    <w:rPr>
                      <w:rFonts w:ascii="Times New Roman" w:hAnsi="Times New Roman" w:cs="Times New Roman"/>
                      <w:color w:val="auto"/>
                      <w:spacing w:val="1"/>
                      <w:sz w:val="21"/>
                      <w:szCs w:val="21"/>
                      <w:lang w:eastAsia="zh-CN"/>
                    </w:rPr>
                  </w:pPr>
                  <w:r>
                    <w:rPr>
                      <w:rFonts w:hint="eastAsia" w:ascii="Times New Roman" w:hAnsi="Times New Roman" w:cs="Times New Roman"/>
                      <w:color w:val="auto"/>
                      <w:spacing w:val="1"/>
                      <w:sz w:val="21"/>
                      <w:szCs w:val="21"/>
                      <w:lang w:eastAsia="zh-CN"/>
                    </w:rPr>
                    <w:t>10</w:t>
                  </w:r>
                </w:p>
              </w:tc>
            </w:tr>
            <w:tr w14:paraId="287F0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7" w:hRule="atLeast"/>
                <w:jc w:val="center"/>
              </w:trPr>
              <w:tc>
                <w:tcPr>
                  <w:tcW w:w="749" w:type="dxa"/>
                  <w:vMerge w:val="continue"/>
                  <w:tcBorders>
                    <w:top w:val="nil"/>
                  </w:tcBorders>
                  <w:vAlign w:val="center"/>
                </w:tcPr>
                <w:p w14:paraId="1ADEC027">
                  <w:pPr>
                    <w:jc w:val="center"/>
                    <w:rPr>
                      <w:color w:val="auto"/>
                    </w:rPr>
                  </w:pPr>
                </w:p>
              </w:tc>
              <w:tc>
                <w:tcPr>
                  <w:tcW w:w="561" w:type="dxa"/>
                  <w:vMerge w:val="continue"/>
                  <w:tcBorders>
                    <w:top w:val="nil"/>
                  </w:tcBorders>
                  <w:vAlign w:val="center"/>
                </w:tcPr>
                <w:p w14:paraId="133B8076">
                  <w:pPr>
                    <w:jc w:val="center"/>
                    <w:rPr>
                      <w:color w:val="auto"/>
                    </w:rPr>
                  </w:pPr>
                </w:p>
              </w:tc>
              <w:tc>
                <w:tcPr>
                  <w:tcW w:w="2032" w:type="dxa"/>
                  <w:vAlign w:val="center"/>
                </w:tcPr>
                <w:p w14:paraId="1A503525">
                  <w:pPr>
                    <w:pStyle w:val="51"/>
                    <w:rPr>
                      <w:rFonts w:ascii="Times New Roman" w:hAnsi="Times New Roman" w:cs="Times New Roman"/>
                      <w:color w:val="auto"/>
                      <w:sz w:val="21"/>
                      <w:szCs w:val="21"/>
                      <w:lang w:eastAsia="zh-CN"/>
                    </w:rPr>
                  </w:pPr>
                  <w:r>
                    <w:rPr>
                      <w:rFonts w:ascii="Times New Roman" w:hAnsi="Times New Roman" w:cs="Times New Roman"/>
                      <w:color w:val="auto"/>
                      <w:spacing w:val="-5"/>
                      <w:sz w:val="21"/>
                      <w:szCs w:val="21"/>
                      <w:lang w:eastAsia="zh-CN"/>
                    </w:rPr>
                    <w:t>车间粉尘（烟尘）达到劳动</w:t>
                  </w:r>
                  <w:r>
                    <w:rPr>
                      <w:rFonts w:ascii="Times New Roman" w:hAnsi="Times New Roman" w:cs="Times New Roman"/>
                      <w:color w:val="auto"/>
                      <w:spacing w:val="-2"/>
                      <w:sz w:val="21"/>
                      <w:szCs w:val="21"/>
                      <w:lang w:eastAsia="zh-CN"/>
                    </w:rPr>
                    <w:t>卫生标准情况</w:t>
                  </w:r>
                </w:p>
              </w:tc>
              <w:tc>
                <w:tcPr>
                  <w:tcW w:w="546" w:type="dxa"/>
                  <w:vAlign w:val="center"/>
                </w:tcPr>
                <w:p w14:paraId="2D23BDC0">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4519" w:type="dxa"/>
                  <w:vAlign w:val="center"/>
                </w:tcPr>
                <w:p w14:paraId="12F10E26">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8"/>
                      <w:sz w:val="21"/>
                      <w:szCs w:val="21"/>
                      <w:lang w:eastAsia="zh-CN"/>
                    </w:rPr>
                    <w:t>车间内仅有单项粉尘（烟尘）排放，</w:t>
                  </w:r>
                  <w:r>
                    <w:rPr>
                      <w:rFonts w:hint="eastAsia" w:ascii="Times New Roman" w:hAnsi="Times New Roman" w:cs="Times New Roman"/>
                      <w:color w:val="auto"/>
                      <w:sz w:val="21"/>
                      <w:szCs w:val="21"/>
                      <w:lang w:eastAsia="zh-CN"/>
                    </w:rPr>
                    <w:t>不超排放标准限值要求</w:t>
                  </w:r>
                  <w:r>
                    <w:rPr>
                      <w:rFonts w:ascii="Times New Roman" w:hAnsi="Times New Roman" w:cs="Times New Roman"/>
                      <w:color w:val="auto"/>
                      <w:spacing w:val="-4"/>
                      <w:sz w:val="21"/>
                      <w:szCs w:val="21"/>
                      <w:lang w:eastAsia="zh-CN"/>
                    </w:rPr>
                    <w:t>。</w:t>
                  </w:r>
                </w:p>
              </w:tc>
              <w:tc>
                <w:tcPr>
                  <w:tcW w:w="947" w:type="dxa"/>
                  <w:vAlign w:val="center"/>
                </w:tcPr>
                <w:p w14:paraId="7A79A500">
                  <w:pPr>
                    <w:pStyle w:val="51"/>
                    <w:jc w:val="center"/>
                    <w:rPr>
                      <w:rFonts w:ascii="Times New Roman" w:hAnsi="Times New Roman" w:cs="Times New Roman"/>
                      <w:color w:val="auto"/>
                      <w:spacing w:val="-8"/>
                      <w:sz w:val="21"/>
                      <w:szCs w:val="21"/>
                      <w:lang w:eastAsia="zh-CN"/>
                    </w:rPr>
                  </w:pPr>
                  <w:r>
                    <w:rPr>
                      <w:rFonts w:hint="eastAsia" w:ascii="Times New Roman" w:hAnsi="Times New Roman" w:cs="Times New Roman"/>
                      <w:color w:val="auto"/>
                      <w:spacing w:val="-8"/>
                      <w:sz w:val="21"/>
                      <w:szCs w:val="21"/>
                      <w:lang w:eastAsia="zh-CN"/>
                    </w:rPr>
                    <w:t>5</w:t>
                  </w:r>
                </w:p>
              </w:tc>
            </w:tr>
            <w:tr w14:paraId="5463E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8" w:hRule="atLeast"/>
                <w:jc w:val="center"/>
              </w:trPr>
              <w:tc>
                <w:tcPr>
                  <w:tcW w:w="749" w:type="dxa"/>
                  <w:vMerge w:val="restart"/>
                  <w:tcBorders>
                    <w:bottom w:val="nil"/>
                  </w:tcBorders>
                  <w:vAlign w:val="center"/>
                </w:tcPr>
                <w:p w14:paraId="1F4A5957">
                  <w:pPr>
                    <w:pStyle w:val="51"/>
                    <w:rPr>
                      <w:rFonts w:ascii="Times New Roman" w:hAnsi="Times New Roman" w:cs="Times New Roman"/>
                      <w:color w:val="auto"/>
                      <w:sz w:val="21"/>
                      <w:szCs w:val="21"/>
                      <w:lang w:eastAsia="zh-CN"/>
                    </w:rPr>
                  </w:pPr>
                  <w:r>
                    <w:rPr>
                      <w:rFonts w:ascii="Times New Roman" w:hAnsi="Times New Roman" w:cs="Times New Roman"/>
                      <w:color w:val="auto"/>
                      <w:spacing w:val="-24"/>
                      <w:sz w:val="21"/>
                      <w:szCs w:val="21"/>
                      <w:lang w:eastAsia="zh-CN"/>
                    </w:rPr>
                    <w:t>（二）生</w:t>
                  </w:r>
                  <w:r>
                    <w:rPr>
                      <w:rFonts w:ascii="Times New Roman" w:hAnsi="Times New Roman" w:cs="Times New Roman"/>
                      <w:color w:val="auto"/>
                      <w:spacing w:val="-2"/>
                      <w:sz w:val="21"/>
                      <w:szCs w:val="21"/>
                      <w:lang w:eastAsia="zh-CN"/>
                    </w:rPr>
                    <w:t>产技术特征指</w:t>
                  </w:r>
                </w:p>
                <w:p w14:paraId="714D87F6">
                  <w:pPr>
                    <w:pStyle w:val="51"/>
                    <w:jc w:val="center"/>
                    <w:rPr>
                      <w:rFonts w:ascii="Times New Roman" w:hAnsi="Times New Roman" w:cs="Times New Roman"/>
                      <w:color w:val="auto"/>
                      <w:sz w:val="21"/>
                      <w:szCs w:val="21"/>
                      <w:lang w:eastAsia="zh-CN"/>
                    </w:rPr>
                  </w:pPr>
                  <w:r>
                    <w:rPr>
                      <w:rFonts w:ascii="Times New Roman" w:hAnsi="Times New Roman" w:cs="Times New Roman"/>
                      <w:color w:val="auto"/>
                      <w:sz w:val="21"/>
                      <w:szCs w:val="21"/>
                      <w:lang w:eastAsia="zh-CN"/>
                    </w:rPr>
                    <w:t>标</w:t>
                  </w:r>
                </w:p>
              </w:tc>
              <w:tc>
                <w:tcPr>
                  <w:tcW w:w="561" w:type="dxa"/>
                  <w:vMerge w:val="restart"/>
                  <w:tcBorders>
                    <w:bottom w:val="nil"/>
                  </w:tcBorders>
                  <w:vAlign w:val="center"/>
                </w:tcPr>
                <w:p w14:paraId="163D72A7">
                  <w:pPr>
                    <w:pStyle w:val="51"/>
                    <w:jc w:val="center"/>
                    <w:rPr>
                      <w:rFonts w:ascii="Times New Roman" w:hAnsi="Times New Roman" w:cs="Times New Roman"/>
                      <w:color w:val="auto"/>
                      <w:sz w:val="21"/>
                      <w:szCs w:val="21"/>
                    </w:rPr>
                  </w:pPr>
                  <w:r>
                    <w:rPr>
                      <w:rFonts w:ascii="Times New Roman" w:hAnsi="Times New Roman" w:cs="Times New Roman"/>
                      <w:color w:val="auto"/>
                      <w:spacing w:val="-3"/>
                      <w:sz w:val="21"/>
                      <w:szCs w:val="21"/>
                    </w:rPr>
                    <w:t>22</w:t>
                  </w:r>
                </w:p>
              </w:tc>
              <w:tc>
                <w:tcPr>
                  <w:tcW w:w="2032" w:type="dxa"/>
                  <w:vAlign w:val="center"/>
                </w:tcPr>
                <w:p w14:paraId="3E17CFD6">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5"/>
                      <w:sz w:val="21"/>
                      <w:szCs w:val="21"/>
                      <w:lang w:eastAsia="zh-CN"/>
                    </w:rPr>
                    <w:t>建立节能、节材、节水管理</w:t>
                  </w:r>
                  <w:r>
                    <w:rPr>
                      <w:rFonts w:ascii="Times New Roman" w:hAnsi="Times New Roman" w:cs="Times New Roman"/>
                      <w:color w:val="auto"/>
                      <w:spacing w:val="-2"/>
                      <w:sz w:val="21"/>
                      <w:szCs w:val="21"/>
                      <w:lang w:eastAsia="zh-CN"/>
                    </w:rPr>
                    <w:t>制度情况</w:t>
                  </w:r>
                </w:p>
              </w:tc>
              <w:tc>
                <w:tcPr>
                  <w:tcW w:w="546" w:type="dxa"/>
                  <w:vAlign w:val="center"/>
                </w:tcPr>
                <w:p w14:paraId="18CB44FD">
                  <w:pPr>
                    <w:pStyle w:val="51"/>
                    <w:jc w:val="center"/>
                    <w:rPr>
                      <w:rFonts w:ascii="Times New Roman" w:hAnsi="Times New Roman" w:cs="Times New Roman"/>
                      <w:color w:val="auto"/>
                      <w:sz w:val="21"/>
                      <w:szCs w:val="21"/>
                    </w:rPr>
                  </w:pPr>
                  <w:r>
                    <w:rPr>
                      <w:rFonts w:ascii="Times New Roman" w:hAnsi="Times New Roman" w:cs="Times New Roman"/>
                      <w:color w:val="auto"/>
                      <w:spacing w:val="-12"/>
                      <w:sz w:val="21"/>
                      <w:szCs w:val="21"/>
                    </w:rPr>
                    <w:t>10</w:t>
                  </w:r>
                </w:p>
              </w:tc>
              <w:tc>
                <w:tcPr>
                  <w:tcW w:w="4519" w:type="dxa"/>
                  <w:vAlign w:val="center"/>
                </w:tcPr>
                <w:p w14:paraId="41AC2EB0">
                  <w:pPr>
                    <w:pStyle w:val="51"/>
                    <w:jc w:val="center"/>
                    <w:rPr>
                      <w:rFonts w:ascii="Times New Roman" w:hAnsi="Times New Roman" w:cs="Times New Roman"/>
                      <w:color w:val="auto"/>
                      <w:sz w:val="21"/>
                      <w:szCs w:val="21"/>
                      <w:lang w:eastAsia="zh-CN"/>
                    </w:rPr>
                  </w:pPr>
                  <w:r>
                    <w:rPr>
                      <w:rFonts w:hint="eastAsia" w:ascii="Times New Roman" w:hAnsi="Times New Roman" w:cs="Times New Roman"/>
                      <w:color w:val="auto"/>
                      <w:spacing w:val="-1"/>
                      <w:sz w:val="21"/>
                      <w:szCs w:val="21"/>
                      <w:lang w:eastAsia="zh-CN"/>
                    </w:rPr>
                    <w:t>本项目建成后拟制定</w:t>
                  </w:r>
                  <w:r>
                    <w:rPr>
                      <w:rFonts w:ascii="Times New Roman" w:hAnsi="Times New Roman" w:cs="Times New Roman"/>
                      <w:color w:val="auto"/>
                      <w:spacing w:val="-1"/>
                      <w:sz w:val="21"/>
                      <w:szCs w:val="21"/>
                      <w:lang w:eastAsia="zh-CN"/>
                    </w:rPr>
                    <w:t>专项节能、节材、</w:t>
                  </w:r>
                  <w:r>
                    <w:rPr>
                      <w:rFonts w:ascii="Times New Roman" w:hAnsi="Times New Roman" w:cs="Times New Roman"/>
                      <w:color w:val="auto"/>
                      <w:spacing w:val="1"/>
                      <w:sz w:val="21"/>
                      <w:szCs w:val="21"/>
                      <w:lang w:eastAsia="zh-CN"/>
                    </w:rPr>
                    <w:t>节水管理制度的</w:t>
                  </w:r>
                  <w:r>
                    <w:rPr>
                      <w:rFonts w:ascii="Times New Roman" w:hAnsi="Times New Roman" w:cs="Times New Roman"/>
                      <w:color w:val="auto"/>
                      <w:spacing w:val="-20"/>
                      <w:sz w:val="21"/>
                      <w:szCs w:val="21"/>
                      <w:lang w:eastAsia="zh-CN"/>
                    </w:rPr>
                    <w:t>；</w:t>
                  </w:r>
                </w:p>
              </w:tc>
              <w:tc>
                <w:tcPr>
                  <w:tcW w:w="947" w:type="dxa"/>
                  <w:vAlign w:val="center"/>
                </w:tcPr>
                <w:p w14:paraId="19DBA9D0">
                  <w:pPr>
                    <w:pStyle w:val="51"/>
                    <w:jc w:val="center"/>
                    <w:rPr>
                      <w:rFonts w:ascii="Times New Roman" w:hAnsi="Times New Roman" w:cs="Times New Roman"/>
                      <w:color w:val="auto"/>
                      <w:spacing w:val="-1"/>
                      <w:sz w:val="21"/>
                      <w:szCs w:val="21"/>
                      <w:lang w:eastAsia="zh-CN"/>
                    </w:rPr>
                  </w:pPr>
                  <w:r>
                    <w:rPr>
                      <w:rFonts w:hint="eastAsia" w:ascii="Times New Roman" w:hAnsi="Times New Roman" w:cs="Times New Roman"/>
                      <w:color w:val="auto"/>
                      <w:spacing w:val="-1"/>
                      <w:sz w:val="21"/>
                      <w:szCs w:val="21"/>
                      <w:lang w:eastAsia="zh-CN"/>
                    </w:rPr>
                    <w:t>10</w:t>
                  </w:r>
                </w:p>
              </w:tc>
            </w:tr>
            <w:tr w14:paraId="295F5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jc w:val="center"/>
              </w:trPr>
              <w:tc>
                <w:tcPr>
                  <w:tcW w:w="749" w:type="dxa"/>
                  <w:vMerge w:val="continue"/>
                  <w:tcBorders>
                    <w:top w:val="nil"/>
                    <w:bottom w:val="single" w:color="auto" w:sz="4" w:space="0"/>
                  </w:tcBorders>
                  <w:vAlign w:val="center"/>
                </w:tcPr>
                <w:p w14:paraId="5470F297">
                  <w:pPr>
                    <w:jc w:val="center"/>
                    <w:rPr>
                      <w:color w:val="auto"/>
                    </w:rPr>
                  </w:pPr>
                </w:p>
              </w:tc>
              <w:tc>
                <w:tcPr>
                  <w:tcW w:w="561" w:type="dxa"/>
                  <w:vMerge w:val="continue"/>
                  <w:tcBorders>
                    <w:top w:val="nil"/>
                    <w:bottom w:val="single" w:color="auto" w:sz="4" w:space="0"/>
                  </w:tcBorders>
                  <w:vAlign w:val="center"/>
                </w:tcPr>
                <w:p w14:paraId="4327D13C">
                  <w:pPr>
                    <w:jc w:val="center"/>
                    <w:rPr>
                      <w:color w:val="auto"/>
                    </w:rPr>
                  </w:pPr>
                </w:p>
              </w:tc>
              <w:tc>
                <w:tcPr>
                  <w:tcW w:w="2032" w:type="dxa"/>
                  <w:tcBorders>
                    <w:bottom w:val="single" w:color="auto" w:sz="4" w:space="0"/>
                  </w:tcBorders>
                  <w:vAlign w:val="center"/>
                </w:tcPr>
                <w:p w14:paraId="51020EF9">
                  <w:pPr>
                    <w:pStyle w:val="51"/>
                    <w:jc w:val="center"/>
                    <w:rPr>
                      <w:rFonts w:ascii="Times New Roman" w:hAnsi="Times New Roman" w:cs="Times New Roman"/>
                      <w:color w:val="auto"/>
                      <w:sz w:val="21"/>
                      <w:szCs w:val="21"/>
                      <w:lang w:eastAsia="zh-CN"/>
                    </w:rPr>
                  </w:pPr>
                  <w:r>
                    <w:rPr>
                      <w:rFonts w:ascii="Times New Roman" w:hAnsi="Times New Roman" w:cs="Times New Roman"/>
                      <w:color w:val="auto"/>
                      <w:spacing w:val="13"/>
                      <w:sz w:val="21"/>
                      <w:szCs w:val="21"/>
                      <w:lang w:eastAsia="zh-CN"/>
                    </w:rPr>
                    <w:t>荣获清洁生产领域先进称</w:t>
                  </w:r>
                  <w:r>
                    <w:rPr>
                      <w:rFonts w:ascii="Times New Roman" w:hAnsi="Times New Roman" w:cs="Times New Roman"/>
                      <w:color w:val="auto"/>
                      <w:spacing w:val="-3"/>
                      <w:sz w:val="21"/>
                      <w:szCs w:val="21"/>
                      <w:lang w:eastAsia="zh-CN"/>
                    </w:rPr>
                    <w:t>号情况</w:t>
                  </w:r>
                </w:p>
              </w:tc>
              <w:tc>
                <w:tcPr>
                  <w:tcW w:w="546" w:type="dxa"/>
                  <w:tcBorders>
                    <w:bottom w:val="single" w:color="auto" w:sz="4" w:space="0"/>
                  </w:tcBorders>
                  <w:vAlign w:val="center"/>
                </w:tcPr>
                <w:p w14:paraId="18EE983B">
                  <w:pPr>
                    <w:pStyle w:val="51"/>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4519" w:type="dxa"/>
                  <w:vAlign w:val="center"/>
                </w:tcPr>
                <w:p w14:paraId="3E19903C">
                  <w:pPr>
                    <w:pStyle w:val="51"/>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pacing w:val="1"/>
                      <w:sz w:val="21"/>
                      <w:szCs w:val="21"/>
                      <w:lang w:val="en-US" w:eastAsia="zh-CN"/>
                    </w:rPr>
                    <w:t>企业未</w:t>
                  </w:r>
                  <w:r>
                    <w:rPr>
                      <w:rFonts w:hint="eastAsia" w:ascii="Times New Roman" w:hAnsi="Times New Roman" w:cs="Times New Roman"/>
                      <w:color w:val="auto"/>
                      <w:spacing w:val="1"/>
                      <w:sz w:val="21"/>
                      <w:szCs w:val="21"/>
                      <w:lang w:eastAsia="zh-CN"/>
                    </w:rPr>
                    <w:t>获得清洁生产领域先进称</w:t>
                  </w:r>
                  <w:r>
                    <w:rPr>
                      <w:rFonts w:hint="eastAsia" w:ascii="Times New Roman" w:hAnsi="Times New Roman" w:cs="Times New Roman"/>
                      <w:color w:val="auto"/>
                      <w:spacing w:val="1"/>
                      <w:sz w:val="21"/>
                      <w:szCs w:val="21"/>
                      <w:lang w:val="en-US" w:eastAsia="zh-CN"/>
                    </w:rPr>
                    <w:t>号</w:t>
                  </w:r>
                </w:p>
              </w:tc>
              <w:tc>
                <w:tcPr>
                  <w:tcW w:w="947" w:type="dxa"/>
                  <w:vAlign w:val="center"/>
                </w:tcPr>
                <w:p w14:paraId="29C3E634">
                  <w:pPr>
                    <w:pStyle w:val="51"/>
                    <w:jc w:val="center"/>
                    <w:rPr>
                      <w:rFonts w:ascii="Times New Roman" w:hAnsi="Times New Roman" w:cs="Times New Roman"/>
                      <w:color w:val="auto"/>
                      <w:spacing w:val="1"/>
                      <w:sz w:val="21"/>
                      <w:szCs w:val="21"/>
                      <w:lang w:eastAsia="zh-CN"/>
                    </w:rPr>
                  </w:pPr>
                  <w:r>
                    <w:rPr>
                      <w:rFonts w:hint="eastAsia" w:ascii="Times New Roman" w:hAnsi="Times New Roman" w:cs="Times New Roman"/>
                      <w:color w:val="auto"/>
                      <w:spacing w:val="1"/>
                      <w:sz w:val="21"/>
                      <w:szCs w:val="21"/>
                      <w:lang w:val="en-US" w:eastAsia="zh-CN"/>
                    </w:rPr>
                    <w:t>0</w:t>
                  </w:r>
                </w:p>
              </w:tc>
            </w:tr>
            <w:tr w14:paraId="561EF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3888" w:type="dxa"/>
                  <w:gridSpan w:val="4"/>
                  <w:tcBorders>
                    <w:top w:val="single" w:color="auto" w:sz="4" w:space="0"/>
                    <w:left w:val="single" w:color="auto" w:sz="4" w:space="0"/>
                    <w:bottom w:val="single" w:color="auto" w:sz="4" w:space="0"/>
                    <w:right w:val="single" w:color="auto" w:sz="4" w:space="0"/>
                  </w:tcBorders>
                  <w:vAlign w:val="center"/>
                </w:tcPr>
                <w:p w14:paraId="15E85073">
                  <w:pPr>
                    <w:pStyle w:val="51"/>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总分</w:t>
                  </w:r>
                </w:p>
              </w:tc>
              <w:tc>
                <w:tcPr>
                  <w:tcW w:w="4519" w:type="dxa"/>
                  <w:tcBorders>
                    <w:left w:val="single" w:color="auto" w:sz="4" w:space="0"/>
                  </w:tcBorders>
                  <w:vAlign w:val="center"/>
                </w:tcPr>
                <w:p w14:paraId="5A8B0CB2">
                  <w:pPr>
                    <w:pStyle w:val="51"/>
                    <w:jc w:val="center"/>
                    <w:rPr>
                      <w:rFonts w:ascii="Times New Roman" w:hAnsi="Times New Roman" w:cs="Times New Roman"/>
                      <w:color w:val="auto"/>
                      <w:spacing w:val="1"/>
                      <w:sz w:val="21"/>
                      <w:szCs w:val="21"/>
                      <w:lang w:eastAsia="zh-CN"/>
                    </w:rPr>
                  </w:pPr>
                  <w:r>
                    <w:rPr>
                      <w:rFonts w:hint="eastAsia" w:ascii="Times New Roman" w:hAnsi="Times New Roman" w:cs="Times New Roman"/>
                      <w:color w:val="auto"/>
                      <w:spacing w:val="1"/>
                      <w:sz w:val="21"/>
                      <w:szCs w:val="21"/>
                      <w:lang w:eastAsia="zh-CN"/>
                    </w:rPr>
                    <w:t>/</w:t>
                  </w:r>
                </w:p>
              </w:tc>
              <w:tc>
                <w:tcPr>
                  <w:tcW w:w="947" w:type="dxa"/>
                  <w:vAlign w:val="center"/>
                </w:tcPr>
                <w:p w14:paraId="5C5AA7C8">
                  <w:pPr>
                    <w:pStyle w:val="51"/>
                    <w:jc w:val="center"/>
                    <w:rPr>
                      <w:rFonts w:hint="default" w:ascii="Times New Roman" w:hAnsi="Times New Roman" w:cs="Times New Roman"/>
                      <w:color w:val="auto"/>
                      <w:spacing w:val="1"/>
                      <w:sz w:val="21"/>
                      <w:szCs w:val="21"/>
                      <w:lang w:val="en-US" w:eastAsia="zh-CN"/>
                    </w:rPr>
                  </w:pPr>
                  <w:r>
                    <w:rPr>
                      <w:rFonts w:hint="eastAsia" w:ascii="Times New Roman" w:hAnsi="Times New Roman" w:cs="Times New Roman"/>
                      <w:color w:val="auto"/>
                      <w:spacing w:val="1"/>
                      <w:sz w:val="21"/>
                      <w:szCs w:val="21"/>
                      <w:lang w:val="en-US" w:eastAsia="zh-CN"/>
                    </w:rPr>
                    <w:t>95</w:t>
                  </w:r>
                </w:p>
              </w:tc>
            </w:tr>
          </w:tbl>
          <w:p w14:paraId="3E39DDFC">
            <w:pPr>
              <w:spacing w:line="360" w:lineRule="auto"/>
              <w:ind w:left="630"/>
              <w:rPr>
                <w:color w:val="auto"/>
                <w:spacing w:val="-1"/>
              </w:rPr>
            </w:pPr>
            <w:r>
              <w:rPr>
                <w:rFonts w:hint="eastAsia"/>
                <w:color w:val="auto"/>
                <w:spacing w:val="-1"/>
              </w:rPr>
              <w:t>注：不涉及的按照满分计。</w:t>
            </w:r>
          </w:p>
          <w:p w14:paraId="32A2817F">
            <w:pPr>
              <w:pStyle w:val="8"/>
              <w:ind w:firstLine="480" w:firstLineChars="200"/>
              <w:rPr>
                <w:rFonts w:hint="eastAsia"/>
                <w:color w:val="auto"/>
                <w:sz w:val="24"/>
                <w:lang w:val="en-US" w:eastAsia="zh-CN"/>
              </w:rPr>
            </w:pPr>
            <w:r>
              <w:rPr>
                <w:rFonts w:hint="eastAsia" w:eastAsia="Times New Roman"/>
                <w:color w:val="auto"/>
                <w:sz w:val="24"/>
                <w:szCs w:val="24"/>
              </w:rPr>
              <w:t>因此本项目清洁生产评分为P=9</w:t>
            </w:r>
            <w:r>
              <w:rPr>
                <w:rFonts w:hint="eastAsia" w:eastAsia="宋体"/>
                <w:color w:val="auto"/>
                <w:sz w:val="24"/>
                <w:szCs w:val="24"/>
                <w:lang w:val="en-US" w:eastAsia="zh-CN"/>
              </w:rPr>
              <w:t>1</w:t>
            </w:r>
            <w:r>
              <w:rPr>
                <w:rFonts w:hint="eastAsia" w:eastAsia="Times New Roman"/>
                <w:color w:val="auto"/>
                <w:sz w:val="24"/>
                <w:szCs w:val="24"/>
              </w:rPr>
              <w:t>*0.4+</w:t>
            </w:r>
            <w:r>
              <w:rPr>
                <w:rFonts w:hint="eastAsia" w:eastAsia="宋体"/>
                <w:color w:val="auto"/>
                <w:sz w:val="24"/>
                <w:szCs w:val="24"/>
                <w:lang w:val="en-US" w:eastAsia="zh-CN"/>
              </w:rPr>
              <w:t>95</w:t>
            </w:r>
            <w:r>
              <w:rPr>
                <w:rFonts w:hint="eastAsia" w:eastAsia="Times New Roman"/>
                <w:color w:val="auto"/>
                <w:sz w:val="24"/>
                <w:szCs w:val="24"/>
              </w:rPr>
              <w:t>*0.6=93</w:t>
            </w:r>
            <w:r>
              <w:rPr>
                <w:rFonts w:hint="eastAsia" w:eastAsia="宋体"/>
                <w:color w:val="auto"/>
                <w:sz w:val="24"/>
                <w:szCs w:val="24"/>
                <w:lang w:val="en-US" w:eastAsia="zh-CN"/>
              </w:rPr>
              <w:t>.4</w:t>
            </w:r>
            <w:r>
              <w:rPr>
                <w:rFonts w:hint="eastAsia" w:eastAsia="Times New Roman"/>
                <w:color w:val="auto"/>
                <w:sz w:val="24"/>
                <w:szCs w:val="24"/>
              </w:rPr>
              <w:t>，根据《机械行业清洁生产评价指标体系（试行）》P≥92为清洁生产先进企业，因此本项目为清洁生产先进企业。</w:t>
            </w:r>
          </w:p>
          <w:p w14:paraId="3FA28C9E">
            <w:pPr>
              <w:spacing w:line="360" w:lineRule="auto"/>
              <w:ind w:firstLine="480" w:firstLineChars="200"/>
              <w:rPr>
                <w:rFonts w:hint="eastAsia"/>
                <w:color w:val="auto"/>
                <w:sz w:val="24"/>
                <w:lang w:val="en-US" w:eastAsia="zh-CN"/>
              </w:rPr>
            </w:pPr>
          </w:p>
          <w:p w14:paraId="38C24591">
            <w:pPr>
              <w:spacing w:line="360" w:lineRule="auto"/>
              <w:ind w:firstLine="480" w:firstLineChars="200"/>
              <w:rPr>
                <w:color w:val="auto"/>
                <w:sz w:val="24"/>
              </w:rPr>
            </w:pPr>
            <w:r>
              <w:rPr>
                <w:rFonts w:hint="eastAsia"/>
                <w:color w:val="auto"/>
                <w:sz w:val="24"/>
                <w:lang w:val="en-US" w:eastAsia="zh-CN"/>
              </w:rPr>
              <w:t>9</w:t>
            </w:r>
            <w:r>
              <w:rPr>
                <w:rFonts w:hint="eastAsia"/>
                <w:color w:val="auto"/>
                <w:sz w:val="24"/>
              </w:rPr>
              <w:t>、三同时</w:t>
            </w:r>
          </w:p>
          <w:p w14:paraId="4EB55123">
            <w:pPr>
              <w:spacing w:line="360" w:lineRule="auto"/>
              <w:jc w:val="center"/>
              <w:rPr>
                <w:b/>
                <w:bCs/>
                <w:color w:val="auto"/>
                <w:sz w:val="24"/>
                <w:szCs w:val="24"/>
              </w:rPr>
            </w:pPr>
            <w:r>
              <w:rPr>
                <w:b/>
                <w:bCs/>
                <w:color w:val="auto"/>
                <w:sz w:val="24"/>
                <w:szCs w:val="24"/>
              </w:rPr>
              <w:t>表4-</w:t>
            </w:r>
            <w:r>
              <w:rPr>
                <w:rFonts w:hint="eastAsia"/>
                <w:b/>
                <w:bCs/>
                <w:color w:val="auto"/>
                <w:sz w:val="24"/>
                <w:szCs w:val="24"/>
              </w:rPr>
              <w:t xml:space="preserve">46  </w:t>
            </w:r>
            <w:r>
              <w:rPr>
                <w:b/>
                <w:bCs/>
                <w:color w:val="auto"/>
                <w:sz w:val="24"/>
                <w:szCs w:val="24"/>
              </w:rPr>
              <w:t>污染治理投资和“三同时”验收一览表</w:t>
            </w:r>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4"/>
              <w:gridCol w:w="680"/>
              <w:gridCol w:w="493"/>
              <w:gridCol w:w="1118"/>
              <w:gridCol w:w="1382"/>
              <w:gridCol w:w="3408"/>
              <w:gridCol w:w="536"/>
              <w:gridCol w:w="800"/>
            </w:tblGrid>
            <w:tr w14:paraId="4227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tcBorders>
                    <w:tl2br w:val="nil"/>
                    <w:tr2bl w:val="nil"/>
                  </w:tcBorders>
                  <w:shd w:val="clear" w:color="auto" w:fill="auto"/>
                  <w:tcMar>
                    <w:left w:w="57" w:type="dxa"/>
                    <w:right w:w="57" w:type="dxa"/>
                  </w:tcMar>
                  <w:vAlign w:val="center"/>
                </w:tcPr>
                <w:p w14:paraId="63F5B584">
                  <w:pPr>
                    <w:keepNext/>
                    <w:keepLines/>
                    <w:widowControl/>
                    <w:overflowPunct w:val="0"/>
                    <w:jc w:val="center"/>
                    <w:rPr>
                      <w:b/>
                      <w:bCs/>
                      <w:color w:val="auto"/>
                    </w:rPr>
                  </w:pPr>
                  <w:r>
                    <w:rPr>
                      <w:b/>
                      <w:bCs/>
                      <w:color w:val="auto"/>
                      <w:lang w:bidi="ar"/>
                    </w:rPr>
                    <w:t>类别</w:t>
                  </w:r>
                </w:p>
              </w:tc>
              <w:tc>
                <w:tcPr>
                  <w:tcW w:w="1173" w:type="dxa"/>
                  <w:gridSpan w:val="2"/>
                  <w:tcBorders>
                    <w:tl2br w:val="nil"/>
                    <w:tr2bl w:val="nil"/>
                  </w:tcBorders>
                  <w:shd w:val="clear" w:color="auto" w:fill="auto"/>
                  <w:tcMar>
                    <w:left w:w="57" w:type="dxa"/>
                    <w:right w:w="57" w:type="dxa"/>
                  </w:tcMar>
                  <w:vAlign w:val="center"/>
                </w:tcPr>
                <w:p w14:paraId="27F643AA">
                  <w:pPr>
                    <w:keepNext/>
                    <w:keepLines/>
                    <w:widowControl/>
                    <w:overflowPunct w:val="0"/>
                    <w:jc w:val="center"/>
                    <w:rPr>
                      <w:b/>
                      <w:bCs/>
                      <w:color w:val="auto"/>
                    </w:rPr>
                  </w:pPr>
                  <w:r>
                    <w:rPr>
                      <w:b/>
                      <w:bCs/>
                      <w:color w:val="auto"/>
                      <w:lang w:bidi="ar"/>
                    </w:rPr>
                    <w:t>排放口(编号、名称)/污染源</w:t>
                  </w:r>
                </w:p>
              </w:tc>
              <w:tc>
                <w:tcPr>
                  <w:tcW w:w="1118" w:type="dxa"/>
                  <w:tcBorders>
                    <w:tl2br w:val="nil"/>
                    <w:tr2bl w:val="nil"/>
                  </w:tcBorders>
                  <w:shd w:val="clear" w:color="auto" w:fill="auto"/>
                  <w:tcMar>
                    <w:left w:w="57" w:type="dxa"/>
                    <w:right w:w="57" w:type="dxa"/>
                  </w:tcMar>
                  <w:vAlign w:val="center"/>
                </w:tcPr>
                <w:p w14:paraId="0C22D45E">
                  <w:pPr>
                    <w:keepNext/>
                    <w:keepLines/>
                    <w:widowControl/>
                    <w:overflowPunct w:val="0"/>
                    <w:jc w:val="center"/>
                    <w:rPr>
                      <w:b/>
                      <w:bCs/>
                      <w:color w:val="auto"/>
                    </w:rPr>
                  </w:pPr>
                  <w:r>
                    <w:rPr>
                      <w:b/>
                      <w:bCs/>
                      <w:color w:val="auto"/>
                      <w:lang w:bidi="ar"/>
                    </w:rPr>
                    <w:t>污染物项目</w:t>
                  </w:r>
                </w:p>
              </w:tc>
              <w:tc>
                <w:tcPr>
                  <w:tcW w:w="1382" w:type="dxa"/>
                  <w:tcBorders>
                    <w:tl2br w:val="nil"/>
                    <w:tr2bl w:val="nil"/>
                  </w:tcBorders>
                  <w:shd w:val="clear" w:color="auto" w:fill="auto"/>
                  <w:tcMar>
                    <w:left w:w="57" w:type="dxa"/>
                    <w:right w:w="57" w:type="dxa"/>
                  </w:tcMar>
                  <w:vAlign w:val="center"/>
                </w:tcPr>
                <w:p w14:paraId="437AD8D4">
                  <w:pPr>
                    <w:keepNext/>
                    <w:keepLines/>
                    <w:widowControl/>
                    <w:overflowPunct w:val="0"/>
                    <w:jc w:val="center"/>
                    <w:rPr>
                      <w:b/>
                      <w:bCs/>
                      <w:color w:val="auto"/>
                    </w:rPr>
                  </w:pPr>
                  <w:r>
                    <w:rPr>
                      <w:b/>
                      <w:bCs/>
                      <w:color w:val="auto"/>
                      <w:lang w:bidi="ar"/>
                    </w:rPr>
                    <w:t>环境保护措施</w:t>
                  </w:r>
                </w:p>
              </w:tc>
              <w:tc>
                <w:tcPr>
                  <w:tcW w:w="3408" w:type="dxa"/>
                  <w:tcBorders>
                    <w:tl2br w:val="nil"/>
                    <w:tr2bl w:val="nil"/>
                  </w:tcBorders>
                  <w:shd w:val="clear" w:color="auto" w:fill="auto"/>
                  <w:tcMar>
                    <w:left w:w="57" w:type="dxa"/>
                    <w:right w:w="57" w:type="dxa"/>
                  </w:tcMar>
                  <w:vAlign w:val="center"/>
                </w:tcPr>
                <w:p w14:paraId="17313D8E">
                  <w:pPr>
                    <w:keepNext/>
                    <w:keepLines/>
                    <w:widowControl/>
                    <w:overflowPunct w:val="0"/>
                    <w:jc w:val="center"/>
                    <w:rPr>
                      <w:b/>
                      <w:bCs/>
                      <w:color w:val="auto"/>
                    </w:rPr>
                  </w:pPr>
                  <w:r>
                    <w:rPr>
                      <w:b/>
                      <w:bCs/>
                      <w:color w:val="auto"/>
                      <w:lang w:bidi="ar"/>
                    </w:rPr>
                    <w:t>执行标准</w:t>
                  </w:r>
                </w:p>
              </w:tc>
              <w:tc>
                <w:tcPr>
                  <w:tcW w:w="536" w:type="dxa"/>
                  <w:tcBorders>
                    <w:tl2br w:val="nil"/>
                    <w:tr2bl w:val="nil"/>
                  </w:tcBorders>
                  <w:shd w:val="clear" w:color="auto" w:fill="auto"/>
                  <w:tcMar>
                    <w:left w:w="57" w:type="dxa"/>
                    <w:right w:w="57" w:type="dxa"/>
                  </w:tcMar>
                  <w:vAlign w:val="center"/>
                </w:tcPr>
                <w:p w14:paraId="08778312">
                  <w:pPr>
                    <w:keepNext/>
                    <w:keepLines/>
                    <w:widowControl/>
                    <w:overflowPunct w:val="0"/>
                    <w:jc w:val="center"/>
                    <w:rPr>
                      <w:b/>
                      <w:bCs/>
                      <w:color w:val="auto"/>
                      <w:lang w:bidi="ar"/>
                    </w:rPr>
                  </w:pPr>
                  <w:r>
                    <w:rPr>
                      <w:b/>
                      <w:bCs/>
                      <w:color w:val="auto"/>
                      <w:lang w:bidi="ar"/>
                    </w:rPr>
                    <w:t>投资额/万元</w:t>
                  </w:r>
                </w:p>
              </w:tc>
              <w:tc>
                <w:tcPr>
                  <w:tcW w:w="800" w:type="dxa"/>
                  <w:tcBorders>
                    <w:tl2br w:val="nil"/>
                    <w:tr2bl w:val="nil"/>
                  </w:tcBorders>
                  <w:shd w:val="clear" w:color="auto" w:fill="auto"/>
                  <w:tcMar>
                    <w:left w:w="57" w:type="dxa"/>
                    <w:right w:w="57" w:type="dxa"/>
                  </w:tcMar>
                  <w:vAlign w:val="center"/>
                </w:tcPr>
                <w:p w14:paraId="74CC3106">
                  <w:pPr>
                    <w:keepNext/>
                    <w:keepLines/>
                    <w:widowControl/>
                    <w:overflowPunct w:val="0"/>
                    <w:jc w:val="center"/>
                    <w:rPr>
                      <w:b/>
                      <w:bCs/>
                      <w:color w:val="auto"/>
                      <w:lang w:bidi="ar"/>
                    </w:rPr>
                  </w:pPr>
                  <w:r>
                    <w:rPr>
                      <w:b/>
                      <w:bCs/>
                      <w:color w:val="auto"/>
                      <w:lang w:bidi="ar"/>
                    </w:rPr>
                    <w:t>完成时间</w:t>
                  </w:r>
                </w:p>
              </w:tc>
            </w:tr>
            <w:tr w14:paraId="3B6F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vMerge w:val="restart"/>
                  <w:tcBorders>
                    <w:tl2br w:val="nil"/>
                    <w:tr2bl w:val="nil"/>
                  </w:tcBorders>
                  <w:shd w:val="clear" w:color="auto" w:fill="auto"/>
                  <w:tcMar>
                    <w:left w:w="57" w:type="dxa"/>
                    <w:right w:w="57" w:type="dxa"/>
                  </w:tcMar>
                  <w:vAlign w:val="center"/>
                </w:tcPr>
                <w:p w14:paraId="6CF57B56">
                  <w:pPr>
                    <w:keepNext/>
                    <w:keepLines/>
                    <w:widowControl/>
                    <w:overflowPunct w:val="0"/>
                    <w:jc w:val="center"/>
                    <w:rPr>
                      <w:color w:val="auto"/>
                    </w:rPr>
                  </w:pPr>
                  <w:r>
                    <w:rPr>
                      <w:color w:val="auto"/>
                    </w:rPr>
                    <w:t>废气</w:t>
                  </w:r>
                </w:p>
              </w:tc>
              <w:tc>
                <w:tcPr>
                  <w:tcW w:w="1173" w:type="dxa"/>
                  <w:gridSpan w:val="2"/>
                  <w:tcBorders>
                    <w:tl2br w:val="nil"/>
                    <w:tr2bl w:val="nil"/>
                  </w:tcBorders>
                  <w:shd w:val="clear" w:color="auto" w:fill="auto"/>
                  <w:tcMar>
                    <w:left w:w="57" w:type="dxa"/>
                    <w:right w:w="57" w:type="dxa"/>
                  </w:tcMar>
                  <w:vAlign w:val="center"/>
                </w:tcPr>
                <w:p w14:paraId="404F0B44">
                  <w:pPr>
                    <w:keepNext/>
                    <w:keepLines/>
                    <w:widowControl/>
                    <w:overflowPunct w:val="0"/>
                    <w:jc w:val="center"/>
                    <w:rPr>
                      <w:color w:val="auto"/>
                    </w:rPr>
                  </w:pPr>
                  <w:r>
                    <w:rPr>
                      <w:rFonts w:hint="eastAsia"/>
                      <w:color w:val="auto"/>
                      <w:lang w:bidi="ar"/>
                    </w:rPr>
                    <w:t>FQ-1</w:t>
                  </w:r>
                  <w:r>
                    <w:rPr>
                      <w:color w:val="auto"/>
                      <w:lang w:bidi="ar"/>
                    </w:rPr>
                    <w:t>排气筒</w:t>
                  </w:r>
                </w:p>
              </w:tc>
              <w:tc>
                <w:tcPr>
                  <w:tcW w:w="1118" w:type="dxa"/>
                  <w:tcBorders>
                    <w:tl2br w:val="nil"/>
                    <w:tr2bl w:val="nil"/>
                  </w:tcBorders>
                  <w:shd w:val="clear" w:color="auto" w:fill="auto"/>
                  <w:tcMar>
                    <w:left w:w="57" w:type="dxa"/>
                    <w:right w:w="57" w:type="dxa"/>
                  </w:tcMar>
                  <w:vAlign w:val="center"/>
                </w:tcPr>
                <w:p w14:paraId="218E04E9">
                  <w:pPr>
                    <w:keepNext/>
                    <w:keepLines/>
                    <w:widowControl/>
                    <w:overflowPunct w:val="0"/>
                    <w:jc w:val="center"/>
                    <w:rPr>
                      <w:color w:val="auto"/>
                    </w:rPr>
                  </w:pPr>
                  <w:r>
                    <w:rPr>
                      <w:color w:val="auto"/>
                      <w:lang w:bidi="ar"/>
                    </w:rPr>
                    <w:t>非甲烷总烃</w:t>
                  </w:r>
                </w:p>
              </w:tc>
              <w:tc>
                <w:tcPr>
                  <w:tcW w:w="1382" w:type="dxa"/>
                  <w:tcBorders>
                    <w:tl2br w:val="nil"/>
                    <w:tr2bl w:val="nil"/>
                  </w:tcBorders>
                  <w:shd w:val="clear" w:color="auto" w:fill="auto"/>
                  <w:tcMar>
                    <w:left w:w="57" w:type="dxa"/>
                    <w:right w:w="57" w:type="dxa"/>
                  </w:tcMar>
                  <w:vAlign w:val="center"/>
                </w:tcPr>
                <w:p w14:paraId="448943F3">
                  <w:pPr>
                    <w:keepNext/>
                    <w:keepLines/>
                    <w:widowControl/>
                    <w:overflowPunct w:val="0"/>
                    <w:jc w:val="center"/>
                    <w:rPr>
                      <w:color w:val="auto"/>
                    </w:rPr>
                  </w:pPr>
                  <w:r>
                    <w:rPr>
                      <w:rFonts w:hint="eastAsia"/>
                      <w:color w:val="auto"/>
                    </w:rPr>
                    <w:t>集气罩+软帘+2套二级活性炭吸附装置+15m高排气筒FQ-1</w:t>
                  </w:r>
                </w:p>
              </w:tc>
              <w:tc>
                <w:tcPr>
                  <w:tcW w:w="3408" w:type="dxa"/>
                  <w:vMerge w:val="restart"/>
                  <w:tcBorders>
                    <w:tl2br w:val="nil"/>
                    <w:tr2bl w:val="nil"/>
                  </w:tcBorders>
                  <w:shd w:val="clear" w:color="auto" w:fill="auto"/>
                  <w:tcMar>
                    <w:left w:w="57" w:type="dxa"/>
                    <w:right w:w="57" w:type="dxa"/>
                  </w:tcMar>
                  <w:vAlign w:val="center"/>
                </w:tcPr>
                <w:p w14:paraId="000BB0A3">
                  <w:pPr>
                    <w:keepNext/>
                    <w:keepLines/>
                    <w:widowControl/>
                    <w:overflowPunct w:val="0"/>
                    <w:ind w:firstLine="420"/>
                    <w:jc w:val="center"/>
                    <w:rPr>
                      <w:color w:val="auto"/>
                    </w:rPr>
                  </w:pPr>
                  <w:r>
                    <w:rPr>
                      <w:color w:val="auto"/>
                      <w:lang w:bidi="ar"/>
                    </w:rPr>
                    <w:t>《大气污染物综合排放标准》（DB32/4041-2021）中表1限值</w:t>
                  </w:r>
                </w:p>
              </w:tc>
              <w:tc>
                <w:tcPr>
                  <w:tcW w:w="536" w:type="dxa"/>
                  <w:tcBorders>
                    <w:tl2br w:val="nil"/>
                    <w:tr2bl w:val="nil"/>
                  </w:tcBorders>
                  <w:shd w:val="clear" w:color="auto" w:fill="auto"/>
                  <w:tcMar>
                    <w:left w:w="57" w:type="dxa"/>
                    <w:right w:w="57" w:type="dxa"/>
                  </w:tcMar>
                  <w:vAlign w:val="center"/>
                </w:tcPr>
                <w:p w14:paraId="56FB40F6">
                  <w:pPr>
                    <w:keepNext/>
                    <w:keepLines/>
                    <w:widowControl/>
                    <w:overflowPunct w:val="0"/>
                    <w:jc w:val="center"/>
                    <w:rPr>
                      <w:color w:val="auto"/>
                      <w:lang w:bidi="ar"/>
                    </w:rPr>
                  </w:pPr>
                  <w:r>
                    <w:rPr>
                      <w:rFonts w:hint="eastAsia"/>
                      <w:color w:val="auto"/>
                      <w:lang w:bidi="ar"/>
                    </w:rPr>
                    <w:t>40</w:t>
                  </w:r>
                </w:p>
              </w:tc>
              <w:tc>
                <w:tcPr>
                  <w:tcW w:w="800" w:type="dxa"/>
                  <w:vMerge w:val="restart"/>
                  <w:tcBorders>
                    <w:tl2br w:val="nil"/>
                    <w:tr2bl w:val="nil"/>
                  </w:tcBorders>
                  <w:shd w:val="clear" w:color="auto" w:fill="auto"/>
                  <w:tcMar>
                    <w:left w:w="57" w:type="dxa"/>
                    <w:right w:w="57" w:type="dxa"/>
                  </w:tcMar>
                  <w:vAlign w:val="center"/>
                </w:tcPr>
                <w:p w14:paraId="10A194B8">
                  <w:pPr>
                    <w:keepNext/>
                    <w:keepLines/>
                    <w:widowControl/>
                    <w:overflowPunct w:val="0"/>
                    <w:jc w:val="center"/>
                    <w:rPr>
                      <w:color w:val="auto"/>
                      <w:lang w:bidi="ar"/>
                    </w:rPr>
                  </w:pPr>
                  <w:r>
                    <w:rPr>
                      <w:color w:val="auto"/>
                      <w:lang w:bidi="ar"/>
                    </w:rPr>
                    <w:t>与本项目同时施工、同时建成、同时投入使用</w:t>
                  </w:r>
                </w:p>
              </w:tc>
            </w:tr>
            <w:tr w14:paraId="65E7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vMerge w:val="continue"/>
                  <w:tcBorders>
                    <w:tl2br w:val="nil"/>
                    <w:tr2bl w:val="nil"/>
                  </w:tcBorders>
                  <w:shd w:val="clear" w:color="auto" w:fill="auto"/>
                  <w:tcMar>
                    <w:left w:w="57" w:type="dxa"/>
                    <w:right w:w="57" w:type="dxa"/>
                  </w:tcMar>
                  <w:vAlign w:val="center"/>
                </w:tcPr>
                <w:p w14:paraId="61A6B286">
                  <w:pPr>
                    <w:keepNext/>
                    <w:keepLines/>
                    <w:widowControl/>
                    <w:overflowPunct w:val="0"/>
                    <w:jc w:val="center"/>
                    <w:rPr>
                      <w:color w:val="auto"/>
                    </w:rPr>
                  </w:pPr>
                </w:p>
              </w:tc>
              <w:tc>
                <w:tcPr>
                  <w:tcW w:w="1173" w:type="dxa"/>
                  <w:gridSpan w:val="2"/>
                  <w:tcBorders>
                    <w:tl2br w:val="nil"/>
                    <w:tr2bl w:val="nil"/>
                  </w:tcBorders>
                  <w:shd w:val="clear" w:color="auto" w:fill="auto"/>
                  <w:tcMar>
                    <w:left w:w="57" w:type="dxa"/>
                    <w:right w:w="57" w:type="dxa"/>
                  </w:tcMar>
                  <w:vAlign w:val="center"/>
                </w:tcPr>
                <w:p w14:paraId="10EA7905">
                  <w:pPr>
                    <w:keepNext/>
                    <w:keepLines/>
                    <w:widowControl/>
                    <w:overflowPunct w:val="0"/>
                    <w:jc w:val="center"/>
                    <w:rPr>
                      <w:color w:val="auto"/>
                      <w:lang w:bidi="ar"/>
                    </w:rPr>
                  </w:pPr>
                  <w:r>
                    <w:rPr>
                      <w:rFonts w:hint="eastAsia"/>
                      <w:color w:val="auto"/>
                      <w:lang w:bidi="ar"/>
                    </w:rPr>
                    <w:t>FQ-3</w:t>
                  </w:r>
                  <w:r>
                    <w:rPr>
                      <w:color w:val="auto"/>
                      <w:lang w:bidi="ar"/>
                    </w:rPr>
                    <w:t>排气筒</w:t>
                  </w:r>
                </w:p>
              </w:tc>
              <w:tc>
                <w:tcPr>
                  <w:tcW w:w="1118" w:type="dxa"/>
                  <w:tcBorders>
                    <w:tl2br w:val="nil"/>
                    <w:tr2bl w:val="nil"/>
                  </w:tcBorders>
                  <w:shd w:val="clear" w:color="auto" w:fill="auto"/>
                  <w:tcMar>
                    <w:left w:w="57" w:type="dxa"/>
                    <w:right w:w="57" w:type="dxa"/>
                  </w:tcMar>
                  <w:vAlign w:val="center"/>
                </w:tcPr>
                <w:p w14:paraId="2266034E">
                  <w:pPr>
                    <w:keepNext/>
                    <w:keepLines/>
                    <w:widowControl/>
                    <w:overflowPunct w:val="0"/>
                    <w:jc w:val="center"/>
                    <w:rPr>
                      <w:color w:val="auto"/>
                      <w:lang w:bidi="ar"/>
                    </w:rPr>
                  </w:pPr>
                  <w:r>
                    <w:rPr>
                      <w:rFonts w:hint="eastAsia"/>
                      <w:color w:val="auto"/>
                      <w:lang w:bidi="ar"/>
                    </w:rPr>
                    <w:t>颗粒物</w:t>
                  </w:r>
                </w:p>
              </w:tc>
              <w:tc>
                <w:tcPr>
                  <w:tcW w:w="1382" w:type="dxa"/>
                  <w:tcBorders>
                    <w:tl2br w:val="nil"/>
                    <w:tr2bl w:val="nil"/>
                  </w:tcBorders>
                  <w:shd w:val="clear" w:color="auto" w:fill="auto"/>
                  <w:tcMar>
                    <w:left w:w="57" w:type="dxa"/>
                    <w:right w:w="57" w:type="dxa"/>
                  </w:tcMar>
                  <w:vAlign w:val="center"/>
                </w:tcPr>
                <w:p w14:paraId="4CE19A64">
                  <w:pPr>
                    <w:keepNext/>
                    <w:keepLines/>
                    <w:widowControl/>
                    <w:overflowPunct w:val="0"/>
                    <w:jc w:val="center"/>
                    <w:rPr>
                      <w:color w:val="auto"/>
                    </w:rPr>
                  </w:pPr>
                  <w:r>
                    <w:rPr>
                      <w:rFonts w:hint="eastAsia"/>
                      <w:color w:val="auto"/>
                    </w:rPr>
                    <w:t>集气罩+焊烟净化装置+15m高排气筒FQ-3</w:t>
                  </w:r>
                </w:p>
              </w:tc>
              <w:tc>
                <w:tcPr>
                  <w:tcW w:w="3408" w:type="dxa"/>
                  <w:vMerge w:val="continue"/>
                  <w:tcBorders>
                    <w:tl2br w:val="nil"/>
                    <w:tr2bl w:val="nil"/>
                  </w:tcBorders>
                  <w:shd w:val="clear" w:color="auto" w:fill="auto"/>
                  <w:tcMar>
                    <w:left w:w="57" w:type="dxa"/>
                    <w:right w:w="57" w:type="dxa"/>
                  </w:tcMar>
                  <w:vAlign w:val="center"/>
                </w:tcPr>
                <w:p w14:paraId="66574737">
                  <w:pPr>
                    <w:keepNext/>
                    <w:keepLines/>
                    <w:widowControl/>
                    <w:overflowPunct w:val="0"/>
                    <w:ind w:firstLine="420"/>
                    <w:jc w:val="center"/>
                    <w:rPr>
                      <w:color w:val="auto"/>
                      <w:lang w:bidi="ar"/>
                    </w:rPr>
                  </w:pPr>
                </w:p>
              </w:tc>
              <w:tc>
                <w:tcPr>
                  <w:tcW w:w="536" w:type="dxa"/>
                  <w:tcBorders>
                    <w:tl2br w:val="nil"/>
                    <w:tr2bl w:val="nil"/>
                  </w:tcBorders>
                  <w:shd w:val="clear" w:color="auto" w:fill="auto"/>
                  <w:tcMar>
                    <w:left w:w="57" w:type="dxa"/>
                    <w:right w:w="57" w:type="dxa"/>
                  </w:tcMar>
                  <w:vAlign w:val="center"/>
                </w:tcPr>
                <w:p w14:paraId="2E601FEE">
                  <w:pPr>
                    <w:keepNext/>
                    <w:keepLines/>
                    <w:widowControl/>
                    <w:overflowPunct w:val="0"/>
                    <w:jc w:val="center"/>
                    <w:rPr>
                      <w:color w:val="auto"/>
                      <w:lang w:bidi="ar"/>
                    </w:rPr>
                  </w:pPr>
                  <w:r>
                    <w:rPr>
                      <w:rFonts w:hint="eastAsia"/>
                      <w:color w:val="auto"/>
                      <w:lang w:bidi="ar"/>
                    </w:rPr>
                    <w:t>2</w:t>
                  </w:r>
                </w:p>
              </w:tc>
              <w:tc>
                <w:tcPr>
                  <w:tcW w:w="800" w:type="dxa"/>
                  <w:vMerge w:val="continue"/>
                  <w:tcBorders>
                    <w:tl2br w:val="nil"/>
                    <w:tr2bl w:val="nil"/>
                  </w:tcBorders>
                  <w:shd w:val="clear" w:color="auto" w:fill="auto"/>
                  <w:tcMar>
                    <w:left w:w="57" w:type="dxa"/>
                    <w:right w:w="57" w:type="dxa"/>
                  </w:tcMar>
                  <w:vAlign w:val="center"/>
                </w:tcPr>
                <w:p w14:paraId="4304D0D3">
                  <w:pPr>
                    <w:keepNext/>
                    <w:keepLines/>
                    <w:widowControl/>
                    <w:overflowPunct w:val="0"/>
                    <w:jc w:val="center"/>
                    <w:rPr>
                      <w:color w:val="auto"/>
                      <w:lang w:bidi="ar"/>
                    </w:rPr>
                  </w:pPr>
                </w:p>
              </w:tc>
            </w:tr>
            <w:tr w14:paraId="262D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vMerge w:val="continue"/>
                  <w:tcBorders>
                    <w:tl2br w:val="nil"/>
                    <w:tr2bl w:val="nil"/>
                  </w:tcBorders>
                  <w:shd w:val="clear" w:color="auto" w:fill="auto"/>
                  <w:tcMar>
                    <w:left w:w="57" w:type="dxa"/>
                    <w:right w:w="57" w:type="dxa"/>
                  </w:tcMar>
                  <w:vAlign w:val="center"/>
                </w:tcPr>
                <w:p w14:paraId="415F254C">
                  <w:pPr>
                    <w:keepNext/>
                    <w:keepLines/>
                    <w:widowControl/>
                    <w:overflowPunct w:val="0"/>
                    <w:ind w:firstLine="420"/>
                    <w:jc w:val="center"/>
                    <w:rPr>
                      <w:color w:val="auto"/>
                    </w:rPr>
                  </w:pPr>
                </w:p>
              </w:tc>
              <w:tc>
                <w:tcPr>
                  <w:tcW w:w="1173" w:type="dxa"/>
                  <w:gridSpan w:val="2"/>
                  <w:tcBorders>
                    <w:tl2br w:val="nil"/>
                    <w:tr2bl w:val="nil"/>
                  </w:tcBorders>
                  <w:shd w:val="clear" w:color="auto" w:fill="auto"/>
                  <w:tcMar>
                    <w:left w:w="57" w:type="dxa"/>
                    <w:right w:w="57" w:type="dxa"/>
                  </w:tcMar>
                  <w:vAlign w:val="center"/>
                </w:tcPr>
                <w:p w14:paraId="2D42A2FD">
                  <w:pPr>
                    <w:keepNext/>
                    <w:keepLines/>
                    <w:widowControl/>
                    <w:overflowPunct w:val="0"/>
                    <w:jc w:val="center"/>
                    <w:rPr>
                      <w:color w:val="auto"/>
                    </w:rPr>
                  </w:pPr>
                  <w:r>
                    <w:rPr>
                      <w:rFonts w:hint="eastAsia"/>
                      <w:color w:val="auto"/>
                      <w:lang w:bidi="ar"/>
                    </w:rPr>
                    <w:t>FQ-2</w:t>
                  </w:r>
                  <w:r>
                    <w:rPr>
                      <w:color w:val="auto"/>
                      <w:lang w:bidi="ar"/>
                    </w:rPr>
                    <w:t>排气筒</w:t>
                  </w:r>
                </w:p>
              </w:tc>
              <w:tc>
                <w:tcPr>
                  <w:tcW w:w="1118" w:type="dxa"/>
                  <w:tcBorders>
                    <w:tl2br w:val="nil"/>
                    <w:tr2bl w:val="nil"/>
                  </w:tcBorders>
                  <w:shd w:val="clear" w:color="auto" w:fill="auto"/>
                  <w:tcMar>
                    <w:left w:w="57" w:type="dxa"/>
                    <w:right w:w="57" w:type="dxa"/>
                  </w:tcMar>
                  <w:vAlign w:val="center"/>
                </w:tcPr>
                <w:p w14:paraId="4C123A85">
                  <w:pPr>
                    <w:keepNext/>
                    <w:keepLines/>
                    <w:widowControl/>
                    <w:overflowPunct w:val="0"/>
                    <w:jc w:val="center"/>
                    <w:rPr>
                      <w:color w:val="auto"/>
                    </w:rPr>
                  </w:pPr>
                  <w:r>
                    <w:rPr>
                      <w:color w:val="auto"/>
                      <w:lang w:bidi="ar"/>
                    </w:rPr>
                    <w:t>食堂油烟</w:t>
                  </w:r>
                </w:p>
              </w:tc>
              <w:tc>
                <w:tcPr>
                  <w:tcW w:w="1382" w:type="dxa"/>
                  <w:tcBorders>
                    <w:tl2br w:val="nil"/>
                    <w:tr2bl w:val="nil"/>
                  </w:tcBorders>
                  <w:shd w:val="clear" w:color="auto" w:fill="auto"/>
                  <w:tcMar>
                    <w:left w:w="57" w:type="dxa"/>
                    <w:right w:w="57" w:type="dxa"/>
                  </w:tcMar>
                  <w:vAlign w:val="center"/>
                </w:tcPr>
                <w:p w14:paraId="19C9747B">
                  <w:pPr>
                    <w:keepNext/>
                    <w:keepLines/>
                    <w:widowControl/>
                    <w:overflowPunct w:val="0"/>
                    <w:jc w:val="center"/>
                    <w:rPr>
                      <w:color w:val="auto"/>
                    </w:rPr>
                  </w:pPr>
                  <w:r>
                    <w:rPr>
                      <w:color w:val="auto"/>
                      <w:lang w:bidi="ar"/>
                    </w:rPr>
                    <w:t>油烟净化器+</w:t>
                  </w:r>
                  <w:r>
                    <w:rPr>
                      <w:rFonts w:hint="eastAsia"/>
                      <w:color w:val="auto"/>
                      <w:lang w:bidi="ar"/>
                    </w:rPr>
                    <w:t>15m高排气筒FQ-2</w:t>
                  </w:r>
                </w:p>
              </w:tc>
              <w:tc>
                <w:tcPr>
                  <w:tcW w:w="3408" w:type="dxa"/>
                  <w:tcBorders>
                    <w:tl2br w:val="nil"/>
                    <w:tr2bl w:val="nil"/>
                  </w:tcBorders>
                  <w:shd w:val="clear" w:color="auto" w:fill="auto"/>
                  <w:tcMar>
                    <w:left w:w="57" w:type="dxa"/>
                    <w:right w:w="57" w:type="dxa"/>
                  </w:tcMar>
                  <w:vAlign w:val="center"/>
                </w:tcPr>
                <w:p w14:paraId="0933DE52">
                  <w:pPr>
                    <w:keepNext/>
                    <w:keepLines/>
                    <w:widowControl/>
                    <w:overflowPunct w:val="0"/>
                    <w:jc w:val="center"/>
                    <w:rPr>
                      <w:rFonts w:hint="eastAsia" w:eastAsia="宋体"/>
                      <w:color w:val="auto"/>
                      <w:lang w:eastAsia="zh-CN"/>
                    </w:rPr>
                  </w:pPr>
                  <w:r>
                    <w:rPr>
                      <w:rFonts w:hint="eastAsia"/>
                      <w:color w:val="auto"/>
                      <w:lang w:val="en-US" w:eastAsia="zh-CN" w:bidi="ar"/>
                    </w:rPr>
                    <w:t>/</w:t>
                  </w:r>
                </w:p>
              </w:tc>
              <w:tc>
                <w:tcPr>
                  <w:tcW w:w="536" w:type="dxa"/>
                  <w:tcBorders>
                    <w:tl2br w:val="nil"/>
                    <w:tr2bl w:val="nil"/>
                  </w:tcBorders>
                  <w:shd w:val="clear" w:color="auto" w:fill="auto"/>
                  <w:tcMar>
                    <w:left w:w="57" w:type="dxa"/>
                    <w:right w:w="57" w:type="dxa"/>
                  </w:tcMar>
                  <w:vAlign w:val="center"/>
                </w:tcPr>
                <w:p w14:paraId="77761B86">
                  <w:pPr>
                    <w:keepNext/>
                    <w:keepLines/>
                    <w:widowControl/>
                    <w:overflowPunct w:val="0"/>
                    <w:jc w:val="center"/>
                    <w:rPr>
                      <w:color w:val="auto"/>
                      <w:lang w:bidi="ar"/>
                    </w:rPr>
                  </w:pPr>
                  <w:r>
                    <w:rPr>
                      <w:rFonts w:hint="eastAsia"/>
                      <w:color w:val="auto"/>
                      <w:lang w:bidi="ar"/>
                    </w:rPr>
                    <w:t>5</w:t>
                  </w:r>
                </w:p>
              </w:tc>
              <w:tc>
                <w:tcPr>
                  <w:tcW w:w="800" w:type="dxa"/>
                  <w:vMerge w:val="continue"/>
                  <w:tcBorders>
                    <w:tl2br w:val="nil"/>
                    <w:tr2bl w:val="nil"/>
                  </w:tcBorders>
                  <w:shd w:val="clear" w:color="auto" w:fill="auto"/>
                  <w:tcMar>
                    <w:left w:w="57" w:type="dxa"/>
                    <w:right w:w="57" w:type="dxa"/>
                  </w:tcMar>
                  <w:vAlign w:val="center"/>
                </w:tcPr>
                <w:p w14:paraId="6769C005">
                  <w:pPr>
                    <w:keepNext/>
                    <w:keepLines/>
                    <w:widowControl/>
                    <w:overflowPunct w:val="0"/>
                    <w:ind w:firstLine="420"/>
                    <w:jc w:val="center"/>
                    <w:rPr>
                      <w:color w:val="auto"/>
                      <w:lang w:bidi="ar"/>
                    </w:rPr>
                  </w:pPr>
                </w:p>
              </w:tc>
            </w:tr>
            <w:tr w14:paraId="2920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654" w:type="dxa"/>
                  <w:vMerge w:val="continue"/>
                  <w:tcBorders>
                    <w:tl2br w:val="nil"/>
                    <w:tr2bl w:val="nil"/>
                  </w:tcBorders>
                  <w:shd w:val="clear" w:color="auto" w:fill="auto"/>
                  <w:tcMar>
                    <w:left w:w="57" w:type="dxa"/>
                    <w:right w:w="57" w:type="dxa"/>
                  </w:tcMar>
                  <w:vAlign w:val="center"/>
                </w:tcPr>
                <w:p w14:paraId="7F3650AD">
                  <w:pPr>
                    <w:keepNext/>
                    <w:keepLines/>
                    <w:widowControl/>
                    <w:overflowPunct w:val="0"/>
                    <w:ind w:firstLine="420"/>
                    <w:jc w:val="center"/>
                    <w:rPr>
                      <w:color w:val="auto"/>
                    </w:rPr>
                  </w:pPr>
                </w:p>
              </w:tc>
              <w:tc>
                <w:tcPr>
                  <w:tcW w:w="680" w:type="dxa"/>
                  <w:vMerge w:val="restart"/>
                  <w:tcBorders>
                    <w:tl2br w:val="nil"/>
                    <w:tr2bl w:val="nil"/>
                  </w:tcBorders>
                  <w:shd w:val="clear" w:color="auto" w:fill="auto"/>
                  <w:tcMar>
                    <w:left w:w="57" w:type="dxa"/>
                    <w:right w:w="57" w:type="dxa"/>
                  </w:tcMar>
                  <w:vAlign w:val="center"/>
                </w:tcPr>
                <w:p w14:paraId="3B89EE9E">
                  <w:pPr>
                    <w:keepNext/>
                    <w:keepLines/>
                    <w:widowControl/>
                    <w:overflowPunct w:val="0"/>
                    <w:jc w:val="center"/>
                    <w:rPr>
                      <w:color w:val="auto"/>
                    </w:rPr>
                  </w:pPr>
                  <w:r>
                    <w:rPr>
                      <w:color w:val="auto"/>
                      <w:lang w:bidi="ar"/>
                    </w:rPr>
                    <w:t>无组织</w:t>
                  </w:r>
                </w:p>
              </w:tc>
              <w:tc>
                <w:tcPr>
                  <w:tcW w:w="493" w:type="dxa"/>
                  <w:tcBorders>
                    <w:tl2br w:val="nil"/>
                    <w:tr2bl w:val="nil"/>
                  </w:tcBorders>
                  <w:shd w:val="clear" w:color="auto" w:fill="auto"/>
                  <w:tcMar>
                    <w:left w:w="57" w:type="dxa"/>
                    <w:right w:w="57" w:type="dxa"/>
                  </w:tcMar>
                  <w:vAlign w:val="center"/>
                </w:tcPr>
                <w:p w14:paraId="69DDFAB0">
                  <w:pPr>
                    <w:keepNext/>
                    <w:keepLines/>
                    <w:widowControl/>
                    <w:overflowPunct w:val="0"/>
                    <w:jc w:val="center"/>
                    <w:rPr>
                      <w:color w:val="auto"/>
                    </w:rPr>
                  </w:pPr>
                  <w:r>
                    <w:rPr>
                      <w:color w:val="auto"/>
                      <w:lang w:bidi="ar"/>
                    </w:rPr>
                    <w:t>厂区内</w:t>
                  </w:r>
                </w:p>
              </w:tc>
              <w:tc>
                <w:tcPr>
                  <w:tcW w:w="1118" w:type="dxa"/>
                  <w:tcBorders>
                    <w:tl2br w:val="nil"/>
                    <w:tr2bl w:val="nil"/>
                  </w:tcBorders>
                  <w:shd w:val="clear" w:color="auto" w:fill="auto"/>
                  <w:tcMar>
                    <w:left w:w="57" w:type="dxa"/>
                    <w:right w:w="57" w:type="dxa"/>
                  </w:tcMar>
                  <w:vAlign w:val="center"/>
                </w:tcPr>
                <w:p w14:paraId="22190D5F">
                  <w:pPr>
                    <w:keepNext/>
                    <w:keepLines/>
                    <w:widowControl/>
                    <w:overflowPunct w:val="0"/>
                    <w:jc w:val="center"/>
                    <w:rPr>
                      <w:color w:val="auto"/>
                    </w:rPr>
                  </w:pPr>
                  <w:r>
                    <w:rPr>
                      <w:color w:val="auto"/>
                      <w:lang w:bidi="ar"/>
                    </w:rPr>
                    <w:t>非甲烷总烃</w:t>
                  </w:r>
                </w:p>
              </w:tc>
              <w:tc>
                <w:tcPr>
                  <w:tcW w:w="1382" w:type="dxa"/>
                  <w:tcBorders>
                    <w:tl2br w:val="nil"/>
                    <w:tr2bl w:val="nil"/>
                  </w:tcBorders>
                  <w:shd w:val="clear" w:color="auto" w:fill="auto"/>
                  <w:tcMar>
                    <w:left w:w="57" w:type="dxa"/>
                    <w:right w:w="57" w:type="dxa"/>
                  </w:tcMar>
                  <w:vAlign w:val="center"/>
                </w:tcPr>
                <w:p w14:paraId="180A81B4">
                  <w:pPr>
                    <w:keepNext/>
                    <w:keepLines/>
                    <w:widowControl/>
                    <w:overflowPunct w:val="0"/>
                    <w:jc w:val="center"/>
                    <w:rPr>
                      <w:color w:val="auto"/>
                    </w:rPr>
                  </w:pPr>
                  <w:r>
                    <w:rPr>
                      <w:color w:val="auto"/>
                      <w:lang w:bidi="ar"/>
                    </w:rPr>
                    <w:t>/</w:t>
                  </w:r>
                </w:p>
              </w:tc>
              <w:tc>
                <w:tcPr>
                  <w:tcW w:w="3408" w:type="dxa"/>
                  <w:tcBorders>
                    <w:tl2br w:val="nil"/>
                    <w:tr2bl w:val="nil"/>
                  </w:tcBorders>
                  <w:shd w:val="clear" w:color="auto" w:fill="auto"/>
                  <w:tcMar>
                    <w:left w:w="57" w:type="dxa"/>
                    <w:right w:w="57" w:type="dxa"/>
                  </w:tcMar>
                  <w:vAlign w:val="center"/>
                </w:tcPr>
                <w:p w14:paraId="4C793E06">
                  <w:pPr>
                    <w:keepNext/>
                    <w:keepLines/>
                    <w:widowControl/>
                    <w:overflowPunct w:val="0"/>
                    <w:jc w:val="center"/>
                    <w:rPr>
                      <w:color w:val="auto"/>
                    </w:rPr>
                  </w:pPr>
                  <w:r>
                    <w:rPr>
                      <w:color w:val="auto"/>
                      <w:lang w:bidi="ar"/>
                    </w:rPr>
                    <w:t>《大气污染物综合排放标准》（DB32/4041-2021）中表2限值</w:t>
                  </w:r>
                  <w:r>
                    <w:rPr>
                      <w:rFonts w:hint="eastAsia"/>
                      <w:color w:val="auto"/>
                      <w:lang w:bidi="ar"/>
                    </w:rPr>
                    <w:t>及</w:t>
                  </w:r>
                  <w:r>
                    <w:rPr>
                      <w:rFonts w:hint="eastAsia"/>
                      <w:bCs/>
                      <w:color w:val="auto"/>
                    </w:rPr>
                    <w:t>《挥发性有机物无组织排放控制标准》（GB37822-2019）</w:t>
                  </w:r>
                </w:p>
              </w:tc>
              <w:tc>
                <w:tcPr>
                  <w:tcW w:w="536" w:type="dxa"/>
                  <w:tcBorders>
                    <w:tl2br w:val="nil"/>
                    <w:tr2bl w:val="nil"/>
                  </w:tcBorders>
                  <w:shd w:val="clear" w:color="auto" w:fill="auto"/>
                  <w:tcMar>
                    <w:left w:w="57" w:type="dxa"/>
                    <w:right w:w="57" w:type="dxa"/>
                  </w:tcMar>
                  <w:vAlign w:val="center"/>
                </w:tcPr>
                <w:p w14:paraId="056AB2E1">
                  <w:pPr>
                    <w:keepNext/>
                    <w:keepLines/>
                    <w:widowControl/>
                    <w:overflowPunct w:val="0"/>
                    <w:jc w:val="center"/>
                    <w:rPr>
                      <w:color w:val="auto"/>
                      <w:lang w:bidi="ar"/>
                    </w:rPr>
                  </w:pPr>
                  <w:r>
                    <w:rPr>
                      <w:color w:val="auto"/>
                      <w:lang w:bidi="ar"/>
                    </w:rPr>
                    <w:t>/</w:t>
                  </w:r>
                </w:p>
              </w:tc>
              <w:tc>
                <w:tcPr>
                  <w:tcW w:w="800" w:type="dxa"/>
                  <w:vMerge w:val="continue"/>
                  <w:tcBorders>
                    <w:tl2br w:val="nil"/>
                    <w:tr2bl w:val="nil"/>
                  </w:tcBorders>
                  <w:shd w:val="clear" w:color="auto" w:fill="auto"/>
                  <w:tcMar>
                    <w:left w:w="57" w:type="dxa"/>
                    <w:right w:w="57" w:type="dxa"/>
                  </w:tcMar>
                  <w:vAlign w:val="center"/>
                </w:tcPr>
                <w:p w14:paraId="26A35CDA">
                  <w:pPr>
                    <w:keepNext/>
                    <w:keepLines/>
                    <w:widowControl/>
                    <w:overflowPunct w:val="0"/>
                    <w:ind w:firstLine="420"/>
                    <w:jc w:val="center"/>
                    <w:rPr>
                      <w:color w:val="auto"/>
                      <w:lang w:bidi="ar"/>
                    </w:rPr>
                  </w:pPr>
                </w:p>
              </w:tc>
            </w:tr>
            <w:tr w14:paraId="07F4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654" w:type="dxa"/>
                  <w:vMerge w:val="continue"/>
                  <w:tcBorders>
                    <w:tl2br w:val="nil"/>
                    <w:tr2bl w:val="nil"/>
                  </w:tcBorders>
                  <w:shd w:val="clear" w:color="auto" w:fill="auto"/>
                  <w:tcMar>
                    <w:left w:w="57" w:type="dxa"/>
                    <w:right w:w="57" w:type="dxa"/>
                  </w:tcMar>
                  <w:vAlign w:val="center"/>
                </w:tcPr>
                <w:p w14:paraId="034EC5A8">
                  <w:pPr>
                    <w:keepNext/>
                    <w:keepLines/>
                    <w:widowControl/>
                    <w:overflowPunct w:val="0"/>
                    <w:ind w:firstLine="420"/>
                    <w:jc w:val="center"/>
                    <w:rPr>
                      <w:color w:val="auto"/>
                    </w:rPr>
                  </w:pPr>
                </w:p>
              </w:tc>
              <w:tc>
                <w:tcPr>
                  <w:tcW w:w="680" w:type="dxa"/>
                  <w:vMerge w:val="continue"/>
                  <w:tcBorders>
                    <w:tl2br w:val="nil"/>
                    <w:tr2bl w:val="nil"/>
                  </w:tcBorders>
                  <w:shd w:val="clear" w:color="auto" w:fill="auto"/>
                  <w:tcMar>
                    <w:left w:w="57" w:type="dxa"/>
                    <w:right w:w="57" w:type="dxa"/>
                  </w:tcMar>
                  <w:vAlign w:val="center"/>
                </w:tcPr>
                <w:p w14:paraId="71374CCB">
                  <w:pPr>
                    <w:keepNext/>
                    <w:keepLines/>
                    <w:widowControl/>
                    <w:overflowPunct w:val="0"/>
                    <w:ind w:firstLine="420"/>
                    <w:jc w:val="center"/>
                    <w:rPr>
                      <w:color w:val="auto"/>
                    </w:rPr>
                  </w:pPr>
                </w:p>
              </w:tc>
              <w:tc>
                <w:tcPr>
                  <w:tcW w:w="493" w:type="dxa"/>
                  <w:tcBorders>
                    <w:tl2br w:val="nil"/>
                    <w:tr2bl w:val="nil"/>
                  </w:tcBorders>
                  <w:shd w:val="clear" w:color="auto" w:fill="auto"/>
                  <w:tcMar>
                    <w:left w:w="57" w:type="dxa"/>
                    <w:right w:w="57" w:type="dxa"/>
                  </w:tcMar>
                  <w:vAlign w:val="center"/>
                </w:tcPr>
                <w:p w14:paraId="38B8FAB0">
                  <w:pPr>
                    <w:keepNext/>
                    <w:keepLines/>
                    <w:widowControl/>
                    <w:overflowPunct w:val="0"/>
                    <w:jc w:val="center"/>
                    <w:rPr>
                      <w:color w:val="auto"/>
                    </w:rPr>
                  </w:pPr>
                  <w:r>
                    <w:rPr>
                      <w:color w:val="auto"/>
                      <w:lang w:bidi="ar"/>
                    </w:rPr>
                    <w:t>厂界</w:t>
                  </w:r>
                </w:p>
              </w:tc>
              <w:tc>
                <w:tcPr>
                  <w:tcW w:w="1118" w:type="dxa"/>
                  <w:tcBorders>
                    <w:tl2br w:val="nil"/>
                    <w:tr2bl w:val="nil"/>
                  </w:tcBorders>
                  <w:shd w:val="clear" w:color="auto" w:fill="auto"/>
                  <w:tcMar>
                    <w:left w:w="57" w:type="dxa"/>
                    <w:right w:w="57" w:type="dxa"/>
                  </w:tcMar>
                  <w:vAlign w:val="center"/>
                </w:tcPr>
                <w:p w14:paraId="62372991">
                  <w:pPr>
                    <w:keepNext/>
                    <w:keepLines/>
                    <w:widowControl/>
                    <w:overflowPunct w:val="0"/>
                    <w:jc w:val="center"/>
                    <w:rPr>
                      <w:color w:val="auto"/>
                    </w:rPr>
                  </w:pPr>
                  <w:r>
                    <w:rPr>
                      <w:color w:val="auto"/>
                      <w:lang w:bidi="ar"/>
                    </w:rPr>
                    <w:t>非甲烷总烃、</w:t>
                  </w:r>
                  <w:r>
                    <w:rPr>
                      <w:rFonts w:hint="eastAsia"/>
                      <w:color w:val="auto"/>
                      <w:lang w:bidi="ar"/>
                    </w:rPr>
                    <w:t>颗粒物</w:t>
                  </w:r>
                </w:p>
              </w:tc>
              <w:tc>
                <w:tcPr>
                  <w:tcW w:w="1382" w:type="dxa"/>
                  <w:tcBorders>
                    <w:tl2br w:val="nil"/>
                    <w:tr2bl w:val="nil"/>
                  </w:tcBorders>
                  <w:shd w:val="clear" w:color="auto" w:fill="auto"/>
                  <w:tcMar>
                    <w:left w:w="57" w:type="dxa"/>
                    <w:right w:w="57" w:type="dxa"/>
                  </w:tcMar>
                  <w:vAlign w:val="center"/>
                </w:tcPr>
                <w:p w14:paraId="46E58852">
                  <w:pPr>
                    <w:keepNext/>
                    <w:keepLines/>
                    <w:widowControl/>
                    <w:overflowPunct w:val="0"/>
                    <w:jc w:val="center"/>
                    <w:rPr>
                      <w:color w:val="auto"/>
                    </w:rPr>
                  </w:pPr>
                  <w:r>
                    <w:rPr>
                      <w:color w:val="auto"/>
                      <w:lang w:bidi="ar"/>
                    </w:rPr>
                    <w:t>/</w:t>
                  </w:r>
                </w:p>
              </w:tc>
              <w:tc>
                <w:tcPr>
                  <w:tcW w:w="3408" w:type="dxa"/>
                  <w:tcBorders>
                    <w:tl2br w:val="nil"/>
                    <w:tr2bl w:val="nil"/>
                  </w:tcBorders>
                  <w:shd w:val="clear" w:color="auto" w:fill="auto"/>
                  <w:tcMar>
                    <w:left w:w="57" w:type="dxa"/>
                    <w:right w:w="57" w:type="dxa"/>
                  </w:tcMar>
                  <w:vAlign w:val="center"/>
                </w:tcPr>
                <w:p w14:paraId="62423081">
                  <w:pPr>
                    <w:keepNext/>
                    <w:keepLines/>
                    <w:widowControl/>
                    <w:overflowPunct w:val="0"/>
                    <w:jc w:val="center"/>
                    <w:rPr>
                      <w:color w:val="auto"/>
                    </w:rPr>
                  </w:pPr>
                  <w:r>
                    <w:rPr>
                      <w:color w:val="auto"/>
                      <w:lang w:bidi="ar"/>
                    </w:rPr>
                    <w:t>《大气污染物综合排放标准》（DB32/4041-2021）表3标准</w:t>
                  </w:r>
                </w:p>
              </w:tc>
              <w:tc>
                <w:tcPr>
                  <w:tcW w:w="536" w:type="dxa"/>
                  <w:tcBorders>
                    <w:tl2br w:val="nil"/>
                    <w:tr2bl w:val="nil"/>
                  </w:tcBorders>
                  <w:shd w:val="clear" w:color="auto" w:fill="auto"/>
                  <w:tcMar>
                    <w:left w:w="57" w:type="dxa"/>
                    <w:right w:w="57" w:type="dxa"/>
                  </w:tcMar>
                  <w:vAlign w:val="center"/>
                </w:tcPr>
                <w:p w14:paraId="16BD8252">
                  <w:pPr>
                    <w:keepNext/>
                    <w:keepLines/>
                    <w:widowControl/>
                    <w:overflowPunct w:val="0"/>
                    <w:jc w:val="center"/>
                    <w:rPr>
                      <w:color w:val="auto"/>
                      <w:lang w:bidi="ar"/>
                    </w:rPr>
                  </w:pPr>
                  <w:r>
                    <w:rPr>
                      <w:color w:val="auto"/>
                      <w:lang w:bidi="ar"/>
                    </w:rPr>
                    <w:t>/</w:t>
                  </w:r>
                </w:p>
              </w:tc>
              <w:tc>
                <w:tcPr>
                  <w:tcW w:w="800" w:type="dxa"/>
                  <w:vMerge w:val="continue"/>
                  <w:tcBorders>
                    <w:tl2br w:val="nil"/>
                    <w:tr2bl w:val="nil"/>
                  </w:tcBorders>
                  <w:shd w:val="clear" w:color="auto" w:fill="auto"/>
                  <w:tcMar>
                    <w:left w:w="57" w:type="dxa"/>
                    <w:right w:w="57" w:type="dxa"/>
                  </w:tcMar>
                  <w:vAlign w:val="center"/>
                </w:tcPr>
                <w:p w14:paraId="521E1CC1">
                  <w:pPr>
                    <w:keepNext/>
                    <w:keepLines/>
                    <w:widowControl/>
                    <w:overflowPunct w:val="0"/>
                    <w:ind w:firstLine="420"/>
                    <w:jc w:val="center"/>
                    <w:rPr>
                      <w:color w:val="auto"/>
                      <w:lang w:bidi="ar"/>
                    </w:rPr>
                  </w:pPr>
                </w:p>
              </w:tc>
            </w:tr>
            <w:tr w14:paraId="516C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654" w:type="dxa"/>
                  <w:tcBorders>
                    <w:tl2br w:val="nil"/>
                    <w:tr2bl w:val="nil"/>
                  </w:tcBorders>
                  <w:shd w:val="clear" w:color="auto" w:fill="auto"/>
                  <w:tcMar>
                    <w:left w:w="57" w:type="dxa"/>
                    <w:right w:w="57" w:type="dxa"/>
                  </w:tcMar>
                  <w:vAlign w:val="center"/>
                </w:tcPr>
                <w:p w14:paraId="404149A9">
                  <w:pPr>
                    <w:keepNext/>
                    <w:keepLines/>
                    <w:widowControl/>
                    <w:overflowPunct w:val="0"/>
                    <w:jc w:val="center"/>
                    <w:rPr>
                      <w:color w:val="auto"/>
                    </w:rPr>
                  </w:pPr>
                  <w:r>
                    <w:rPr>
                      <w:color w:val="auto"/>
                      <w:lang w:bidi="ar"/>
                    </w:rPr>
                    <w:t>废水</w:t>
                  </w:r>
                </w:p>
              </w:tc>
              <w:tc>
                <w:tcPr>
                  <w:tcW w:w="1173" w:type="dxa"/>
                  <w:gridSpan w:val="2"/>
                  <w:tcBorders>
                    <w:tl2br w:val="nil"/>
                    <w:tr2bl w:val="nil"/>
                  </w:tcBorders>
                  <w:shd w:val="clear" w:color="auto" w:fill="auto"/>
                  <w:tcMar>
                    <w:left w:w="57" w:type="dxa"/>
                    <w:right w:w="57" w:type="dxa"/>
                  </w:tcMar>
                  <w:vAlign w:val="center"/>
                </w:tcPr>
                <w:p w14:paraId="143E422F">
                  <w:pPr>
                    <w:keepNext/>
                    <w:keepLines/>
                    <w:widowControl/>
                    <w:overflowPunct w:val="0"/>
                    <w:jc w:val="center"/>
                    <w:rPr>
                      <w:color w:val="auto"/>
                    </w:rPr>
                  </w:pPr>
                  <w:r>
                    <w:rPr>
                      <w:rFonts w:hint="eastAsia"/>
                      <w:color w:val="auto"/>
                      <w:lang w:bidi="ar"/>
                    </w:rPr>
                    <w:t>DW</w:t>
                  </w:r>
                  <w:r>
                    <w:rPr>
                      <w:color w:val="auto"/>
                      <w:lang w:bidi="ar"/>
                    </w:rPr>
                    <w:t>001</w:t>
                  </w:r>
                </w:p>
              </w:tc>
              <w:tc>
                <w:tcPr>
                  <w:tcW w:w="1118" w:type="dxa"/>
                  <w:tcBorders>
                    <w:tl2br w:val="nil"/>
                    <w:tr2bl w:val="nil"/>
                  </w:tcBorders>
                  <w:shd w:val="clear" w:color="auto" w:fill="auto"/>
                  <w:tcMar>
                    <w:left w:w="57" w:type="dxa"/>
                    <w:right w:w="57" w:type="dxa"/>
                  </w:tcMar>
                  <w:vAlign w:val="center"/>
                </w:tcPr>
                <w:p w14:paraId="390CB714">
                  <w:pPr>
                    <w:keepNext/>
                    <w:keepLines/>
                    <w:widowControl/>
                    <w:overflowPunct w:val="0"/>
                    <w:jc w:val="center"/>
                    <w:rPr>
                      <w:color w:val="auto"/>
                    </w:rPr>
                  </w:pPr>
                  <w:r>
                    <w:rPr>
                      <w:color w:val="auto"/>
                      <w:lang w:bidi="ar"/>
                    </w:rPr>
                    <w:t>pH、COD、SS、TN、NH</w:t>
                  </w:r>
                  <w:r>
                    <w:rPr>
                      <w:color w:val="auto"/>
                      <w:vertAlign w:val="subscript"/>
                      <w:lang w:bidi="ar"/>
                    </w:rPr>
                    <w:t>3</w:t>
                  </w:r>
                  <w:r>
                    <w:rPr>
                      <w:color w:val="auto"/>
                      <w:lang w:bidi="ar"/>
                    </w:rPr>
                    <w:t>-N、TP、动植物油</w:t>
                  </w:r>
                </w:p>
              </w:tc>
              <w:tc>
                <w:tcPr>
                  <w:tcW w:w="1382" w:type="dxa"/>
                  <w:tcBorders>
                    <w:tl2br w:val="nil"/>
                    <w:tr2bl w:val="nil"/>
                  </w:tcBorders>
                  <w:shd w:val="clear" w:color="auto" w:fill="auto"/>
                  <w:tcMar>
                    <w:left w:w="57" w:type="dxa"/>
                    <w:right w:w="57" w:type="dxa"/>
                  </w:tcMar>
                  <w:vAlign w:val="center"/>
                </w:tcPr>
                <w:p w14:paraId="11C8CE45">
                  <w:pPr>
                    <w:keepNext/>
                    <w:keepLines/>
                    <w:widowControl/>
                    <w:overflowPunct w:val="0"/>
                    <w:jc w:val="center"/>
                    <w:rPr>
                      <w:color w:val="auto"/>
                    </w:rPr>
                  </w:pPr>
                  <w:r>
                    <w:rPr>
                      <w:color w:val="auto"/>
                      <w:lang w:bidi="ar"/>
                    </w:rPr>
                    <w:t>职工生活污水经化粪池预处理后、食堂废水经隔油池处理后混合，接入</w:t>
                  </w:r>
                  <w:r>
                    <w:rPr>
                      <w:rFonts w:hint="eastAsia"/>
                      <w:color w:val="auto"/>
                      <w:lang w:val="en-US" w:eastAsia="zh-CN" w:bidi="ar"/>
                    </w:rPr>
                    <w:t>直溪</w:t>
                  </w:r>
                  <w:r>
                    <w:rPr>
                      <w:rFonts w:hint="eastAsia"/>
                      <w:color w:val="auto"/>
                      <w:lang w:bidi="ar"/>
                    </w:rPr>
                    <w:t>污水处理厂</w:t>
                  </w:r>
                </w:p>
              </w:tc>
              <w:tc>
                <w:tcPr>
                  <w:tcW w:w="3408" w:type="dxa"/>
                  <w:tcBorders>
                    <w:tl2br w:val="nil"/>
                    <w:tr2bl w:val="nil"/>
                  </w:tcBorders>
                  <w:shd w:val="clear" w:color="auto" w:fill="auto"/>
                  <w:tcMar>
                    <w:left w:w="57" w:type="dxa"/>
                    <w:right w:w="57" w:type="dxa"/>
                  </w:tcMar>
                  <w:vAlign w:val="center"/>
                </w:tcPr>
                <w:p w14:paraId="0FA7B3BC">
                  <w:pPr>
                    <w:keepNext/>
                    <w:keepLines/>
                    <w:widowControl/>
                    <w:overflowPunct w:val="0"/>
                    <w:jc w:val="center"/>
                    <w:rPr>
                      <w:color w:val="auto"/>
                    </w:rPr>
                  </w:pPr>
                  <w:r>
                    <w:rPr>
                      <w:color w:val="auto"/>
                      <w:lang w:bidi="ar"/>
                    </w:rPr>
                    <w:t>《污水排入城镇下水道水质标准》(GB/T31962-2015)表1中B等级</w:t>
                  </w:r>
                </w:p>
              </w:tc>
              <w:tc>
                <w:tcPr>
                  <w:tcW w:w="536" w:type="dxa"/>
                  <w:tcBorders>
                    <w:tl2br w:val="nil"/>
                    <w:tr2bl w:val="nil"/>
                  </w:tcBorders>
                  <w:shd w:val="clear" w:color="auto" w:fill="auto"/>
                  <w:tcMar>
                    <w:left w:w="57" w:type="dxa"/>
                    <w:right w:w="57" w:type="dxa"/>
                  </w:tcMar>
                  <w:vAlign w:val="center"/>
                </w:tcPr>
                <w:p w14:paraId="34D5C907">
                  <w:pPr>
                    <w:keepNext/>
                    <w:keepLines/>
                    <w:widowControl/>
                    <w:overflowPunct w:val="0"/>
                    <w:jc w:val="center"/>
                    <w:rPr>
                      <w:color w:val="auto"/>
                      <w:lang w:bidi="ar"/>
                    </w:rPr>
                  </w:pPr>
                  <w:r>
                    <w:rPr>
                      <w:color w:val="auto"/>
                      <w:lang w:bidi="ar"/>
                    </w:rPr>
                    <w:t>2</w:t>
                  </w:r>
                </w:p>
              </w:tc>
              <w:tc>
                <w:tcPr>
                  <w:tcW w:w="800" w:type="dxa"/>
                  <w:vMerge w:val="continue"/>
                  <w:tcBorders>
                    <w:tl2br w:val="nil"/>
                    <w:tr2bl w:val="nil"/>
                  </w:tcBorders>
                  <w:shd w:val="clear" w:color="auto" w:fill="auto"/>
                  <w:tcMar>
                    <w:left w:w="57" w:type="dxa"/>
                    <w:right w:w="57" w:type="dxa"/>
                  </w:tcMar>
                  <w:vAlign w:val="center"/>
                </w:tcPr>
                <w:p w14:paraId="2ACD92BA">
                  <w:pPr>
                    <w:keepNext/>
                    <w:keepLines/>
                    <w:widowControl/>
                    <w:overflowPunct w:val="0"/>
                    <w:ind w:firstLine="420"/>
                    <w:jc w:val="center"/>
                    <w:rPr>
                      <w:color w:val="auto"/>
                      <w:lang w:bidi="ar"/>
                    </w:rPr>
                  </w:pPr>
                </w:p>
              </w:tc>
            </w:tr>
            <w:tr w14:paraId="6214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654" w:type="dxa"/>
                  <w:tcBorders>
                    <w:tl2br w:val="nil"/>
                    <w:tr2bl w:val="nil"/>
                  </w:tcBorders>
                  <w:shd w:val="clear" w:color="auto" w:fill="auto"/>
                  <w:tcMar>
                    <w:left w:w="57" w:type="dxa"/>
                    <w:right w:w="57" w:type="dxa"/>
                  </w:tcMar>
                  <w:vAlign w:val="center"/>
                </w:tcPr>
                <w:p w14:paraId="67F77EB7">
                  <w:pPr>
                    <w:keepNext/>
                    <w:keepLines/>
                    <w:widowControl/>
                    <w:overflowPunct w:val="0"/>
                    <w:jc w:val="center"/>
                    <w:rPr>
                      <w:color w:val="auto"/>
                    </w:rPr>
                  </w:pPr>
                  <w:r>
                    <w:rPr>
                      <w:color w:val="auto"/>
                      <w:lang w:bidi="ar"/>
                    </w:rPr>
                    <w:t>噪声</w:t>
                  </w:r>
                </w:p>
              </w:tc>
              <w:tc>
                <w:tcPr>
                  <w:tcW w:w="1173" w:type="dxa"/>
                  <w:gridSpan w:val="2"/>
                  <w:tcBorders>
                    <w:tl2br w:val="nil"/>
                    <w:tr2bl w:val="nil"/>
                  </w:tcBorders>
                  <w:shd w:val="clear" w:color="auto" w:fill="auto"/>
                  <w:tcMar>
                    <w:left w:w="57" w:type="dxa"/>
                    <w:right w:w="57" w:type="dxa"/>
                  </w:tcMar>
                  <w:vAlign w:val="center"/>
                </w:tcPr>
                <w:p w14:paraId="088749B7">
                  <w:pPr>
                    <w:keepNext/>
                    <w:keepLines/>
                    <w:widowControl/>
                    <w:overflowPunct w:val="0"/>
                    <w:jc w:val="center"/>
                    <w:rPr>
                      <w:color w:val="auto"/>
                    </w:rPr>
                  </w:pPr>
                  <w:r>
                    <w:rPr>
                      <w:color w:val="auto"/>
                      <w:lang w:bidi="ar"/>
                    </w:rPr>
                    <w:t>各类生产设备及配套设备</w:t>
                  </w:r>
                </w:p>
              </w:tc>
              <w:tc>
                <w:tcPr>
                  <w:tcW w:w="1118" w:type="dxa"/>
                  <w:tcBorders>
                    <w:tl2br w:val="nil"/>
                    <w:tr2bl w:val="nil"/>
                  </w:tcBorders>
                  <w:shd w:val="clear" w:color="auto" w:fill="auto"/>
                  <w:tcMar>
                    <w:left w:w="57" w:type="dxa"/>
                    <w:right w:w="57" w:type="dxa"/>
                  </w:tcMar>
                  <w:vAlign w:val="center"/>
                </w:tcPr>
                <w:p w14:paraId="2C296F9E">
                  <w:pPr>
                    <w:keepNext/>
                    <w:keepLines/>
                    <w:widowControl/>
                    <w:overflowPunct w:val="0"/>
                    <w:jc w:val="center"/>
                    <w:rPr>
                      <w:color w:val="auto"/>
                    </w:rPr>
                  </w:pPr>
                  <w:r>
                    <w:rPr>
                      <w:color w:val="auto"/>
                      <w:lang w:bidi="ar"/>
                    </w:rPr>
                    <w:t>噪声</w:t>
                  </w:r>
                </w:p>
              </w:tc>
              <w:tc>
                <w:tcPr>
                  <w:tcW w:w="1382" w:type="dxa"/>
                  <w:tcBorders>
                    <w:tl2br w:val="nil"/>
                    <w:tr2bl w:val="nil"/>
                  </w:tcBorders>
                  <w:shd w:val="clear" w:color="auto" w:fill="auto"/>
                  <w:tcMar>
                    <w:left w:w="57" w:type="dxa"/>
                    <w:right w:w="57" w:type="dxa"/>
                  </w:tcMar>
                  <w:vAlign w:val="center"/>
                </w:tcPr>
                <w:p w14:paraId="68525413">
                  <w:pPr>
                    <w:keepNext/>
                    <w:keepLines/>
                    <w:widowControl/>
                    <w:overflowPunct w:val="0"/>
                    <w:jc w:val="center"/>
                    <w:rPr>
                      <w:color w:val="auto"/>
                    </w:rPr>
                  </w:pPr>
                  <w:r>
                    <w:rPr>
                      <w:color w:val="auto"/>
                      <w:lang w:bidi="ar"/>
                    </w:rPr>
                    <w:t>合理布局、选用先进设备、设立减振台座、建筑隔声等措施</w:t>
                  </w:r>
                </w:p>
              </w:tc>
              <w:tc>
                <w:tcPr>
                  <w:tcW w:w="3408" w:type="dxa"/>
                  <w:tcBorders>
                    <w:tl2br w:val="nil"/>
                    <w:tr2bl w:val="nil"/>
                  </w:tcBorders>
                  <w:shd w:val="clear" w:color="auto" w:fill="auto"/>
                  <w:tcMar>
                    <w:left w:w="57" w:type="dxa"/>
                    <w:right w:w="57" w:type="dxa"/>
                  </w:tcMar>
                  <w:vAlign w:val="center"/>
                </w:tcPr>
                <w:p w14:paraId="358EDBDF">
                  <w:pPr>
                    <w:keepNext/>
                    <w:keepLines/>
                    <w:widowControl/>
                    <w:overflowPunct w:val="0"/>
                    <w:jc w:val="center"/>
                    <w:rPr>
                      <w:color w:val="auto"/>
                    </w:rPr>
                  </w:pPr>
                  <w:r>
                    <w:rPr>
                      <w:color w:val="auto"/>
                      <w:lang w:bidi="ar"/>
                    </w:rPr>
                    <w:t>《工业企业厂界环境噪声排放标准》（GB12348-2008）</w:t>
                  </w:r>
                  <w:r>
                    <w:rPr>
                      <w:rFonts w:hint="eastAsia"/>
                      <w:color w:val="auto"/>
                      <w:lang w:bidi="ar"/>
                    </w:rPr>
                    <w:t>3</w:t>
                  </w:r>
                  <w:r>
                    <w:rPr>
                      <w:color w:val="auto"/>
                      <w:lang w:bidi="ar"/>
                    </w:rPr>
                    <w:t>类标准要求</w:t>
                  </w:r>
                </w:p>
              </w:tc>
              <w:tc>
                <w:tcPr>
                  <w:tcW w:w="536" w:type="dxa"/>
                  <w:tcBorders>
                    <w:tl2br w:val="nil"/>
                    <w:tr2bl w:val="nil"/>
                  </w:tcBorders>
                  <w:shd w:val="clear" w:color="auto" w:fill="auto"/>
                  <w:tcMar>
                    <w:left w:w="57" w:type="dxa"/>
                    <w:right w:w="57" w:type="dxa"/>
                  </w:tcMar>
                  <w:vAlign w:val="center"/>
                </w:tcPr>
                <w:p w14:paraId="310530DF">
                  <w:pPr>
                    <w:keepNext/>
                    <w:keepLines/>
                    <w:widowControl/>
                    <w:overflowPunct w:val="0"/>
                    <w:jc w:val="center"/>
                    <w:rPr>
                      <w:color w:val="auto"/>
                      <w:lang w:bidi="ar"/>
                    </w:rPr>
                  </w:pPr>
                  <w:r>
                    <w:rPr>
                      <w:color w:val="auto"/>
                      <w:lang w:bidi="ar"/>
                    </w:rPr>
                    <w:t>20</w:t>
                  </w:r>
                </w:p>
              </w:tc>
              <w:tc>
                <w:tcPr>
                  <w:tcW w:w="800" w:type="dxa"/>
                  <w:vMerge w:val="continue"/>
                  <w:tcBorders>
                    <w:tl2br w:val="nil"/>
                    <w:tr2bl w:val="nil"/>
                  </w:tcBorders>
                  <w:shd w:val="clear" w:color="auto" w:fill="auto"/>
                  <w:tcMar>
                    <w:left w:w="57" w:type="dxa"/>
                    <w:right w:w="57" w:type="dxa"/>
                  </w:tcMar>
                  <w:vAlign w:val="center"/>
                </w:tcPr>
                <w:p w14:paraId="3D432093">
                  <w:pPr>
                    <w:keepNext/>
                    <w:keepLines/>
                    <w:widowControl/>
                    <w:overflowPunct w:val="0"/>
                    <w:ind w:firstLine="420"/>
                    <w:jc w:val="center"/>
                    <w:rPr>
                      <w:color w:val="auto"/>
                      <w:lang w:bidi="ar"/>
                    </w:rPr>
                  </w:pPr>
                </w:p>
              </w:tc>
            </w:tr>
            <w:tr w14:paraId="65CF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654" w:type="dxa"/>
                  <w:vMerge w:val="restart"/>
                  <w:tcBorders>
                    <w:tl2br w:val="nil"/>
                    <w:tr2bl w:val="nil"/>
                  </w:tcBorders>
                  <w:shd w:val="clear" w:color="auto" w:fill="auto"/>
                  <w:tcMar>
                    <w:left w:w="57" w:type="dxa"/>
                    <w:right w:w="57" w:type="dxa"/>
                  </w:tcMar>
                  <w:vAlign w:val="center"/>
                </w:tcPr>
                <w:p w14:paraId="18828A80">
                  <w:pPr>
                    <w:keepNext/>
                    <w:keepLines/>
                    <w:widowControl/>
                    <w:overflowPunct w:val="0"/>
                    <w:jc w:val="center"/>
                    <w:rPr>
                      <w:color w:val="auto"/>
                    </w:rPr>
                  </w:pPr>
                  <w:r>
                    <w:rPr>
                      <w:color w:val="auto"/>
                      <w:lang w:bidi="ar"/>
                    </w:rPr>
                    <w:t>固废</w:t>
                  </w:r>
                </w:p>
              </w:tc>
              <w:tc>
                <w:tcPr>
                  <w:tcW w:w="1173" w:type="dxa"/>
                  <w:gridSpan w:val="2"/>
                  <w:vMerge w:val="restart"/>
                  <w:tcBorders>
                    <w:tl2br w:val="nil"/>
                    <w:tr2bl w:val="nil"/>
                  </w:tcBorders>
                  <w:shd w:val="clear" w:color="auto" w:fill="auto"/>
                  <w:tcMar>
                    <w:left w:w="57" w:type="dxa"/>
                    <w:right w:w="57" w:type="dxa"/>
                  </w:tcMar>
                  <w:vAlign w:val="center"/>
                </w:tcPr>
                <w:p w14:paraId="0963E3DC">
                  <w:pPr>
                    <w:keepNext/>
                    <w:keepLines/>
                    <w:widowControl/>
                    <w:overflowPunct w:val="0"/>
                    <w:jc w:val="center"/>
                    <w:rPr>
                      <w:color w:val="auto"/>
                    </w:rPr>
                  </w:pPr>
                  <w:r>
                    <w:rPr>
                      <w:color w:val="auto"/>
                      <w:lang w:bidi="ar"/>
                    </w:rPr>
                    <w:t>生产车间</w:t>
                  </w:r>
                </w:p>
              </w:tc>
              <w:tc>
                <w:tcPr>
                  <w:tcW w:w="1118" w:type="dxa"/>
                  <w:tcBorders>
                    <w:tl2br w:val="nil"/>
                    <w:tr2bl w:val="nil"/>
                  </w:tcBorders>
                  <w:shd w:val="clear" w:color="auto" w:fill="auto"/>
                  <w:tcMar>
                    <w:left w:w="57" w:type="dxa"/>
                    <w:right w:w="57" w:type="dxa"/>
                  </w:tcMar>
                  <w:vAlign w:val="center"/>
                </w:tcPr>
                <w:p w14:paraId="2CA97E0B">
                  <w:pPr>
                    <w:keepNext/>
                    <w:keepLines/>
                    <w:widowControl/>
                    <w:overflowPunct w:val="0"/>
                    <w:jc w:val="center"/>
                    <w:rPr>
                      <w:color w:val="auto"/>
                    </w:rPr>
                  </w:pPr>
                  <w:r>
                    <w:rPr>
                      <w:color w:val="auto"/>
                      <w:lang w:bidi="ar"/>
                    </w:rPr>
                    <w:t>一般固废</w:t>
                  </w:r>
                </w:p>
              </w:tc>
              <w:tc>
                <w:tcPr>
                  <w:tcW w:w="1382" w:type="dxa"/>
                  <w:tcBorders>
                    <w:tl2br w:val="nil"/>
                    <w:tr2bl w:val="nil"/>
                  </w:tcBorders>
                  <w:shd w:val="clear" w:color="auto" w:fill="auto"/>
                  <w:tcMar>
                    <w:left w:w="57" w:type="dxa"/>
                    <w:right w:w="57" w:type="dxa"/>
                  </w:tcMar>
                  <w:vAlign w:val="center"/>
                </w:tcPr>
                <w:p w14:paraId="6F8E0123">
                  <w:pPr>
                    <w:keepNext/>
                    <w:keepLines/>
                    <w:widowControl/>
                    <w:overflowPunct w:val="0"/>
                    <w:jc w:val="center"/>
                    <w:rPr>
                      <w:color w:val="auto"/>
                    </w:rPr>
                  </w:pPr>
                  <w:r>
                    <w:rPr>
                      <w:color w:val="auto"/>
                      <w:lang w:bidi="ar"/>
                    </w:rPr>
                    <w:t>一般固废暂存间</w:t>
                  </w:r>
                  <w:r>
                    <w:rPr>
                      <w:rFonts w:hint="eastAsia"/>
                      <w:color w:val="auto"/>
                      <w:lang w:bidi="ar"/>
                    </w:rPr>
                    <w:t>2</w:t>
                  </w:r>
                  <w:r>
                    <w:rPr>
                      <w:color w:val="auto"/>
                      <w:lang w:bidi="ar"/>
                    </w:rPr>
                    <w:t>0m</w:t>
                  </w:r>
                  <w:r>
                    <w:rPr>
                      <w:color w:val="auto"/>
                      <w:vertAlign w:val="superscript"/>
                      <w:lang w:bidi="ar"/>
                    </w:rPr>
                    <w:t>2</w:t>
                  </w:r>
                </w:p>
              </w:tc>
              <w:tc>
                <w:tcPr>
                  <w:tcW w:w="3408" w:type="dxa"/>
                  <w:tcBorders>
                    <w:tl2br w:val="nil"/>
                    <w:tr2bl w:val="nil"/>
                  </w:tcBorders>
                  <w:shd w:val="clear" w:color="auto" w:fill="auto"/>
                  <w:tcMar>
                    <w:left w:w="57" w:type="dxa"/>
                    <w:right w:w="57" w:type="dxa"/>
                  </w:tcMar>
                  <w:vAlign w:val="center"/>
                </w:tcPr>
                <w:p w14:paraId="3E3D1B79">
                  <w:pPr>
                    <w:keepNext/>
                    <w:keepLines/>
                    <w:widowControl/>
                    <w:overflowPunct w:val="0"/>
                    <w:jc w:val="center"/>
                    <w:rPr>
                      <w:color w:val="auto"/>
                    </w:rPr>
                  </w:pPr>
                  <w:r>
                    <w:rPr>
                      <w:color w:val="auto"/>
                      <w:lang w:bidi="ar"/>
                    </w:rPr>
                    <w:t>满足《一般工业固体废物贮存和填埋污染控制标准》（GB18599-2020）要求</w:t>
                  </w:r>
                </w:p>
              </w:tc>
              <w:tc>
                <w:tcPr>
                  <w:tcW w:w="536" w:type="dxa"/>
                  <w:tcBorders>
                    <w:tl2br w:val="nil"/>
                    <w:tr2bl w:val="nil"/>
                  </w:tcBorders>
                  <w:shd w:val="clear" w:color="auto" w:fill="auto"/>
                  <w:tcMar>
                    <w:left w:w="57" w:type="dxa"/>
                    <w:right w:w="57" w:type="dxa"/>
                  </w:tcMar>
                  <w:vAlign w:val="center"/>
                </w:tcPr>
                <w:p w14:paraId="7C9F9FAE">
                  <w:pPr>
                    <w:keepNext/>
                    <w:keepLines/>
                    <w:widowControl/>
                    <w:overflowPunct w:val="0"/>
                    <w:jc w:val="center"/>
                    <w:rPr>
                      <w:color w:val="auto"/>
                      <w:lang w:bidi="ar"/>
                    </w:rPr>
                  </w:pPr>
                  <w:r>
                    <w:rPr>
                      <w:color w:val="auto"/>
                      <w:lang w:bidi="ar"/>
                    </w:rPr>
                    <w:t>2</w:t>
                  </w:r>
                </w:p>
              </w:tc>
              <w:tc>
                <w:tcPr>
                  <w:tcW w:w="800" w:type="dxa"/>
                  <w:vMerge w:val="continue"/>
                  <w:tcBorders>
                    <w:tl2br w:val="nil"/>
                    <w:tr2bl w:val="nil"/>
                  </w:tcBorders>
                  <w:shd w:val="clear" w:color="auto" w:fill="auto"/>
                  <w:tcMar>
                    <w:left w:w="57" w:type="dxa"/>
                    <w:right w:w="57" w:type="dxa"/>
                  </w:tcMar>
                  <w:vAlign w:val="center"/>
                </w:tcPr>
                <w:p w14:paraId="6020943F">
                  <w:pPr>
                    <w:keepNext/>
                    <w:keepLines/>
                    <w:widowControl/>
                    <w:overflowPunct w:val="0"/>
                    <w:ind w:firstLine="420"/>
                    <w:jc w:val="center"/>
                    <w:rPr>
                      <w:color w:val="auto"/>
                      <w:lang w:bidi="ar"/>
                    </w:rPr>
                  </w:pPr>
                </w:p>
              </w:tc>
            </w:tr>
            <w:tr w14:paraId="2D91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654" w:type="dxa"/>
                  <w:vMerge w:val="continue"/>
                  <w:tcBorders>
                    <w:tl2br w:val="nil"/>
                    <w:tr2bl w:val="nil"/>
                  </w:tcBorders>
                  <w:shd w:val="clear" w:color="auto" w:fill="auto"/>
                  <w:tcMar>
                    <w:left w:w="57" w:type="dxa"/>
                    <w:right w:w="57" w:type="dxa"/>
                  </w:tcMar>
                  <w:vAlign w:val="center"/>
                </w:tcPr>
                <w:p w14:paraId="22211BCF">
                  <w:pPr>
                    <w:keepNext/>
                    <w:keepLines/>
                    <w:widowControl/>
                    <w:overflowPunct w:val="0"/>
                    <w:ind w:firstLine="420"/>
                    <w:jc w:val="center"/>
                    <w:rPr>
                      <w:color w:val="auto"/>
                      <w:lang w:bidi="ar"/>
                    </w:rPr>
                  </w:pPr>
                </w:p>
              </w:tc>
              <w:tc>
                <w:tcPr>
                  <w:tcW w:w="1173" w:type="dxa"/>
                  <w:gridSpan w:val="2"/>
                  <w:vMerge w:val="continue"/>
                  <w:tcBorders>
                    <w:tl2br w:val="nil"/>
                    <w:tr2bl w:val="nil"/>
                  </w:tcBorders>
                  <w:shd w:val="clear" w:color="auto" w:fill="auto"/>
                  <w:tcMar>
                    <w:left w:w="57" w:type="dxa"/>
                    <w:right w:w="57" w:type="dxa"/>
                  </w:tcMar>
                  <w:vAlign w:val="center"/>
                </w:tcPr>
                <w:p w14:paraId="7A15A7DA">
                  <w:pPr>
                    <w:keepNext/>
                    <w:keepLines/>
                    <w:widowControl/>
                    <w:overflowPunct w:val="0"/>
                    <w:ind w:firstLine="420"/>
                    <w:jc w:val="center"/>
                    <w:rPr>
                      <w:color w:val="auto"/>
                      <w:lang w:bidi="ar"/>
                    </w:rPr>
                  </w:pPr>
                </w:p>
              </w:tc>
              <w:tc>
                <w:tcPr>
                  <w:tcW w:w="1118" w:type="dxa"/>
                  <w:tcBorders>
                    <w:tl2br w:val="nil"/>
                    <w:tr2bl w:val="nil"/>
                  </w:tcBorders>
                  <w:shd w:val="clear" w:color="auto" w:fill="auto"/>
                  <w:tcMar>
                    <w:left w:w="57" w:type="dxa"/>
                    <w:right w:w="57" w:type="dxa"/>
                  </w:tcMar>
                  <w:vAlign w:val="center"/>
                </w:tcPr>
                <w:p w14:paraId="6BE0E4D4">
                  <w:pPr>
                    <w:keepNext/>
                    <w:keepLines/>
                    <w:widowControl/>
                    <w:overflowPunct w:val="0"/>
                    <w:jc w:val="center"/>
                    <w:rPr>
                      <w:color w:val="auto"/>
                      <w:lang w:bidi="ar"/>
                    </w:rPr>
                  </w:pPr>
                  <w:r>
                    <w:rPr>
                      <w:color w:val="auto"/>
                      <w:lang w:bidi="ar"/>
                    </w:rPr>
                    <w:t>危险废物</w:t>
                  </w:r>
                </w:p>
              </w:tc>
              <w:tc>
                <w:tcPr>
                  <w:tcW w:w="1382" w:type="dxa"/>
                  <w:tcBorders>
                    <w:tl2br w:val="nil"/>
                    <w:tr2bl w:val="nil"/>
                  </w:tcBorders>
                  <w:shd w:val="clear" w:color="auto" w:fill="auto"/>
                  <w:tcMar>
                    <w:left w:w="57" w:type="dxa"/>
                    <w:right w:w="57" w:type="dxa"/>
                  </w:tcMar>
                  <w:vAlign w:val="center"/>
                </w:tcPr>
                <w:p w14:paraId="7E38EE6B">
                  <w:pPr>
                    <w:keepNext/>
                    <w:keepLines/>
                    <w:widowControl/>
                    <w:overflowPunct w:val="0"/>
                    <w:jc w:val="center"/>
                    <w:rPr>
                      <w:color w:val="auto"/>
                      <w:lang w:bidi="ar"/>
                    </w:rPr>
                  </w:pPr>
                  <w:r>
                    <w:rPr>
                      <w:color w:val="auto"/>
                      <w:lang w:bidi="ar"/>
                    </w:rPr>
                    <w:t>危废暂存间</w:t>
                  </w:r>
                  <w:r>
                    <w:rPr>
                      <w:rFonts w:hint="eastAsia"/>
                      <w:color w:val="auto"/>
                      <w:lang w:bidi="ar"/>
                    </w:rPr>
                    <w:t>1</w:t>
                  </w:r>
                  <w:r>
                    <w:rPr>
                      <w:color w:val="auto"/>
                      <w:lang w:bidi="ar"/>
                    </w:rPr>
                    <w:t>0m</w:t>
                  </w:r>
                  <w:r>
                    <w:rPr>
                      <w:color w:val="auto"/>
                      <w:vertAlign w:val="superscript"/>
                      <w:lang w:bidi="ar"/>
                    </w:rPr>
                    <w:t>2</w:t>
                  </w:r>
                </w:p>
              </w:tc>
              <w:tc>
                <w:tcPr>
                  <w:tcW w:w="3408" w:type="dxa"/>
                  <w:tcBorders>
                    <w:tl2br w:val="nil"/>
                    <w:tr2bl w:val="nil"/>
                  </w:tcBorders>
                  <w:shd w:val="clear" w:color="auto" w:fill="auto"/>
                  <w:tcMar>
                    <w:left w:w="57" w:type="dxa"/>
                    <w:right w:w="57" w:type="dxa"/>
                  </w:tcMar>
                  <w:vAlign w:val="center"/>
                </w:tcPr>
                <w:p w14:paraId="48BA10A9">
                  <w:pPr>
                    <w:keepNext/>
                    <w:keepLines/>
                    <w:widowControl/>
                    <w:overflowPunct w:val="0"/>
                    <w:jc w:val="center"/>
                    <w:rPr>
                      <w:color w:val="auto"/>
                      <w:lang w:bidi="ar"/>
                    </w:rPr>
                  </w:pPr>
                  <w:r>
                    <w:rPr>
                      <w:color w:val="auto"/>
                      <w:lang w:bidi="ar"/>
                    </w:rPr>
                    <w:t>满足《危险废物贮存污染控制标准》（GB18597-2023）要求</w:t>
                  </w:r>
                </w:p>
              </w:tc>
              <w:tc>
                <w:tcPr>
                  <w:tcW w:w="536" w:type="dxa"/>
                  <w:tcBorders>
                    <w:tl2br w:val="nil"/>
                    <w:tr2bl w:val="nil"/>
                  </w:tcBorders>
                  <w:shd w:val="clear" w:color="auto" w:fill="auto"/>
                  <w:tcMar>
                    <w:left w:w="57" w:type="dxa"/>
                    <w:right w:w="57" w:type="dxa"/>
                  </w:tcMar>
                  <w:vAlign w:val="center"/>
                </w:tcPr>
                <w:p w14:paraId="59ECE0F6">
                  <w:pPr>
                    <w:keepNext/>
                    <w:keepLines/>
                    <w:widowControl/>
                    <w:overflowPunct w:val="0"/>
                    <w:jc w:val="center"/>
                    <w:rPr>
                      <w:color w:val="auto"/>
                      <w:lang w:bidi="ar"/>
                    </w:rPr>
                  </w:pPr>
                  <w:r>
                    <w:rPr>
                      <w:color w:val="auto"/>
                      <w:lang w:bidi="ar"/>
                    </w:rPr>
                    <w:t>3</w:t>
                  </w:r>
                </w:p>
              </w:tc>
              <w:tc>
                <w:tcPr>
                  <w:tcW w:w="800" w:type="dxa"/>
                  <w:vMerge w:val="continue"/>
                  <w:tcBorders>
                    <w:tl2br w:val="nil"/>
                    <w:tr2bl w:val="nil"/>
                  </w:tcBorders>
                  <w:shd w:val="clear" w:color="auto" w:fill="auto"/>
                  <w:tcMar>
                    <w:left w:w="57" w:type="dxa"/>
                    <w:right w:w="57" w:type="dxa"/>
                  </w:tcMar>
                  <w:vAlign w:val="center"/>
                </w:tcPr>
                <w:p w14:paraId="07A32BBB">
                  <w:pPr>
                    <w:keepNext/>
                    <w:keepLines/>
                    <w:widowControl/>
                    <w:overflowPunct w:val="0"/>
                    <w:ind w:firstLine="420"/>
                    <w:jc w:val="center"/>
                    <w:rPr>
                      <w:color w:val="auto"/>
                      <w:lang w:bidi="ar"/>
                    </w:rPr>
                  </w:pPr>
                </w:p>
              </w:tc>
            </w:tr>
            <w:tr w14:paraId="09D8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54" w:type="dxa"/>
                  <w:tcBorders>
                    <w:tl2br w:val="nil"/>
                    <w:tr2bl w:val="nil"/>
                  </w:tcBorders>
                  <w:shd w:val="clear" w:color="auto" w:fill="auto"/>
                  <w:tcMar>
                    <w:left w:w="57" w:type="dxa"/>
                    <w:right w:w="57" w:type="dxa"/>
                  </w:tcMar>
                  <w:vAlign w:val="center"/>
                </w:tcPr>
                <w:p w14:paraId="4788E574">
                  <w:pPr>
                    <w:keepNext/>
                    <w:keepLines/>
                    <w:widowControl/>
                    <w:overflowPunct w:val="0"/>
                    <w:jc w:val="center"/>
                    <w:rPr>
                      <w:color w:val="auto"/>
                    </w:rPr>
                  </w:pPr>
                  <w:r>
                    <w:rPr>
                      <w:color w:val="auto"/>
                      <w:lang w:bidi="ar"/>
                    </w:rPr>
                    <w:t>绿化</w:t>
                  </w:r>
                </w:p>
              </w:tc>
              <w:tc>
                <w:tcPr>
                  <w:tcW w:w="7081" w:type="dxa"/>
                  <w:gridSpan w:val="5"/>
                  <w:tcBorders>
                    <w:tl2br w:val="nil"/>
                    <w:tr2bl w:val="nil"/>
                  </w:tcBorders>
                  <w:shd w:val="clear" w:color="auto" w:fill="auto"/>
                  <w:tcMar>
                    <w:left w:w="57" w:type="dxa"/>
                    <w:right w:w="57" w:type="dxa"/>
                  </w:tcMar>
                  <w:vAlign w:val="center"/>
                </w:tcPr>
                <w:p w14:paraId="62E83CDC">
                  <w:pPr>
                    <w:keepNext/>
                    <w:keepLines/>
                    <w:widowControl/>
                    <w:overflowPunct w:val="0"/>
                    <w:jc w:val="center"/>
                    <w:rPr>
                      <w:color w:val="auto"/>
                    </w:rPr>
                  </w:pPr>
                  <w:r>
                    <w:rPr>
                      <w:color w:val="auto"/>
                    </w:rPr>
                    <w:t>厂内绿化</w:t>
                  </w:r>
                </w:p>
              </w:tc>
              <w:tc>
                <w:tcPr>
                  <w:tcW w:w="536" w:type="dxa"/>
                  <w:tcBorders>
                    <w:tl2br w:val="nil"/>
                    <w:tr2bl w:val="nil"/>
                  </w:tcBorders>
                  <w:shd w:val="clear" w:color="auto" w:fill="auto"/>
                  <w:tcMar>
                    <w:left w:w="57" w:type="dxa"/>
                    <w:right w:w="57" w:type="dxa"/>
                  </w:tcMar>
                  <w:vAlign w:val="center"/>
                </w:tcPr>
                <w:p w14:paraId="54DA5191">
                  <w:pPr>
                    <w:keepNext/>
                    <w:keepLines/>
                    <w:widowControl/>
                    <w:overflowPunct w:val="0"/>
                    <w:jc w:val="center"/>
                    <w:rPr>
                      <w:color w:val="auto"/>
                      <w:lang w:bidi="ar"/>
                    </w:rPr>
                  </w:pPr>
                  <w:r>
                    <w:rPr>
                      <w:color w:val="auto"/>
                      <w:lang w:bidi="ar"/>
                    </w:rPr>
                    <w:t>/</w:t>
                  </w:r>
                </w:p>
              </w:tc>
              <w:tc>
                <w:tcPr>
                  <w:tcW w:w="800" w:type="dxa"/>
                  <w:vMerge w:val="continue"/>
                  <w:tcBorders>
                    <w:tl2br w:val="nil"/>
                    <w:tr2bl w:val="nil"/>
                  </w:tcBorders>
                  <w:shd w:val="clear" w:color="auto" w:fill="auto"/>
                  <w:tcMar>
                    <w:left w:w="57" w:type="dxa"/>
                    <w:right w:w="57" w:type="dxa"/>
                  </w:tcMar>
                  <w:vAlign w:val="center"/>
                </w:tcPr>
                <w:p w14:paraId="629E43C4">
                  <w:pPr>
                    <w:keepNext/>
                    <w:keepLines/>
                    <w:widowControl/>
                    <w:overflowPunct w:val="0"/>
                    <w:ind w:firstLine="420"/>
                    <w:jc w:val="center"/>
                    <w:rPr>
                      <w:color w:val="auto"/>
                      <w:lang w:bidi="ar"/>
                    </w:rPr>
                  </w:pPr>
                </w:p>
              </w:tc>
            </w:tr>
            <w:tr w14:paraId="3E92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tcBorders>
                    <w:tl2br w:val="nil"/>
                    <w:tr2bl w:val="nil"/>
                  </w:tcBorders>
                  <w:shd w:val="clear" w:color="auto" w:fill="auto"/>
                  <w:tcMar>
                    <w:left w:w="57" w:type="dxa"/>
                    <w:right w:w="57" w:type="dxa"/>
                  </w:tcMar>
                  <w:vAlign w:val="center"/>
                </w:tcPr>
                <w:p w14:paraId="51EC3E03">
                  <w:pPr>
                    <w:keepNext/>
                    <w:keepLines/>
                    <w:widowControl/>
                    <w:overflowPunct w:val="0"/>
                    <w:jc w:val="center"/>
                    <w:rPr>
                      <w:color w:val="auto"/>
                    </w:rPr>
                  </w:pPr>
                  <w:r>
                    <w:rPr>
                      <w:color w:val="auto"/>
                      <w:lang w:bidi="ar"/>
                    </w:rPr>
                    <w:t>事故应急</w:t>
                  </w:r>
                  <w:r>
                    <w:rPr>
                      <w:rFonts w:hint="eastAsia"/>
                      <w:color w:val="auto"/>
                      <w:lang w:bidi="ar"/>
                    </w:rPr>
                    <w:t>池</w:t>
                  </w:r>
                </w:p>
              </w:tc>
              <w:tc>
                <w:tcPr>
                  <w:tcW w:w="7081" w:type="dxa"/>
                  <w:gridSpan w:val="5"/>
                  <w:tcBorders>
                    <w:tl2br w:val="nil"/>
                    <w:tr2bl w:val="nil"/>
                  </w:tcBorders>
                  <w:shd w:val="clear" w:color="auto" w:fill="auto"/>
                  <w:tcMar>
                    <w:left w:w="57" w:type="dxa"/>
                    <w:right w:w="57" w:type="dxa"/>
                  </w:tcMar>
                  <w:vAlign w:val="center"/>
                </w:tcPr>
                <w:p w14:paraId="4C481520">
                  <w:pPr>
                    <w:keepNext/>
                    <w:keepLines/>
                    <w:widowControl/>
                    <w:overflowPunct w:val="0"/>
                    <w:jc w:val="center"/>
                    <w:rPr>
                      <w:color w:val="auto"/>
                    </w:rPr>
                  </w:pPr>
                  <w:r>
                    <w:rPr>
                      <w:color w:val="auto"/>
                    </w:rPr>
                    <w:t>企业应</w:t>
                  </w:r>
                  <w:r>
                    <w:rPr>
                      <w:rFonts w:hint="eastAsia"/>
                      <w:color w:val="auto"/>
                    </w:rPr>
                    <w:t>设置280m</w:t>
                  </w:r>
                  <w:r>
                    <w:rPr>
                      <w:rFonts w:hint="eastAsia"/>
                      <w:color w:val="auto"/>
                      <w:vertAlign w:val="superscript"/>
                    </w:rPr>
                    <w:t>3</w:t>
                  </w:r>
                  <w:r>
                    <w:rPr>
                      <w:rFonts w:hint="eastAsia"/>
                      <w:color w:val="auto"/>
                    </w:rPr>
                    <w:t>事故应急池，</w:t>
                  </w:r>
                  <w:r>
                    <w:rPr>
                      <w:color w:val="auto"/>
                    </w:rPr>
                    <w:t>在雨水排口设置阀门，事故状态下确保阀门处于关闭状态，液态原辅材料暂存区、危废仓库设置足够容量的托盘，危废仓库设置导流渠，故应急池可收容事故状态下产生的废水，正常情况下不会对外环境造成污染。</w:t>
                  </w:r>
                </w:p>
              </w:tc>
              <w:tc>
                <w:tcPr>
                  <w:tcW w:w="536" w:type="dxa"/>
                  <w:tcBorders>
                    <w:tl2br w:val="nil"/>
                    <w:tr2bl w:val="nil"/>
                  </w:tcBorders>
                  <w:shd w:val="clear" w:color="auto" w:fill="auto"/>
                  <w:tcMar>
                    <w:left w:w="57" w:type="dxa"/>
                    <w:right w:w="57" w:type="dxa"/>
                  </w:tcMar>
                  <w:vAlign w:val="center"/>
                </w:tcPr>
                <w:p w14:paraId="2D70F17A">
                  <w:pPr>
                    <w:keepNext/>
                    <w:keepLines/>
                    <w:widowControl/>
                    <w:overflowPunct w:val="0"/>
                    <w:jc w:val="center"/>
                    <w:rPr>
                      <w:color w:val="auto"/>
                      <w:lang w:bidi="ar"/>
                    </w:rPr>
                  </w:pPr>
                  <w:r>
                    <w:rPr>
                      <w:rFonts w:hint="eastAsia"/>
                      <w:color w:val="auto"/>
                      <w:lang w:bidi="ar"/>
                    </w:rPr>
                    <w:t>40</w:t>
                  </w:r>
                </w:p>
              </w:tc>
              <w:tc>
                <w:tcPr>
                  <w:tcW w:w="800" w:type="dxa"/>
                  <w:vMerge w:val="continue"/>
                  <w:tcBorders>
                    <w:tl2br w:val="nil"/>
                    <w:tr2bl w:val="nil"/>
                  </w:tcBorders>
                  <w:shd w:val="clear" w:color="auto" w:fill="auto"/>
                  <w:tcMar>
                    <w:left w:w="57" w:type="dxa"/>
                    <w:right w:w="57" w:type="dxa"/>
                  </w:tcMar>
                  <w:vAlign w:val="center"/>
                </w:tcPr>
                <w:p w14:paraId="34A70DDE">
                  <w:pPr>
                    <w:keepNext/>
                    <w:keepLines/>
                    <w:widowControl/>
                    <w:overflowPunct w:val="0"/>
                    <w:ind w:firstLine="420"/>
                    <w:jc w:val="center"/>
                    <w:rPr>
                      <w:color w:val="auto"/>
                      <w:lang w:bidi="ar"/>
                    </w:rPr>
                  </w:pPr>
                </w:p>
              </w:tc>
            </w:tr>
            <w:tr w14:paraId="15FB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tcBorders>
                    <w:tl2br w:val="nil"/>
                    <w:tr2bl w:val="nil"/>
                  </w:tcBorders>
                  <w:shd w:val="clear" w:color="auto" w:fill="auto"/>
                  <w:tcMar>
                    <w:left w:w="57" w:type="dxa"/>
                    <w:right w:w="57" w:type="dxa"/>
                  </w:tcMar>
                  <w:vAlign w:val="center"/>
                </w:tcPr>
                <w:p w14:paraId="39238C88">
                  <w:pPr>
                    <w:keepNext/>
                    <w:keepLines/>
                    <w:widowControl/>
                    <w:overflowPunct w:val="0"/>
                    <w:jc w:val="center"/>
                    <w:rPr>
                      <w:color w:val="auto"/>
                    </w:rPr>
                  </w:pPr>
                  <w:r>
                    <w:rPr>
                      <w:color w:val="auto"/>
                    </w:rPr>
                    <w:t>环境管理（机构、监测能力等）</w:t>
                  </w:r>
                </w:p>
              </w:tc>
              <w:tc>
                <w:tcPr>
                  <w:tcW w:w="7081" w:type="dxa"/>
                  <w:gridSpan w:val="5"/>
                  <w:tcBorders>
                    <w:tl2br w:val="nil"/>
                    <w:tr2bl w:val="nil"/>
                  </w:tcBorders>
                  <w:shd w:val="clear" w:color="auto" w:fill="auto"/>
                  <w:tcMar>
                    <w:left w:w="57" w:type="dxa"/>
                    <w:right w:w="57" w:type="dxa"/>
                  </w:tcMar>
                  <w:vAlign w:val="center"/>
                </w:tcPr>
                <w:p w14:paraId="1978AEBE">
                  <w:pPr>
                    <w:keepNext/>
                    <w:keepLines/>
                    <w:widowControl/>
                    <w:overflowPunct w:val="0"/>
                    <w:jc w:val="center"/>
                    <w:rPr>
                      <w:color w:val="auto"/>
                    </w:rPr>
                  </w:pPr>
                  <w:r>
                    <w:rPr>
                      <w:color w:val="auto"/>
                      <w:lang w:bidi="ar"/>
                    </w:rPr>
                    <w:t>设置专职人员，监测计划按照第四章要求进行</w:t>
                  </w:r>
                </w:p>
              </w:tc>
              <w:tc>
                <w:tcPr>
                  <w:tcW w:w="536" w:type="dxa"/>
                  <w:tcBorders>
                    <w:tl2br w:val="nil"/>
                    <w:tr2bl w:val="nil"/>
                  </w:tcBorders>
                  <w:shd w:val="clear" w:color="auto" w:fill="auto"/>
                  <w:tcMar>
                    <w:left w:w="57" w:type="dxa"/>
                    <w:right w:w="57" w:type="dxa"/>
                  </w:tcMar>
                  <w:vAlign w:val="center"/>
                </w:tcPr>
                <w:p w14:paraId="5A9C534A">
                  <w:pPr>
                    <w:keepNext/>
                    <w:keepLines/>
                    <w:widowControl/>
                    <w:overflowPunct w:val="0"/>
                    <w:jc w:val="center"/>
                    <w:rPr>
                      <w:color w:val="auto"/>
                      <w:lang w:bidi="ar"/>
                    </w:rPr>
                  </w:pPr>
                  <w:r>
                    <w:rPr>
                      <w:color w:val="auto"/>
                      <w:lang w:bidi="ar"/>
                    </w:rPr>
                    <w:t>/</w:t>
                  </w:r>
                </w:p>
              </w:tc>
              <w:tc>
                <w:tcPr>
                  <w:tcW w:w="800" w:type="dxa"/>
                  <w:tcBorders>
                    <w:tl2br w:val="nil"/>
                    <w:tr2bl w:val="nil"/>
                  </w:tcBorders>
                  <w:shd w:val="clear" w:color="auto" w:fill="auto"/>
                  <w:tcMar>
                    <w:left w:w="57" w:type="dxa"/>
                    <w:right w:w="57" w:type="dxa"/>
                  </w:tcMar>
                  <w:vAlign w:val="center"/>
                </w:tcPr>
                <w:p w14:paraId="376792E9">
                  <w:pPr>
                    <w:keepNext/>
                    <w:keepLines/>
                    <w:widowControl/>
                    <w:overflowPunct w:val="0"/>
                    <w:jc w:val="center"/>
                    <w:rPr>
                      <w:color w:val="auto"/>
                      <w:lang w:bidi="ar"/>
                    </w:rPr>
                  </w:pPr>
                  <w:r>
                    <w:rPr>
                      <w:color w:val="auto"/>
                      <w:lang w:bidi="ar"/>
                    </w:rPr>
                    <w:t>/</w:t>
                  </w:r>
                </w:p>
              </w:tc>
            </w:tr>
            <w:tr w14:paraId="5ECE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tcBorders>
                    <w:tl2br w:val="nil"/>
                    <w:tr2bl w:val="nil"/>
                  </w:tcBorders>
                  <w:shd w:val="clear" w:color="auto" w:fill="auto"/>
                  <w:tcMar>
                    <w:left w:w="57" w:type="dxa"/>
                    <w:right w:w="57" w:type="dxa"/>
                  </w:tcMar>
                  <w:vAlign w:val="center"/>
                </w:tcPr>
                <w:p w14:paraId="54B98264">
                  <w:pPr>
                    <w:keepNext/>
                    <w:keepLines/>
                    <w:widowControl/>
                    <w:overflowPunct w:val="0"/>
                    <w:jc w:val="center"/>
                    <w:rPr>
                      <w:color w:val="auto"/>
                    </w:rPr>
                  </w:pPr>
                  <w:r>
                    <w:rPr>
                      <w:color w:val="auto"/>
                    </w:rPr>
                    <w:t>请勿分流、排污口规范化设置</w:t>
                  </w:r>
                </w:p>
              </w:tc>
              <w:tc>
                <w:tcPr>
                  <w:tcW w:w="7081" w:type="dxa"/>
                  <w:gridSpan w:val="5"/>
                  <w:tcBorders>
                    <w:tl2br w:val="nil"/>
                    <w:tr2bl w:val="nil"/>
                  </w:tcBorders>
                  <w:shd w:val="clear" w:color="auto" w:fill="auto"/>
                  <w:tcMar>
                    <w:left w:w="57" w:type="dxa"/>
                    <w:right w:w="57" w:type="dxa"/>
                  </w:tcMar>
                  <w:vAlign w:val="center"/>
                </w:tcPr>
                <w:p w14:paraId="6A39CDF2">
                  <w:pPr>
                    <w:keepNext/>
                    <w:keepLines/>
                    <w:widowControl/>
                    <w:overflowPunct w:val="0"/>
                    <w:jc w:val="center"/>
                    <w:rPr>
                      <w:color w:val="auto"/>
                    </w:rPr>
                  </w:pPr>
                  <w:r>
                    <w:rPr>
                      <w:color w:val="auto"/>
                    </w:rPr>
                    <w:t>厂内实施雨污分流制、在废气排放口、废水接管处、噪声产生源、一般固废仓库、危废仓库悬挂满足规范要求的标识</w:t>
                  </w:r>
                </w:p>
              </w:tc>
              <w:tc>
                <w:tcPr>
                  <w:tcW w:w="536" w:type="dxa"/>
                  <w:tcBorders>
                    <w:tl2br w:val="nil"/>
                    <w:tr2bl w:val="nil"/>
                  </w:tcBorders>
                  <w:shd w:val="clear" w:color="auto" w:fill="auto"/>
                  <w:tcMar>
                    <w:left w:w="57" w:type="dxa"/>
                    <w:right w:w="57" w:type="dxa"/>
                  </w:tcMar>
                  <w:vAlign w:val="center"/>
                </w:tcPr>
                <w:p w14:paraId="304B1C7B">
                  <w:pPr>
                    <w:keepNext/>
                    <w:keepLines/>
                    <w:widowControl/>
                    <w:overflowPunct w:val="0"/>
                    <w:jc w:val="center"/>
                    <w:rPr>
                      <w:color w:val="auto"/>
                      <w:lang w:bidi="ar"/>
                    </w:rPr>
                  </w:pPr>
                  <w:r>
                    <w:rPr>
                      <w:color w:val="auto"/>
                      <w:lang w:bidi="ar"/>
                    </w:rPr>
                    <w:t>1</w:t>
                  </w:r>
                </w:p>
              </w:tc>
              <w:tc>
                <w:tcPr>
                  <w:tcW w:w="800" w:type="dxa"/>
                  <w:tcBorders>
                    <w:tl2br w:val="nil"/>
                    <w:tr2bl w:val="nil"/>
                  </w:tcBorders>
                  <w:shd w:val="clear" w:color="auto" w:fill="auto"/>
                  <w:tcMar>
                    <w:left w:w="57" w:type="dxa"/>
                    <w:right w:w="57" w:type="dxa"/>
                  </w:tcMar>
                  <w:vAlign w:val="center"/>
                </w:tcPr>
                <w:p w14:paraId="19BC068D">
                  <w:pPr>
                    <w:keepNext/>
                    <w:keepLines/>
                    <w:widowControl/>
                    <w:overflowPunct w:val="0"/>
                    <w:jc w:val="center"/>
                    <w:rPr>
                      <w:color w:val="auto"/>
                      <w:lang w:bidi="ar"/>
                    </w:rPr>
                  </w:pPr>
                  <w:r>
                    <w:rPr>
                      <w:color w:val="auto"/>
                      <w:lang w:bidi="ar"/>
                    </w:rPr>
                    <w:t>/</w:t>
                  </w:r>
                </w:p>
              </w:tc>
            </w:tr>
            <w:tr w14:paraId="7F65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tcBorders>
                    <w:tl2br w:val="nil"/>
                    <w:tr2bl w:val="nil"/>
                  </w:tcBorders>
                  <w:shd w:val="clear" w:color="auto" w:fill="auto"/>
                  <w:tcMar>
                    <w:left w:w="57" w:type="dxa"/>
                    <w:right w:w="57" w:type="dxa"/>
                  </w:tcMar>
                  <w:vAlign w:val="center"/>
                </w:tcPr>
                <w:p w14:paraId="5C6902F1">
                  <w:pPr>
                    <w:keepNext/>
                    <w:keepLines/>
                    <w:widowControl/>
                    <w:overflowPunct w:val="0"/>
                    <w:jc w:val="center"/>
                    <w:rPr>
                      <w:color w:val="auto"/>
                    </w:rPr>
                  </w:pPr>
                  <w:r>
                    <w:rPr>
                      <w:color w:val="auto"/>
                    </w:rPr>
                    <w:t>“以新带老”措施</w:t>
                  </w:r>
                </w:p>
              </w:tc>
              <w:tc>
                <w:tcPr>
                  <w:tcW w:w="7081" w:type="dxa"/>
                  <w:gridSpan w:val="5"/>
                  <w:tcBorders>
                    <w:tl2br w:val="nil"/>
                    <w:tr2bl w:val="nil"/>
                  </w:tcBorders>
                  <w:shd w:val="clear" w:color="auto" w:fill="auto"/>
                  <w:tcMar>
                    <w:left w:w="57" w:type="dxa"/>
                    <w:right w:w="57" w:type="dxa"/>
                  </w:tcMar>
                  <w:vAlign w:val="center"/>
                </w:tcPr>
                <w:p w14:paraId="15EAD2A9">
                  <w:pPr>
                    <w:keepNext/>
                    <w:keepLines/>
                    <w:widowControl/>
                    <w:overflowPunct w:val="0"/>
                    <w:ind w:firstLine="420"/>
                    <w:jc w:val="center"/>
                    <w:rPr>
                      <w:color w:val="auto"/>
                    </w:rPr>
                  </w:pPr>
                  <w:r>
                    <w:rPr>
                      <w:color w:val="auto"/>
                    </w:rPr>
                    <w:t>/</w:t>
                  </w:r>
                </w:p>
              </w:tc>
              <w:tc>
                <w:tcPr>
                  <w:tcW w:w="536" w:type="dxa"/>
                  <w:tcBorders>
                    <w:tl2br w:val="nil"/>
                    <w:tr2bl w:val="nil"/>
                  </w:tcBorders>
                  <w:shd w:val="clear" w:color="auto" w:fill="auto"/>
                  <w:tcMar>
                    <w:left w:w="57" w:type="dxa"/>
                    <w:right w:w="57" w:type="dxa"/>
                  </w:tcMar>
                  <w:vAlign w:val="center"/>
                </w:tcPr>
                <w:p w14:paraId="78ABC5CA">
                  <w:pPr>
                    <w:keepNext/>
                    <w:keepLines/>
                    <w:widowControl/>
                    <w:overflowPunct w:val="0"/>
                    <w:jc w:val="center"/>
                    <w:rPr>
                      <w:color w:val="auto"/>
                      <w:lang w:bidi="ar"/>
                    </w:rPr>
                  </w:pPr>
                  <w:r>
                    <w:rPr>
                      <w:color w:val="auto"/>
                      <w:lang w:bidi="ar"/>
                    </w:rPr>
                    <w:t>/</w:t>
                  </w:r>
                </w:p>
              </w:tc>
              <w:tc>
                <w:tcPr>
                  <w:tcW w:w="800" w:type="dxa"/>
                  <w:tcBorders>
                    <w:tl2br w:val="nil"/>
                    <w:tr2bl w:val="nil"/>
                  </w:tcBorders>
                  <w:shd w:val="clear" w:color="auto" w:fill="auto"/>
                  <w:tcMar>
                    <w:left w:w="57" w:type="dxa"/>
                    <w:right w:w="57" w:type="dxa"/>
                  </w:tcMar>
                  <w:vAlign w:val="center"/>
                </w:tcPr>
                <w:p w14:paraId="11D61890">
                  <w:pPr>
                    <w:keepNext/>
                    <w:keepLines/>
                    <w:widowControl/>
                    <w:overflowPunct w:val="0"/>
                    <w:jc w:val="center"/>
                    <w:rPr>
                      <w:color w:val="auto"/>
                      <w:lang w:bidi="ar"/>
                    </w:rPr>
                  </w:pPr>
                  <w:r>
                    <w:rPr>
                      <w:color w:val="auto"/>
                      <w:lang w:bidi="ar"/>
                    </w:rPr>
                    <w:t>/</w:t>
                  </w:r>
                </w:p>
              </w:tc>
            </w:tr>
            <w:tr w14:paraId="754C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tcBorders>
                    <w:tl2br w:val="nil"/>
                    <w:tr2bl w:val="nil"/>
                  </w:tcBorders>
                  <w:shd w:val="clear" w:color="auto" w:fill="auto"/>
                  <w:tcMar>
                    <w:left w:w="57" w:type="dxa"/>
                    <w:right w:w="57" w:type="dxa"/>
                  </w:tcMar>
                  <w:vAlign w:val="center"/>
                </w:tcPr>
                <w:p w14:paraId="7576A1BF">
                  <w:pPr>
                    <w:keepNext/>
                    <w:keepLines/>
                    <w:widowControl/>
                    <w:overflowPunct w:val="0"/>
                    <w:jc w:val="center"/>
                    <w:rPr>
                      <w:color w:val="auto"/>
                    </w:rPr>
                  </w:pPr>
                  <w:r>
                    <w:rPr>
                      <w:color w:val="auto"/>
                    </w:rPr>
                    <w:t>总量平衡方案</w:t>
                  </w:r>
                </w:p>
              </w:tc>
              <w:tc>
                <w:tcPr>
                  <w:tcW w:w="7081" w:type="dxa"/>
                  <w:gridSpan w:val="5"/>
                  <w:tcBorders>
                    <w:tl2br w:val="nil"/>
                    <w:tr2bl w:val="nil"/>
                  </w:tcBorders>
                  <w:shd w:val="clear" w:color="auto" w:fill="auto"/>
                  <w:tcMar>
                    <w:left w:w="57" w:type="dxa"/>
                    <w:right w:w="57" w:type="dxa"/>
                  </w:tcMar>
                  <w:vAlign w:val="center"/>
                </w:tcPr>
                <w:p w14:paraId="4F2C3C44">
                  <w:pPr>
                    <w:keepNext/>
                    <w:keepLines/>
                    <w:widowControl/>
                    <w:overflowPunct w:val="0"/>
                    <w:jc w:val="center"/>
                    <w:rPr>
                      <w:color w:val="auto"/>
                    </w:rPr>
                  </w:pPr>
                  <w:r>
                    <w:rPr>
                      <w:color w:val="auto"/>
                      <w:lang w:bidi="ar"/>
                    </w:rPr>
                    <w:t>大气污染物排放总量在</w:t>
                  </w:r>
                  <w:r>
                    <w:rPr>
                      <w:rFonts w:hint="eastAsia"/>
                      <w:color w:val="auto"/>
                      <w:lang w:bidi="ar"/>
                    </w:rPr>
                    <w:t>金坛</w:t>
                  </w:r>
                  <w:r>
                    <w:rPr>
                      <w:color w:val="auto"/>
                      <w:lang w:bidi="ar"/>
                    </w:rPr>
                    <w:t>平衡</w:t>
                  </w:r>
                  <w:r>
                    <w:rPr>
                      <w:color w:val="auto"/>
                    </w:rPr>
                    <w:t>；水污染物总量</w:t>
                  </w:r>
                  <w:r>
                    <w:rPr>
                      <w:rFonts w:hint="eastAsia"/>
                      <w:color w:val="auto"/>
                      <w:lang w:eastAsia="zh-CN"/>
                    </w:rPr>
                    <w:t>常州市金坛区溪城污水处理有限公司直溪污水处理厂</w:t>
                  </w:r>
                  <w:r>
                    <w:rPr>
                      <w:color w:val="auto"/>
                    </w:rPr>
                    <w:t>内平衡</w:t>
                  </w:r>
                </w:p>
              </w:tc>
              <w:tc>
                <w:tcPr>
                  <w:tcW w:w="536" w:type="dxa"/>
                  <w:tcBorders>
                    <w:tl2br w:val="nil"/>
                    <w:tr2bl w:val="nil"/>
                  </w:tcBorders>
                  <w:shd w:val="clear" w:color="auto" w:fill="auto"/>
                  <w:tcMar>
                    <w:left w:w="57" w:type="dxa"/>
                    <w:right w:w="57" w:type="dxa"/>
                  </w:tcMar>
                  <w:vAlign w:val="center"/>
                </w:tcPr>
                <w:p w14:paraId="55E08466">
                  <w:pPr>
                    <w:keepNext/>
                    <w:keepLines/>
                    <w:widowControl/>
                    <w:overflowPunct w:val="0"/>
                    <w:jc w:val="center"/>
                    <w:rPr>
                      <w:color w:val="auto"/>
                      <w:lang w:bidi="ar"/>
                    </w:rPr>
                  </w:pPr>
                  <w:r>
                    <w:rPr>
                      <w:color w:val="auto"/>
                      <w:lang w:bidi="ar"/>
                    </w:rPr>
                    <w:t>/</w:t>
                  </w:r>
                </w:p>
              </w:tc>
              <w:tc>
                <w:tcPr>
                  <w:tcW w:w="800" w:type="dxa"/>
                  <w:tcBorders>
                    <w:tl2br w:val="nil"/>
                    <w:tr2bl w:val="nil"/>
                  </w:tcBorders>
                  <w:shd w:val="clear" w:color="auto" w:fill="auto"/>
                  <w:tcMar>
                    <w:left w:w="57" w:type="dxa"/>
                    <w:right w:w="57" w:type="dxa"/>
                  </w:tcMar>
                  <w:vAlign w:val="center"/>
                </w:tcPr>
                <w:p w14:paraId="02BC21CC">
                  <w:pPr>
                    <w:keepNext/>
                    <w:keepLines/>
                    <w:widowControl/>
                    <w:overflowPunct w:val="0"/>
                    <w:jc w:val="center"/>
                    <w:rPr>
                      <w:color w:val="auto"/>
                      <w:lang w:bidi="ar"/>
                    </w:rPr>
                  </w:pPr>
                  <w:r>
                    <w:rPr>
                      <w:color w:val="auto"/>
                      <w:lang w:bidi="ar"/>
                    </w:rPr>
                    <w:t>/</w:t>
                  </w:r>
                </w:p>
              </w:tc>
            </w:tr>
            <w:tr w14:paraId="16D5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tcBorders>
                    <w:tl2br w:val="nil"/>
                    <w:tr2bl w:val="nil"/>
                  </w:tcBorders>
                  <w:shd w:val="clear" w:color="auto" w:fill="auto"/>
                  <w:tcMar>
                    <w:left w:w="57" w:type="dxa"/>
                    <w:right w:w="57" w:type="dxa"/>
                  </w:tcMar>
                  <w:vAlign w:val="center"/>
                </w:tcPr>
                <w:p w14:paraId="04BD3993">
                  <w:pPr>
                    <w:keepNext/>
                    <w:keepLines/>
                    <w:widowControl/>
                    <w:overflowPunct w:val="0"/>
                    <w:jc w:val="center"/>
                    <w:rPr>
                      <w:color w:val="auto"/>
                    </w:rPr>
                  </w:pPr>
                  <w:r>
                    <w:rPr>
                      <w:color w:val="auto"/>
                    </w:rPr>
                    <w:t>区域解决问题</w:t>
                  </w:r>
                </w:p>
              </w:tc>
              <w:tc>
                <w:tcPr>
                  <w:tcW w:w="7081" w:type="dxa"/>
                  <w:gridSpan w:val="5"/>
                  <w:tcBorders>
                    <w:tl2br w:val="nil"/>
                    <w:tr2bl w:val="nil"/>
                  </w:tcBorders>
                  <w:shd w:val="clear" w:color="auto" w:fill="auto"/>
                  <w:tcMar>
                    <w:left w:w="57" w:type="dxa"/>
                    <w:right w:w="57" w:type="dxa"/>
                  </w:tcMar>
                  <w:vAlign w:val="center"/>
                </w:tcPr>
                <w:p w14:paraId="0AC298C4">
                  <w:pPr>
                    <w:keepNext/>
                    <w:keepLines/>
                    <w:widowControl/>
                    <w:overflowPunct w:val="0"/>
                    <w:jc w:val="center"/>
                    <w:rPr>
                      <w:color w:val="auto"/>
                    </w:rPr>
                  </w:pPr>
                  <w:r>
                    <w:rPr>
                      <w:color w:val="auto"/>
                    </w:rPr>
                    <w:t>/</w:t>
                  </w:r>
                </w:p>
              </w:tc>
              <w:tc>
                <w:tcPr>
                  <w:tcW w:w="536" w:type="dxa"/>
                  <w:tcBorders>
                    <w:tl2br w:val="nil"/>
                    <w:tr2bl w:val="nil"/>
                  </w:tcBorders>
                  <w:shd w:val="clear" w:color="auto" w:fill="auto"/>
                  <w:tcMar>
                    <w:left w:w="57" w:type="dxa"/>
                    <w:right w:w="57" w:type="dxa"/>
                  </w:tcMar>
                  <w:vAlign w:val="center"/>
                </w:tcPr>
                <w:p w14:paraId="37434B01">
                  <w:pPr>
                    <w:keepNext/>
                    <w:keepLines/>
                    <w:widowControl/>
                    <w:overflowPunct w:val="0"/>
                    <w:jc w:val="center"/>
                    <w:rPr>
                      <w:color w:val="auto"/>
                      <w:lang w:bidi="ar"/>
                    </w:rPr>
                  </w:pPr>
                  <w:r>
                    <w:rPr>
                      <w:color w:val="auto"/>
                      <w:lang w:bidi="ar"/>
                    </w:rPr>
                    <w:t>/</w:t>
                  </w:r>
                </w:p>
              </w:tc>
              <w:tc>
                <w:tcPr>
                  <w:tcW w:w="800" w:type="dxa"/>
                  <w:tcBorders>
                    <w:tl2br w:val="nil"/>
                    <w:tr2bl w:val="nil"/>
                  </w:tcBorders>
                  <w:shd w:val="clear" w:color="auto" w:fill="auto"/>
                  <w:tcMar>
                    <w:left w:w="57" w:type="dxa"/>
                    <w:right w:w="57" w:type="dxa"/>
                  </w:tcMar>
                  <w:vAlign w:val="center"/>
                </w:tcPr>
                <w:p w14:paraId="4986E541">
                  <w:pPr>
                    <w:keepNext/>
                    <w:keepLines/>
                    <w:widowControl/>
                    <w:overflowPunct w:val="0"/>
                    <w:jc w:val="center"/>
                    <w:rPr>
                      <w:color w:val="auto"/>
                      <w:lang w:bidi="ar"/>
                    </w:rPr>
                  </w:pPr>
                  <w:r>
                    <w:rPr>
                      <w:color w:val="auto"/>
                      <w:lang w:bidi="ar"/>
                    </w:rPr>
                    <w:t>/</w:t>
                  </w:r>
                </w:p>
              </w:tc>
            </w:tr>
            <w:tr w14:paraId="00B2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tcBorders>
                    <w:tl2br w:val="nil"/>
                    <w:tr2bl w:val="nil"/>
                  </w:tcBorders>
                  <w:shd w:val="clear" w:color="auto" w:fill="auto"/>
                  <w:tcMar>
                    <w:left w:w="57" w:type="dxa"/>
                    <w:right w:w="57" w:type="dxa"/>
                  </w:tcMar>
                  <w:vAlign w:val="center"/>
                </w:tcPr>
                <w:p w14:paraId="1AE3B331">
                  <w:pPr>
                    <w:keepNext/>
                    <w:keepLines/>
                    <w:widowControl/>
                    <w:overflowPunct w:val="0"/>
                    <w:jc w:val="center"/>
                    <w:rPr>
                      <w:color w:val="auto"/>
                    </w:rPr>
                  </w:pPr>
                  <w:r>
                    <w:rPr>
                      <w:color w:val="auto"/>
                    </w:rPr>
                    <w:t>卫生防护距离</w:t>
                  </w:r>
                </w:p>
              </w:tc>
              <w:tc>
                <w:tcPr>
                  <w:tcW w:w="7081" w:type="dxa"/>
                  <w:gridSpan w:val="5"/>
                  <w:tcBorders>
                    <w:tl2br w:val="nil"/>
                    <w:tr2bl w:val="nil"/>
                  </w:tcBorders>
                  <w:shd w:val="clear" w:color="auto" w:fill="auto"/>
                  <w:tcMar>
                    <w:left w:w="57" w:type="dxa"/>
                    <w:right w:w="57" w:type="dxa"/>
                  </w:tcMar>
                  <w:vAlign w:val="center"/>
                </w:tcPr>
                <w:p w14:paraId="7BE03CE8">
                  <w:pPr>
                    <w:keepNext/>
                    <w:keepLines/>
                    <w:widowControl/>
                    <w:overflowPunct w:val="0"/>
                    <w:jc w:val="center"/>
                    <w:rPr>
                      <w:color w:val="auto"/>
                    </w:rPr>
                  </w:pPr>
                  <w:r>
                    <w:rPr>
                      <w:color w:val="auto"/>
                    </w:rPr>
                    <w:t>以生产车间为起点向外设置</w:t>
                  </w:r>
                  <w:r>
                    <w:rPr>
                      <w:rFonts w:hint="eastAsia"/>
                      <w:color w:val="auto"/>
                      <w:lang w:val="en-US" w:eastAsia="zh-CN"/>
                    </w:rPr>
                    <w:t>10</w:t>
                  </w:r>
                  <w:r>
                    <w:rPr>
                      <w:rFonts w:hint="eastAsia"/>
                      <w:color w:val="auto"/>
                    </w:rPr>
                    <w:t>0</w:t>
                  </w:r>
                  <w:r>
                    <w:rPr>
                      <w:color w:val="auto"/>
                    </w:rPr>
                    <w:t>米卫生防护距离，该范围内无环境敏感目标</w:t>
                  </w:r>
                </w:p>
              </w:tc>
              <w:tc>
                <w:tcPr>
                  <w:tcW w:w="536" w:type="dxa"/>
                  <w:tcBorders>
                    <w:tl2br w:val="nil"/>
                    <w:tr2bl w:val="nil"/>
                  </w:tcBorders>
                  <w:shd w:val="clear" w:color="auto" w:fill="auto"/>
                  <w:tcMar>
                    <w:left w:w="57" w:type="dxa"/>
                    <w:right w:w="57" w:type="dxa"/>
                  </w:tcMar>
                  <w:vAlign w:val="center"/>
                </w:tcPr>
                <w:p w14:paraId="2DC798F2">
                  <w:pPr>
                    <w:keepNext/>
                    <w:keepLines/>
                    <w:widowControl/>
                    <w:overflowPunct w:val="0"/>
                    <w:jc w:val="center"/>
                    <w:rPr>
                      <w:color w:val="auto"/>
                      <w:lang w:bidi="ar"/>
                    </w:rPr>
                  </w:pPr>
                  <w:r>
                    <w:rPr>
                      <w:color w:val="auto"/>
                      <w:lang w:bidi="ar"/>
                    </w:rPr>
                    <w:t>/</w:t>
                  </w:r>
                </w:p>
              </w:tc>
              <w:tc>
                <w:tcPr>
                  <w:tcW w:w="800" w:type="dxa"/>
                  <w:tcBorders>
                    <w:tl2br w:val="nil"/>
                    <w:tr2bl w:val="nil"/>
                  </w:tcBorders>
                  <w:shd w:val="clear" w:color="auto" w:fill="auto"/>
                  <w:tcMar>
                    <w:left w:w="57" w:type="dxa"/>
                    <w:right w:w="57" w:type="dxa"/>
                  </w:tcMar>
                  <w:vAlign w:val="center"/>
                </w:tcPr>
                <w:p w14:paraId="37DB78EB">
                  <w:pPr>
                    <w:keepNext/>
                    <w:keepLines/>
                    <w:widowControl/>
                    <w:overflowPunct w:val="0"/>
                    <w:jc w:val="center"/>
                    <w:rPr>
                      <w:color w:val="auto"/>
                      <w:lang w:bidi="ar"/>
                    </w:rPr>
                  </w:pPr>
                  <w:r>
                    <w:rPr>
                      <w:color w:val="auto"/>
                      <w:lang w:bidi="ar"/>
                    </w:rPr>
                    <w:t>/</w:t>
                  </w:r>
                </w:p>
              </w:tc>
            </w:tr>
            <w:tr w14:paraId="5A34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54" w:type="dxa"/>
                  <w:tcBorders>
                    <w:tl2br w:val="nil"/>
                    <w:tr2bl w:val="nil"/>
                  </w:tcBorders>
                  <w:shd w:val="clear" w:color="auto" w:fill="auto"/>
                  <w:tcMar>
                    <w:left w:w="57" w:type="dxa"/>
                    <w:right w:w="57" w:type="dxa"/>
                  </w:tcMar>
                  <w:vAlign w:val="center"/>
                </w:tcPr>
                <w:p w14:paraId="662746FF">
                  <w:pPr>
                    <w:keepNext/>
                    <w:keepLines/>
                    <w:widowControl/>
                    <w:overflowPunct w:val="0"/>
                    <w:jc w:val="center"/>
                    <w:rPr>
                      <w:color w:val="auto"/>
                    </w:rPr>
                  </w:pPr>
                  <w:r>
                    <w:rPr>
                      <w:color w:val="auto"/>
                    </w:rPr>
                    <w:t>合计</w:t>
                  </w:r>
                </w:p>
              </w:tc>
              <w:tc>
                <w:tcPr>
                  <w:tcW w:w="7081" w:type="dxa"/>
                  <w:gridSpan w:val="5"/>
                  <w:tcBorders>
                    <w:tl2br w:val="nil"/>
                    <w:tr2bl w:val="nil"/>
                  </w:tcBorders>
                  <w:shd w:val="clear" w:color="auto" w:fill="auto"/>
                  <w:tcMar>
                    <w:left w:w="57" w:type="dxa"/>
                    <w:right w:w="57" w:type="dxa"/>
                  </w:tcMar>
                  <w:vAlign w:val="center"/>
                </w:tcPr>
                <w:p w14:paraId="2C68A55C">
                  <w:pPr>
                    <w:keepNext/>
                    <w:keepLines/>
                    <w:widowControl/>
                    <w:overflowPunct w:val="0"/>
                    <w:ind w:firstLine="420"/>
                    <w:jc w:val="center"/>
                    <w:rPr>
                      <w:color w:val="auto"/>
                    </w:rPr>
                  </w:pPr>
                  <w:r>
                    <w:rPr>
                      <w:color w:val="auto"/>
                    </w:rPr>
                    <w:t>/</w:t>
                  </w:r>
                </w:p>
              </w:tc>
              <w:tc>
                <w:tcPr>
                  <w:tcW w:w="536" w:type="dxa"/>
                  <w:tcBorders>
                    <w:tl2br w:val="nil"/>
                    <w:tr2bl w:val="nil"/>
                  </w:tcBorders>
                  <w:shd w:val="clear" w:color="auto" w:fill="auto"/>
                  <w:tcMar>
                    <w:left w:w="57" w:type="dxa"/>
                    <w:right w:w="57" w:type="dxa"/>
                  </w:tcMar>
                  <w:vAlign w:val="center"/>
                </w:tcPr>
                <w:p w14:paraId="2E37BE07">
                  <w:pPr>
                    <w:keepNext/>
                    <w:keepLines/>
                    <w:widowControl/>
                    <w:overflowPunct w:val="0"/>
                    <w:jc w:val="center"/>
                    <w:rPr>
                      <w:color w:val="auto"/>
                      <w:lang w:bidi="ar"/>
                    </w:rPr>
                  </w:pPr>
                  <w:r>
                    <w:rPr>
                      <w:rFonts w:hint="eastAsia"/>
                      <w:color w:val="auto"/>
                      <w:lang w:bidi="ar"/>
                    </w:rPr>
                    <w:t>115</w:t>
                  </w:r>
                </w:p>
              </w:tc>
              <w:tc>
                <w:tcPr>
                  <w:tcW w:w="800" w:type="dxa"/>
                  <w:tcBorders>
                    <w:tl2br w:val="nil"/>
                    <w:tr2bl w:val="nil"/>
                  </w:tcBorders>
                  <w:shd w:val="clear" w:color="auto" w:fill="auto"/>
                  <w:tcMar>
                    <w:left w:w="57" w:type="dxa"/>
                    <w:right w:w="57" w:type="dxa"/>
                  </w:tcMar>
                  <w:vAlign w:val="center"/>
                </w:tcPr>
                <w:p w14:paraId="70E745E4">
                  <w:pPr>
                    <w:keepNext/>
                    <w:keepLines/>
                    <w:widowControl/>
                    <w:overflowPunct w:val="0"/>
                    <w:jc w:val="center"/>
                    <w:rPr>
                      <w:color w:val="auto"/>
                      <w:lang w:bidi="ar"/>
                    </w:rPr>
                  </w:pPr>
                  <w:r>
                    <w:rPr>
                      <w:color w:val="auto"/>
                      <w:lang w:bidi="ar"/>
                    </w:rPr>
                    <w:t>/</w:t>
                  </w:r>
                </w:p>
              </w:tc>
            </w:tr>
          </w:tbl>
          <w:p w14:paraId="06875ABA">
            <w:pPr>
              <w:pStyle w:val="11"/>
              <w:numPr>
                <w:ilvl w:val="0"/>
                <w:numId w:val="0"/>
              </w:numPr>
              <w:spacing w:line="360" w:lineRule="auto"/>
              <w:rPr>
                <w:color w:val="auto"/>
              </w:rPr>
            </w:pPr>
          </w:p>
        </w:tc>
      </w:tr>
    </w:tbl>
    <w:p w14:paraId="511357A6">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C88AB0F">
      <w:pPr>
        <w:pStyle w:val="3"/>
        <w:jc w:val="center"/>
        <w:rPr>
          <w:b/>
          <w:bCs/>
          <w:color w:val="auto"/>
        </w:rPr>
      </w:pPr>
      <w:r>
        <w:rPr>
          <w:rFonts w:hint="eastAsia"/>
          <w:b/>
          <w:bCs/>
          <w:color w:val="auto"/>
        </w:rPr>
        <w:t>五、环境保护措施监督检查清单</w:t>
      </w:r>
    </w:p>
    <w:tbl>
      <w:tblPr>
        <w:tblStyle w:val="2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46"/>
        <w:gridCol w:w="9"/>
        <w:gridCol w:w="1755"/>
        <w:gridCol w:w="51"/>
        <w:gridCol w:w="1600"/>
        <w:gridCol w:w="1861"/>
      </w:tblGrid>
      <w:tr w14:paraId="249CC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1BF7F196">
            <w:pPr>
              <w:adjustRightInd w:val="0"/>
              <w:ind w:firstLine="840"/>
              <w:rPr>
                <w:color w:val="auto"/>
              </w:rPr>
            </w:pPr>
            <w:r>
              <w:rPr>
                <w:color w:val="auto"/>
              </w:rPr>
              <w:t>内容</w:t>
            </w:r>
          </w:p>
          <w:p w14:paraId="73314F32">
            <w:pPr>
              <w:adjustRightInd w:val="0"/>
              <w:rPr>
                <w:color w:val="auto"/>
              </w:rPr>
            </w:pPr>
            <w:r>
              <w:rPr>
                <w:color w:val="auto"/>
              </w:rPr>
              <w:t>要素</w:t>
            </w:r>
          </w:p>
        </w:tc>
        <w:tc>
          <w:tcPr>
            <w:tcW w:w="1755" w:type="dxa"/>
            <w:gridSpan w:val="2"/>
            <w:vAlign w:val="center"/>
          </w:tcPr>
          <w:p w14:paraId="00316AF4">
            <w:pPr>
              <w:adjustRightInd w:val="0"/>
              <w:jc w:val="center"/>
              <w:rPr>
                <w:color w:val="auto"/>
              </w:rPr>
            </w:pPr>
            <w:r>
              <w:rPr>
                <w:color w:val="auto"/>
              </w:rPr>
              <w:t>排放口(编号、</w:t>
            </w:r>
          </w:p>
          <w:p w14:paraId="5B2FAD1C">
            <w:pPr>
              <w:adjustRightInd w:val="0"/>
              <w:jc w:val="center"/>
              <w:rPr>
                <w:color w:val="auto"/>
              </w:rPr>
            </w:pPr>
            <w:r>
              <w:rPr>
                <w:color w:val="auto"/>
              </w:rPr>
              <w:t>名称)/污染源</w:t>
            </w:r>
          </w:p>
        </w:tc>
        <w:tc>
          <w:tcPr>
            <w:tcW w:w="1755" w:type="dxa"/>
            <w:vAlign w:val="center"/>
          </w:tcPr>
          <w:p w14:paraId="2FF1BFE1">
            <w:pPr>
              <w:adjustRightInd w:val="0"/>
              <w:jc w:val="center"/>
              <w:rPr>
                <w:color w:val="auto"/>
              </w:rPr>
            </w:pPr>
            <w:r>
              <w:rPr>
                <w:color w:val="auto"/>
              </w:rPr>
              <w:t>污染物项目</w:t>
            </w:r>
          </w:p>
        </w:tc>
        <w:tc>
          <w:tcPr>
            <w:tcW w:w="1651" w:type="dxa"/>
            <w:gridSpan w:val="2"/>
            <w:vAlign w:val="center"/>
          </w:tcPr>
          <w:p w14:paraId="6C57250C">
            <w:pPr>
              <w:adjustRightInd w:val="0"/>
              <w:jc w:val="center"/>
              <w:rPr>
                <w:color w:val="auto"/>
              </w:rPr>
            </w:pPr>
            <w:r>
              <w:rPr>
                <w:color w:val="auto"/>
              </w:rPr>
              <w:t>环境保护措施</w:t>
            </w:r>
          </w:p>
        </w:tc>
        <w:tc>
          <w:tcPr>
            <w:tcW w:w="1861" w:type="dxa"/>
            <w:vAlign w:val="center"/>
          </w:tcPr>
          <w:p w14:paraId="66D4B83C">
            <w:pPr>
              <w:adjustRightInd w:val="0"/>
              <w:jc w:val="center"/>
              <w:rPr>
                <w:color w:val="auto"/>
              </w:rPr>
            </w:pPr>
            <w:r>
              <w:rPr>
                <w:color w:val="auto"/>
              </w:rPr>
              <w:t>执行标准</w:t>
            </w:r>
          </w:p>
        </w:tc>
      </w:tr>
      <w:tr w14:paraId="44E83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78" w:type="dxa"/>
            <w:vMerge w:val="restart"/>
            <w:vAlign w:val="center"/>
          </w:tcPr>
          <w:p w14:paraId="71E940E2">
            <w:pPr>
              <w:adjustRightInd w:val="0"/>
              <w:jc w:val="center"/>
              <w:rPr>
                <w:color w:val="auto"/>
              </w:rPr>
            </w:pPr>
            <w:r>
              <w:rPr>
                <w:color w:val="auto"/>
              </w:rPr>
              <w:t>大气环境</w:t>
            </w:r>
          </w:p>
        </w:tc>
        <w:tc>
          <w:tcPr>
            <w:tcW w:w="1755" w:type="dxa"/>
            <w:gridSpan w:val="2"/>
            <w:vAlign w:val="center"/>
          </w:tcPr>
          <w:p w14:paraId="077D8B60">
            <w:pPr>
              <w:spacing w:line="0" w:lineRule="atLeast"/>
              <w:jc w:val="center"/>
              <w:rPr>
                <w:color w:val="auto"/>
              </w:rPr>
            </w:pPr>
            <w:r>
              <w:rPr>
                <w:rFonts w:hint="eastAsia"/>
                <w:color w:val="auto"/>
              </w:rPr>
              <w:t>FQ-1</w:t>
            </w:r>
          </w:p>
        </w:tc>
        <w:tc>
          <w:tcPr>
            <w:tcW w:w="1755" w:type="dxa"/>
            <w:vAlign w:val="center"/>
          </w:tcPr>
          <w:p w14:paraId="3D284C7F">
            <w:pPr>
              <w:pStyle w:val="11"/>
              <w:numPr>
                <w:ilvl w:val="0"/>
                <w:numId w:val="0"/>
              </w:numPr>
              <w:jc w:val="center"/>
              <w:rPr>
                <w:color w:val="auto"/>
              </w:rPr>
            </w:pPr>
            <w:r>
              <w:rPr>
                <w:rFonts w:hint="eastAsia"/>
                <w:color w:val="auto"/>
              </w:rPr>
              <w:t>非甲烷总烃</w:t>
            </w:r>
          </w:p>
        </w:tc>
        <w:tc>
          <w:tcPr>
            <w:tcW w:w="1651" w:type="dxa"/>
            <w:gridSpan w:val="2"/>
            <w:vAlign w:val="center"/>
          </w:tcPr>
          <w:p w14:paraId="02CC972D">
            <w:pPr>
              <w:spacing w:line="0" w:lineRule="atLeast"/>
              <w:jc w:val="center"/>
              <w:rPr>
                <w:bCs/>
                <w:color w:val="auto"/>
              </w:rPr>
            </w:pPr>
            <w:r>
              <w:rPr>
                <w:rFonts w:hint="eastAsia"/>
                <w:bCs/>
                <w:color w:val="auto"/>
              </w:rPr>
              <w:t>二级活性炭吸附+1根</w:t>
            </w:r>
            <w:r>
              <w:rPr>
                <w:rFonts w:hint="eastAsia"/>
                <w:color w:val="auto"/>
              </w:rPr>
              <w:t>15m高排气筒（FQ-1）</w:t>
            </w:r>
          </w:p>
        </w:tc>
        <w:tc>
          <w:tcPr>
            <w:tcW w:w="1861" w:type="dxa"/>
            <w:vMerge w:val="restart"/>
            <w:vAlign w:val="center"/>
          </w:tcPr>
          <w:p w14:paraId="361E9128">
            <w:pPr>
              <w:spacing w:line="0" w:lineRule="atLeast"/>
              <w:jc w:val="center"/>
              <w:rPr>
                <w:bCs/>
                <w:color w:val="auto"/>
              </w:rPr>
            </w:pPr>
            <w:r>
              <w:rPr>
                <w:rFonts w:hint="eastAsia"/>
                <w:bCs/>
                <w:color w:val="auto"/>
              </w:rPr>
              <w:t>《大气污染物综合排放标准》（DB32/4041-2021）表1标准</w:t>
            </w:r>
          </w:p>
        </w:tc>
      </w:tr>
      <w:tr w14:paraId="529C0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continue"/>
            <w:vAlign w:val="center"/>
          </w:tcPr>
          <w:p w14:paraId="03A596B9">
            <w:pPr>
              <w:adjustRightInd w:val="0"/>
              <w:jc w:val="center"/>
              <w:rPr>
                <w:color w:val="auto"/>
              </w:rPr>
            </w:pPr>
          </w:p>
        </w:tc>
        <w:tc>
          <w:tcPr>
            <w:tcW w:w="1755" w:type="dxa"/>
            <w:gridSpan w:val="2"/>
            <w:vAlign w:val="center"/>
          </w:tcPr>
          <w:p w14:paraId="76E1E119">
            <w:pPr>
              <w:spacing w:line="0" w:lineRule="atLeast"/>
              <w:jc w:val="center"/>
              <w:rPr>
                <w:bCs/>
                <w:color w:val="auto"/>
              </w:rPr>
            </w:pPr>
            <w:r>
              <w:rPr>
                <w:rFonts w:hint="eastAsia"/>
                <w:color w:val="auto"/>
              </w:rPr>
              <w:t>FQ-3</w:t>
            </w:r>
          </w:p>
        </w:tc>
        <w:tc>
          <w:tcPr>
            <w:tcW w:w="1755" w:type="dxa"/>
            <w:vAlign w:val="center"/>
          </w:tcPr>
          <w:p w14:paraId="1BEDBDBA">
            <w:pPr>
              <w:pStyle w:val="11"/>
              <w:numPr>
                <w:ilvl w:val="0"/>
                <w:numId w:val="0"/>
              </w:numPr>
              <w:jc w:val="center"/>
              <w:rPr>
                <w:color w:val="auto"/>
              </w:rPr>
            </w:pPr>
            <w:r>
              <w:rPr>
                <w:rFonts w:hint="eastAsia"/>
                <w:color w:val="auto"/>
              </w:rPr>
              <w:t>颗粒物</w:t>
            </w:r>
          </w:p>
        </w:tc>
        <w:tc>
          <w:tcPr>
            <w:tcW w:w="1651" w:type="dxa"/>
            <w:gridSpan w:val="2"/>
            <w:vAlign w:val="center"/>
          </w:tcPr>
          <w:p w14:paraId="40444804">
            <w:pPr>
              <w:spacing w:line="0" w:lineRule="atLeast"/>
              <w:jc w:val="center"/>
              <w:rPr>
                <w:bCs/>
                <w:color w:val="auto"/>
              </w:rPr>
            </w:pPr>
            <w:r>
              <w:rPr>
                <w:rFonts w:hint="eastAsia"/>
                <w:bCs/>
                <w:color w:val="auto"/>
              </w:rPr>
              <w:t>焊烟净化装置+1根</w:t>
            </w:r>
            <w:r>
              <w:rPr>
                <w:rFonts w:hint="eastAsia"/>
                <w:color w:val="auto"/>
              </w:rPr>
              <w:t>15m高排气筒（FQ-3）</w:t>
            </w:r>
          </w:p>
        </w:tc>
        <w:tc>
          <w:tcPr>
            <w:tcW w:w="1861" w:type="dxa"/>
            <w:vMerge w:val="continue"/>
            <w:vAlign w:val="center"/>
          </w:tcPr>
          <w:p w14:paraId="1D64BC19">
            <w:pPr>
              <w:spacing w:line="0" w:lineRule="atLeast"/>
              <w:jc w:val="center"/>
              <w:rPr>
                <w:bCs/>
                <w:color w:val="auto"/>
              </w:rPr>
            </w:pPr>
          </w:p>
        </w:tc>
      </w:tr>
      <w:tr w14:paraId="17577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778" w:type="dxa"/>
            <w:vMerge w:val="continue"/>
            <w:vAlign w:val="center"/>
          </w:tcPr>
          <w:p w14:paraId="1BFEE219">
            <w:pPr>
              <w:adjustRightInd w:val="0"/>
              <w:jc w:val="center"/>
              <w:rPr>
                <w:color w:val="auto"/>
              </w:rPr>
            </w:pPr>
          </w:p>
        </w:tc>
        <w:tc>
          <w:tcPr>
            <w:tcW w:w="1755" w:type="dxa"/>
            <w:gridSpan w:val="2"/>
            <w:vAlign w:val="center"/>
          </w:tcPr>
          <w:p w14:paraId="7F6BE88E">
            <w:pPr>
              <w:spacing w:line="0" w:lineRule="atLeast"/>
              <w:jc w:val="center"/>
              <w:rPr>
                <w:rFonts w:hint="eastAsia" w:eastAsia="宋体"/>
                <w:color w:val="auto"/>
                <w:lang w:eastAsia="zh-CN"/>
              </w:rPr>
            </w:pPr>
            <w:r>
              <w:rPr>
                <w:rFonts w:hint="eastAsia"/>
                <w:bCs/>
                <w:color w:val="auto"/>
                <w:lang w:val="en-US" w:eastAsia="zh-CN"/>
              </w:rPr>
              <w:t>生产车间</w:t>
            </w:r>
          </w:p>
        </w:tc>
        <w:tc>
          <w:tcPr>
            <w:tcW w:w="1755" w:type="dxa"/>
            <w:vAlign w:val="center"/>
          </w:tcPr>
          <w:p w14:paraId="230C70A1">
            <w:pPr>
              <w:pStyle w:val="11"/>
              <w:numPr>
                <w:ilvl w:val="0"/>
                <w:numId w:val="0"/>
              </w:numPr>
              <w:jc w:val="center"/>
              <w:rPr>
                <w:color w:val="auto"/>
              </w:rPr>
            </w:pPr>
            <w:r>
              <w:rPr>
                <w:rFonts w:hint="eastAsia"/>
                <w:color w:val="auto"/>
              </w:rPr>
              <w:t>非甲烷总烃</w:t>
            </w:r>
          </w:p>
        </w:tc>
        <w:tc>
          <w:tcPr>
            <w:tcW w:w="1651" w:type="dxa"/>
            <w:gridSpan w:val="2"/>
            <w:vAlign w:val="center"/>
          </w:tcPr>
          <w:p w14:paraId="46FB33E5">
            <w:pPr>
              <w:spacing w:line="0" w:lineRule="atLeast"/>
              <w:jc w:val="center"/>
              <w:rPr>
                <w:bCs/>
                <w:color w:val="auto"/>
              </w:rPr>
            </w:pPr>
            <w:r>
              <w:rPr>
                <w:rFonts w:hint="eastAsia"/>
                <w:bCs/>
                <w:color w:val="auto"/>
              </w:rPr>
              <w:t>/</w:t>
            </w:r>
          </w:p>
        </w:tc>
        <w:tc>
          <w:tcPr>
            <w:tcW w:w="1861" w:type="dxa"/>
            <w:vAlign w:val="center"/>
          </w:tcPr>
          <w:p w14:paraId="31C35F51">
            <w:pPr>
              <w:spacing w:line="0" w:lineRule="atLeast"/>
              <w:jc w:val="center"/>
              <w:rPr>
                <w:bCs/>
                <w:color w:val="auto"/>
              </w:rPr>
            </w:pPr>
            <w:r>
              <w:rPr>
                <w:rFonts w:hint="eastAsia"/>
                <w:bCs/>
                <w:color w:val="auto"/>
              </w:rPr>
              <w:t>《大气污染物综合排放标准》（DB32/4041-2021）表</w:t>
            </w:r>
            <w:r>
              <w:rPr>
                <w:rFonts w:hint="eastAsia"/>
                <w:bCs/>
                <w:color w:val="auto"/>
                <w:lang w:val="en-US" w:eastAsia="zh-CN"/>
              </w:rPr>
              <w:t>2</w:t>
            </w:r>
            <w:r>
              <w:rPr>
                <w:rFonts w:hint="eastAsia"/>
                <w:bCs/>
                <w:color w:val="auto"/>
              </w:rPr>
              <w:t>标准、《挥发性有机物无组织排放控制标准》（GB37822-2019）</w:t>
            </w:r>
          </w:p>
        </w:tc>
      </w:tr>
      <w:tr w14:paraId="452E7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778" w:type="dxa"/>
            <w:vMerge w:val="continue"/>
            <w:vAlign w:val="center"/>
          </w:tcPr>
          <w:p w14:paraId="65B3F6F8">
            <w:pPr>
              <w:adjustRightInd w:val="0"/>
              <w:jc w:val="center"/>
              <w:rPr>
                <w:color w:val="auto"/>
              </w:rPr>
            </w:pPr>
          </w:p>
        </w:tc>
        <w:tc>
          <w:tcPr>
            <w:tcW w:w="1755" w:type="dxa"/>
            <w:gridSpan w:val="2"/>
            <w:vAlign w:val="center"/>
          </w:tcPr>
          <w:p w14:paraId="121C7324">
            <w:pPr>
              <w:spacing w:line="0" w:lineRule="atLeast"/>
              <w:jc w:val="center"/>
              <w:rPr>
                <w:bCs/>
                <w:color w:val="auto"/>
              </w:rPr>
            </w:pPr>
            <w:r>
              <w:rPr>
                <w:rFonts w:hint="eastAsia"/>
                <w:bCs/>
                <w:color w:val="auto"/>
                <w:lang w:val="en-US" w:eastAsia="zh-CN"/>
              </w:rPr>
              <w:t>厂界</w:t>
            </w:r>
          </w:p>
        </w:tc>
        <w:tc>
          <w:tcPr>
            <w:tcW w:w="1755" w:type="dxa"/>
            <w:vAlign w:val="center"/>
          </w:tcPr>
          <w:p w14:paraId="7F1D5E9E">
            <w:pPr>
              <w:jc w:val="center"/>
              <w:rPr>
                <w:rFonts w:hint="eastAsia" w:eastAsia="宋体"/>
                <w:color w:val="auto"/>
                <w:lang w:val="en-US" w:eastAsia="zh-CN"/>
              </w:rPr>
            </w:pPr>
            <w:r>
              <w:rPr>
                <w:rFonts w:hint="eastAsia"/>
                <w:color w:val="auto"/>
              </w:rPr>
              <w:t>非甲烷总烃</w:t>
            </w:r>
            <w:r>
              <w:rPr>
                <w:rFonts w:hint="eastAsia"/>
                <w:color w:val="auto"/>
                <w:lang w:eastAsia="zh-CN"/>
              </w:rPr>
              <w:t>、</w:t>
            </w:r>
            <w:r>
              <w:rPr>
                <w:rFonts w:hint="eastAsia"/>
                <w:color w:val="auto"/>
              </w:rPr>
              <w:t>颗粒物</w:t>
            </w:r>
          </w:p>
        </w:tc>
        <w:tc>
          <w:tcPr>
            <w:tcW w:w="1651" w:type="dxa"/>
            <w:gridSpan w:val="2"/>
            <w:vAlign w:val="center"/>
          </w:tcPr>
          <w:p w14:paraId="41C6C9B3">
            <w:pPr>
              <w:spacing w:line="0" w:lineRule="atLeast"/>
              <w:jc w:val="center"/>
              <w:rPr>
                <w:bCs/>
                <w:color w:val="auto"/>
              </w:rPr>
            </w:pPr>
            <w:r>
              <w:rPr>
                <w:rFonts w:hint="eastAsia"/>
                <w:bCs/>
                <w:color w:val="auto"/>
              </w:rPr>
              <w:t>/</w:t>
            </w:r>
          </w:p>
        </w:tc>
        <w:tc>
          <w:tcPr>
            <w:tcW w:w="1861" w:type="dxa"/>
            <w:vAlign w:val="center"/>
          </w:tcPr>
          <w:p w14:paraId="408551C2">
            <w:pPr>
              <w:spacing w:line="0" w:lineRule="atLeast"/>
              <w:jc w:val="center"/>
              <w:rPr>
                <w:bCs/>
                <w:color w:val="auto"/>
              </w:rPr>
            </w:pPr>
            <w:r>
              <w:rPr>
                <w:rFonts w:hint="eastAsia"/>
                <w:bCs/>
                <w:color w:val="auto"/>
              </w:rPr>
              <w:t>《大气污染物综合排放标准》（DB32/4041-2021）表3标准</w:t>
            </w:r>
          </w:p>
        </w:tc>
      </w:tr>
      <w:tr w14:paraId="322638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78" w:type="dxa"/>
            <w:vAlign w:val="center"/>
          </w:tcPr>
          <w:p w14:paraId="714977C5">
            <w:pPr>
              <w:adjustRightInd w:val="0"/>
              <w:jc w:val="center"/>
              <w:rPr>
                <w:color w:val="auto"/>
              </w:rPr>
            </w:pPr>
            <w:r>
              <w:rPr>
                <w:color w:val="auto"/>
              </w:rPr>
              <w:t>地表水环境</w:t>
            </w:r>
          </w:p>
        </w:tc>
        <w:tc>
          <w:tcPr>
            <w:tcW w:w="1755" w:type="dxa"/>
            <w:gridSpan w:val="2"/>
            <w:vAlign w:val="center"/>
          </w:tcPr>
          <w:p w14:paraId="5DF43ECC">
            <w:pPr>
              <w:spacing w:line="0" w:lineRule="atLeast"/>
              <w:jc w:val="center"/>
              <w:rPr>
                <w:color w:val="auto"/>
              </w:rPr>
            </w:pPr>
            <w:r>
              <w:rPr>
                <w:rFonts w:hint="eastAsia"/>
                <w:color w:val="auto"/>
                <w:lang w:val="en-US" w:eastAsia="zh-CN"/>
              </w:rPr>
              <w:t>DW001</w:t>
            </w:r>
          </w:p>
        </w:tc>
        <w:tc>
          <w:tcPr>
            <w:tcW w:w="1755" w:type="dxa"/>
            <w:vAlign w:val="center"/>
          </w:tcPr>
          <w:p w14:paraId="71CD0C8C">
            <w:pPr>
              <w:adjustRightInd w:val="0"/>
              <w:spacing w:line="0" w:lineRule="atLeast"/>
              <w:jc w:val="center"/>
              <w:rPr>
                <w:rFonts w:hint="default"/>
                <w:color w:val="auto"/>
                <w:lang w:val="en-US"/>
              </w:rPr>
            </w:pPr>
            <w:r>
              <w:rPr>
                <w:rFonts w:hint="eastAsia"/>
                <w:color w:val="auto"/>
                <w:lang w:val="en-US" w:eastAsia="zh-CN"/>
              </w:rPr>
              <w:t>COD、SS、氨氮、总磷、总氮、动植物油</w:t>
            </w:r>
          </w:p>
        </w:tc>
        <w:tc>
          <w:tcPr>
            <w:tcW w:w="1651" w:type="dxa"/>
            <w:gridSpan w:val="2"/>
            <w:vAlign w:val="center"/>
          </w:tcPr>
          <w:p w14:paraId="4F44A501">
            <w:pPr>
              <w:spacing w:line="0" w:lineRule="atLeast"/>
              <w:jc w:val="center"/>
              <w:rPr>
                <w:color w:val="auto"/>
              </w:rPr>
            </w:pPr>
            <w:r>
              <w:rPr>
                <w:rFonts w:hint="eastAsia"/>
                <w:color w:val="auto"/>
                <w:lang w:val="en-US" w:eastAsia="zh-CN"/>
              </w:rPr>
              <w:t>接入市政污水管网，接入常州市金坛区溪城污水处理有限公司直溪污水处理厂</w:t>
            </w:r>
          </w:p>
        </w:tc>
        <w:tc>
          <w:tcPr>
            <w:tcW w:w="1861" w:type="dxa"/>
            <w:vAlign w:val="center"/>
          </w:tcPr>
          <w:p w14:paraId="0E771081">
            <w:pPr>
              <w:adjustRightInd w:val="0"/>
              <w:jc w:val="center"/>
              <w:rPr>
                <w:color w:val="auto"/>
              </w:rPr>
            </w:pPr>
            <w:r>
              <w:rPr>
                <w:rFonts w:hint="eastAsia"/>
                <w:color w:val="auto"/>
              </w:rPr>
              <w:t>《污水排入城镇下水道水质标准》（GB/T31962-2015）表1中B级标准</w:t>
            </w:r>
          </w:p>
        </w:tc>
      </w:tr>
      <w:tr w14:paraId="6C1E2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78" w:type="dxa"/>
            <w:vAlign w:val="center"/>
          </w:tcPr>
          <w:p w14:paraId="35486E87">
            <w:pPr>
              <w:adjustRightInd w:val="0"/>
              <w:jc w:val="center"/>
              <w:rPr>
                <w:color w:val="auto"/>
              </w:rPr>
            </w:pPr>
            <w:r>
              <w:rPr>
                <w:color w:val="auto"/>
              </w:rPr>
              <w:t>声环境</w:t>
            </w:r>
          </w:p>
        </w:tc>
        <w:tc>
          <w:tcPr>
            <w:tcW w:w="1755" w:type="dxa"/>
            <w:gridSpan w:val="2"/>
            <w:vAlign w:val="center"/>
          </w:tcPr>
          <w:p w14:paraId="3DC756C2">
            <w:pPr>
              <w:spacing w:line="0" w:lineRule="atLeast"/>
              <w:jc w:val="center"/>
              <w:rPr>
                <w:bCs/>
                <w:color w:val="auto"/>
              </w:rPr>
            </w:pPr>
            <w:r>
              <w:rPr>
                <w:bCs/>
                <w:color w:val="auto"/>
              </w:rPr>
              <w:t>生产设备</w:t>
            </w:r>
          </w:p>
        </w:tc>
        <w:tc>
          <w:tcPr>
            <w:tcW w:w="1755" w:type="dxa"/>
            <w:vAlign w:val="center"/>
          </w:tcPr>
          <w:p w14:paraId="427E7A61">
            <w:pPr>
              <w:spacing w:line="0" w:lineRule="atLeast"/>
              <w:jc w:val="center"/>
              <w:rPr>
                <w:bCs/>
                <w:color w:val="auto"/>
              </w:rPr>
            </w:pPr>
            <w:r>
              <w:rPr>
                <w:bCs/>
                <w:color w:val="auto"/>
              </w:rPr>
              <w:t>噪声</w:t>
            </w:r>
          </w:p>
        </w:tc>
        <w:tc>
          <w:tcPr>
            <w:tcW w:w="1651" w:type="dxa"/>
            <w:gridSpan w:val="2"/>
            <w:vAlign w:val="center"/>
          </w:tcPr>
          <w:p w14:paraId="6DE1FFB0">
            <w:pPr>
              <w:spacing w:line="0" w:lineRule="atLeast"/>
              <w:jc w:val="center"/>
              <w:rPr>
                <w:bCs/>
                <w:color w:val="auto"/>
              </w:rPr>
            </w:pPr>
            <w:r>
              <w:rPr>
                <w:bCs/>
                <w:color w:val="auto"/>
              </w:rPr>
              <w:t>合理布局、隔声</w:t>
            </w:r>
            <w:r>
              <w:rPr>
                <w:rFonts w:hint="eastAsia"/>
                <w:bCs/>
                <w:color w:val="auto"/>
              </w:rPr>
              <w:t>降噪25dB（A）</w:t>
            </w:r>
            <w:r>
              <w:rPr>
                <w:bCs/>
                <w:color w:val="auto"/>
              </w:rPr>
              <w:t>、距离衰减等措施</w:t>
            </w:r>
          </w:p>
        </w:tc>
        <w:tc>
          <w:tcPr>
            <w:tcW w:w="1861" w:type="dxa"/>
            <w:vAlign w:val="center"/>
          </w:tcPr>
          <w:p w14:paraId="01E5FC75">
            <w:pPr>
              <w:spacing w:line="0" w:lineRule="atLeast"/>
              <w:jc w:val="center"/>
              <w:rPr>
                <w:bCs/>
                <w:color w:val="auto"/>
              </w:rPr>
            </w:pPr>
            <w:r>
              <w:rPr>
                <w:color w:val="auto"/>
                <w:kern w:val="0"/>
              </w:rPr>
              <w:t>《工业企业厂界环境噪声排放标准》（GB12348-2008）3类标准</w:t>
            </w:r>
          </w:p>
        </w:tc>
      </w:tr>
      <w:tr w14:paraId="0EF31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778" w:type="dxa"/>
            <w:vAlign w:val="center"/>
          </w:tcPr>
          <w:p w14:paraId="468E694F">
            <w:pPr>
              <w:adjustRightInd w:val="0"/>
              <w:jc w:val="center"/>
              <w:rPr>
                <w:color w:val="auto"/>
              </w:rPr>
            </w:pPr>
            <w:r>
              <w:rPr>
                <w:color w:val="auto"/>
              </w:rPr>
              <w:t>电磁辐射</w:t>
            </w:r>
          </w:p>
        </w:tc>
        <w:tc>
          <w:tcPr>
            <w:tcW w:w="7022" w:type="dxa"/>
            <w:gridSpan w:val="6"/>
            <w:vAlign w:val="center"/>
          </w:tcPr>
          <w:p w14:paraId="47DD12F1">
            <w:pPr>
              <w:adjustRightInd w:val="0"/>
              <w:jc w:val="center"/>
              <w:rPr>
                <w:color w:val="auto"/>
              </w:rPr>
            </w:pPr>
            <w:r>
              <w:rPr>
                <w:color w:val="auto"/>
              </w:rPr>
              <w:t>/</w:t>
            </w:r>
          </w:p>
        </w:tc>
      </w:tr>
      <w:tr w14:paraId="31923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restart"/>
            <w:vAlign w:val="center"/>
          </w:tcPr>
          <w:p w14:paraId="34AC83EE">
            <w:pPr>
              <w:adjustRightInd w:val="0"/>
              <w:jc w:val="center"/>
              <w:rPr>
                <w:color w:val="auto"/>
              </w:rPr>
            </w:pPr>
            <w:r>
              <w:rPr>
                <w:color w:val="auto"/>
              </w:rPr>
              <w:t>固体废物</w:t>
            </w:r>
          </w:p>
        </w:tc>
        <w:tc>
          <w:tcPr>
            <w:tcW w:w="1746" w:type="dxa"/>
            <w:vMerge w:val="restart"/>
            <w:vAlign w:val="center"/>
          </w:tcPr>
          <w:p w14:paraId="5BC4964F">
            <w:pPr>
              <w:spacing w:line="0" w:lineRule="atLeast"/>
              <w:jc w:val="center"/>
              <w:rPr>
                <w:color w:val="auto"/>
              </w:rPr>
            </w:pPr>
            <w:r>
              <w:rPr>
                <w:color w:val="auto"/>
              </w:rPr>
              <w:t>一般工业固废</w:t>
            </w:r>
          </w:p>
        </w:tc>
        <w:tc>
          <w:tcPr>
            <w:tcW w:w="1815" w:type="dxa"/>
            <w:gridSpan w:val="3"/>
            <w:vAlign w:val="center"/>
          </w:tcPr>
          <w:p w14:paraId="1E5F88ED">
            <w:pPr>
              <w:spacing w:line="0" w:lineRule="atLeast"/>
              <w:jc w:val="center"/>
              <w:rPr>
                <w:color w:val="auto"/>
                <w:vertAlign w:val="subscript"/>
              </w:rPr>
            </w:pPr>
            <w:r>
              <w:rPr>
                <w:color w:val="auto"/>
                <w:kern w:val="0"/>
              </w:rPr>
              <w:t>边角料</w:t>
            </w:r>
          </w:p>
        </w:tc>
        <w:tc>
          <w:tcPr>
            <w:tcW w:w="1600" w:type="dxa"/>
            <w:vMerge w:val="restart"/>
            <w:vAlign w:val="center"/>
          </w:tcPr>
          <w:p w14:paraId="297B4490">
            <w:pPr>
              <w:tabs>
                <w:tab w:val="left" w:pos="0"/>
              </w:tabs>
              <w:spacing w:line="0" w:lineRule="atLeast"/>
              <w:jc w:val="center"/>
              <w:rPr>
                <w:bCs/>
                <w:color w:val="auto"/>
              </w:rPr>
            </w:pPr>
            <w:r>
              <w:rPr>
                <w:color w:val="auto"/>
              </w:rPr>
              <w:t>一般固废暂存场</w:t>
            </w:r>
            <w:r>
              <w:rPr>
                <w:rFonts w:hint="eastAsia"/>
                <w:color w:val="auto"/>
              </w:rPr>
              <w:t>20</w:t>
            </w:r>
            <w:r>
              <w:rPr>
                <w:color w:val="auto"/>
              </w:rPr>
              <w:t>m</w:t>
            </w:r>
            <w:r>
              <w:rPr>
                <w:color w:val="auto"/>
                <w:vertAlign w:val="superscript"/>
              </w:rPr>
              <w:t>2</w:t>
            </w:r>
          </w:p>
        </w:tc>
        <w:tc>
          <w:tcPr>
            <w:tcW w:w="1861" w:type="dxa"/>
            <w:vMerge w:val="restart"/>
            <w:vAlign w:val="center"/>
          </w:tcPr>
          <w:p w14:paraId="646E06A8">
            <w:pPr>
              <w:adjustRightInd w:val="0"/>
              <w:jc w:val="center"/>
              <w:rPr>
                <w:color w:val="auto"/>
              </w:rPr>
            </w:pPr>
            <w:r>
              <w:rPr>
                <w:rFonts w:hint="eastAsia"/>
                <w:color w:val="auto"/>
              </w:rPr>
              <w:t>外售综合利用</w:t>
            </w:r>
          </w:p>
        </w:tc>
      </w:tr>
      <w:tr w14:paraId="419AC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16C554E8">
            <w:pPr>
              <w:adjustRightInd w:val="0"/>
              <w:jc w:val="center"/>
              <w:rPr>
                <w:color w:val="auto"/>
              </w:rPr>
            </w:pPr>
          </w:p>
        </w:tc>
        <w:tc>
          <w:tcPr>
            <w:tcW w:w="1746" w:type="dxa"/>
            <w:vMerge w:val="continue"/>
            <w:vAlign w:val="center"/>
          </w:tcPr>
          <w:p w14:paraId="1FB23E60">
            <w:pPr>
              <w:spacing w:line="0" w:lineRule="atLeast"/>
              <w:jc w:val="center"/>
              <w:rPr>
                <w:color w:val="auto"/>
              </w:rPr>
            </w:pPr>
          </w:p>
        </w:tc>
        <w:tc>
          <w:tcPr>
            <w:tcW w:w="1815" w:type="dxa"/>
            <w:gridSpan w:val="3"/>
            <w:vAlign w:val="center"/>
          </w:tcPr>
          <w:p w14:paraId="09081784">
            <w:pPr>
              <w:spacing w:line="0" w:lineRule="atLeast"/>
              <w:jc w:val="center"/>
              <w:rPr>
                <w:color w:val="auto"/>
              </w:rPr>
            </w:pPr>
            <w:r>
              <w:rPr>
                <w:color w:val="auto"/>
              </w:rPr>
              <w:t>焊渣</w:t>
            </w:r>
          </w:p>
        </w:tc>
        <w:tc>
          <w:tcPr>
            <w:tcW w:w="1600" w:type="dxa"/>
            <w:vMerge w:val="continue"/>
            <w:vAlign w:val="center"/>
          </w:tcPr>
          <w:p w14:paraId="3D284F93">
            <w:pPr>
              <w:tabs>
                <w:tab w:val="left" w:pos="0"/>
              </w:tabs>
              <w:spacing w:line="0" w:lineRule="atLeast"/>
              <w:jc w:val="center"/>
              <w:rPr>
                <w:bCs/>
                <w:color w:val="auto"/>
              </w:rPr>
            </w:pPr>
          </w:p>
        </w:tc>
        <w:tc>
          <w:tcPr>
            <w:tcW w:w="1861" w:type="dxa"/>
            <w:vMerge w:val="continue"/>
            <w:vAlign w:val="center"/>
          </w:tcPr>
          <w:p w14:paraId="1083E051">
            <w:pPr>
              <w:adjustRightInd w:val="0"/>
              <w:jc w:val="center"/>
              <w:rPr>
                <w:color w:val="auto"/>
              </w:rPr>
            </w:pPr>
          </w:p>
        </w:tc>
      </w:tr>
      <w:tr w14:paraId="59056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62E57394">
            <w:pPr>
              <w:adjustRightInd w:val="0"/>
              <w:jc w:val="center"/>
              <w:rPr>
                <w:color w:val="auto"/>
              </w:rPr>
            </w:pPr>
          </w:p>
        </w:tc>
        <w:tc>
          <w:tcPr>
            <w:tcW w:w="1746" w:type="dxa"/>
            <w:vMerge w:val="continue"/>
            <w:vAlign w:val="center"/>
          </w:tcPr>
          <w:p w14:paraId="0BD39CC8">
            <w:pPr>
              <w:spacing w:line="0" w:lineRule="atLeast"/>
              <w:jc w:val="center"/>
              <w:rPr>
                <w:color w:val="auto"/>
              </w:rPr>
            </w:pPr>
          </w:p>
        </w:tc>
        <w:tc>
          <w:tcPr>
            <w:tcW w:w="1815" w:type="dxa"/>
            <w:gridSpan w:val="3"/>
            <w:vAlign w:val="center"/>
          </w:tcPr>
          <w:p w14:paraId="1AC510F8">
            <w:pPr>
              <w:spacing w:line="0" w:lineRule="atLeast"/>
              <w:jc w:val="center"/>
              <w:rPr>
                <w:color w:val="auto"/>
              </w:rPr>
            </w:pPr>
            <w:r>
              <w:rPr>
                <w:rFonts w:hint="eastAsia"/>
                <w:color w:val="auto"/>
                <w:kern w:val="0"/>
              </w:rPr>
              <w:t>不合格品</w:t>
            </w:r>
          </w:p>
        </w:tc>
        <w:tc>
          <w:tcPr>
            <w:tcW w:w="1600" w:type="dxa"/>
            <w:vMerge w:val="continue"/>
            <w:vAlign w:val="center"/>
          </w:tcPr>
          <w:p w14:paraId="6155B506">
            <w:pPr>
              <w:tabs>
                <w:tab w:val="left" w:pos="0"/>
              </w:tabs>
              <w:spacing w:line="0" w:lineRule="atLeast"/>
              <w:jc w:val="center"/>
              <w:rPr>
                <w:bCs/>
                <w:color w:val="auto"/>
              </w:rPr>
            </w:pPr>
          </w:p>
        </w:tc>
        <w:tc>
          <w:tcPr>
            <w:tcW w:w="1861" w:type="dxa"/>
            <w:vMerge w:val="continue"/>
            <w:vAlign w:val="center"/>
          </w:tcPr>
          <w:p w14:paraId="0BEABA7B">
            <w:pPr>
              <w:adjustRightInd w:val="0"/>
              <w:jc w:val="center"/>
              <w:rPr>
                <w:color w:val="auto"/>
              </w:rPr>
            </w:pPr>
          </w:p>
        </w:tc>
      </w:tr>
      <w:tr w14:paraId="3F026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32F88004">
            <w:pPr>
              <w:adjustRightInd w:val="0"/>
              <w:jc w:val="center"/>
              <w:rPr>
                <w:color w:val="auto"/>
              </w:rPr>
            </w:pPr>
          </w:p>
        </w:tc>
        <w:tc>
          <w:tcPr>
            <w:tcW w:w="1746" w:type="dxa"/>
            <w:vMerge w:val="continue"/>
            <w:vAlign w:val="center"/>
          </w:tcPr>
          <w:p w14:paraId="22FBEE29">
            <w:pPr>
              <w:spacing w:line="0" w:lineRule="atLeast"/>
              <w:jc w:val="center"/>
              <w:rPr>
                <w:color w:val="auto"/>
              </w:rPr>
            </w:pPr>
          </w:p>
        </w:tc>
        <w:tc>
          <w:tcPr>
            <w:tcW w:w="1815" w:type="dxa"/>
            <w:gridSpan w:val="3"/>
            <w:vAlign w:val="center"/>
          </w:tcPr>
          <w:p w14:paraId="768422F9">
            <w:pPr>
              <w:spacing w:line="0" w:lineRule="atLeast"/>
              <w:jc w:val="center"/>
              <w:rPr>
                <w:rFonts w:hAnsi="宋体"/>
                <w:color w:val="auto"/>
                <w:kern w:val="0"/>
              </w:rPr>
            </w:pPr>
            <w:r>
              <w:rPr>
                <w:rFonts w:hint="eastAsia"/>
                <w:color w:val="auto"/>
                <w:kern w:val="0"/>
              </w:rPr>
              <w:t>废滤芯</w:t>
            </w:r>
          </w:p>
        </w:tc>
        <w:tc>
          <w:tcPr>
            <w:tcW w:w="1600" w:type="dxa"/>
            <w:vMerge w:val="continue"/>
            <w:vAlign w:val="center"/>
          </w:tcPr>
          <w:p w14:paraId="594D0902">
            <w:pPr>
              <w:tabs>
                <w:tab w:val="left" w:pos="0"/>
              </w:tabs>
              <w:spacing w:line="0" w:lineRule="atLeast"/>
              <w:jc w:val="center"/>
              <w:rPr>
                <w:bCs/>
                <w:color w:val="auto"/>
              </w:rPr>
            </w:pPr>
          </w:p>
        </w:tc>
        <w:tc>
          <w:tcPr>
            <w:tcW w:w="1861" w:type="dxa"/>
            <w:vMerge w:val="continue"/>
            <w:vAlign w:val="center"/>
          </w:tcPr>
          <w:p w14:paraId="25659CBC">
            <w:pPr>
              <w:adjustRightInd w:val="0"/>
              <w:jc w:val="center"/>
              <w:rPr>
                <w:color w:val="auto"/>
              </w:rPr>
            </w:pPr>
          </w:p>
        </w:tc>
      </w:tr>
      <w:tr w14:paraId="6F2E5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78EE9E45">
            <w:pPr>
              <w:adjustRightInd w:val="0"/>
              <w:jc w:val="center"/>
              <w:rPr>
                <w:color w:val="auto"/>
              </w:rPr>
            </w:pPr>
          </w:p>
        </w:tc>
        <w:tc>
          <w:tcPr>
            <w:tcW w:w="1746" w:type="dxa"/>
            <w:vMerge w:val="continue"/>
            <w:vAlign w:val="center"/>
          </w:tcPr>
          <w:p w14:paraId="33CA6CAC">
            <w:pPr>
              <w:spacing w:line="0" w:lineRule="atLeast"/>
              <w:jc w:val="center"/>
              <w:rPr>
                <w:color w:val="auto"/>
              </w:rPr>
            </w:pPr>
          </w:p>
        </w:tc>
        <w:tc>
          <w:tcPr>
            <w:tcW w:w="1815" w:type="dxa"/>
            <w:gridSpan w:val="3"/>
            <w:vAlign w:val="center"/>
          </w:tcPr>
          <w:p w14:paraId="31E6D859">
            <w:pPr>
              <w:spacing w:line="0" w:lineRule="atLeast"/>
              <w:jc w:val="center"/>
              <w:rPr>
                <w:rFonts w:hint="default" w:eastAsia="宋体"/>
                <w:color w:val="auto"/>
                <w:kern w:val="0"/>
                <w:lang w:val="en-US" w:eastAsia="zh-CN"/>
              </w:rPr>
            </w:pPr>
            <w:r>
              <w:rPr>
                <w:rFonts w:hint="eastAsia"/>
                <w:color w:val="auto"/>
                <w:kern w:val="0"/>
                <w:lang w:val="en-US" w:eastAsia="zh-CN"/>
              </w:rPr>
              <w:t>废包装袋</w:t>
            </w:r>
          </w:p>
        </w:tc>
        <w:tc>
          <w:tcPr>
            <w:tcW w:w="1600" w:type="dxa"/>
            <w:vMerge w:val="continue"/>
            <w:vAlign w:val="center"/>
          </w:tcPr>
          <w:p w14:paraId="06BC09B2">
            <w:pPr>
              <w:tabs>
                <w:tab w:val="left" w:pos="0"/>
              </w:tabs>
              <w:spacing w:line="0" w:lineRule="atLeast"/>
              <w:jc w:val="center"/>
              <w:rPr>
                <w:bCs/>
                <w:color w:val="auto"/>
              </w:rPr>
            </w:pPr>
          </w:p>
        </w:tc>
        <w:tc>
          <w:tcPr>
            <w:tcW w:w="1861" w:type="dxa"/>
            <w:vMerge w:val="continue"/>
            <w:vAlign w:val="center"/>
          </w:tcPr>
          <w:p w14:paraId="658F0C6F">
            <w:pPr>
              <w:adjustRightInd w:val="0"/>
              <w:jc w:val="center"/>
              <w:rPr>
                <w:color w:val="auto"/>
              </w:rPr>
            </w:pPr>
          </w:p>
        </w:tc>
      </w:tr>
      <w:tr w14:paraId="22546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5EAD70E5">
            <w:pPr>
              <w:adjustRightInd w:val="0"/>
              <w:jc w:val="center"/>
              <w:rPr>
                <w:color w:val="auto"/>
              </w:rPr>
            </w:pPr>
          </w:p>
        </w:tc>
        <w:tc>
          <w:tcPr>
            <w:tcW w:w="1746" w:type="dxa"/>
            <w:vMerge w:val="continue"/>
            <w:vAlign w:val="center"/>
          </w:tcPr>
          <w:p w14:paraId="0C49EF16">
            <w:pPr>
              <w:spacing w:line="0" w:lineRule="atLeast"/>
              <w:jc w:val="center"/>
              <w:rPr>
                <w:color w:val="auto"/>
              </w:rPr>
            </w:pPr>
          </w:p>
        </w:tc>
        <w:tc>
          <w:tcPr>
            <w:tcW w:w="1815" w:type="dxa"/>
            <w:gridSpan w:val="3"/>
            <w:vAlign w:val="center"/>
          </w:tcPr>
          <w:p w14:paraId="71E48AAF">
            <w:pPr>
              <w:spacing w:line="0" w:lineRule="atLeast"/>
              <w:jc w:val="center"/>
              <w:rPr>
                <w:rFonts w:hint="default"/>
                <w:color w:val="auto"/>
                <w:kern w:val="0"/>
                <w:lang w:val="en-US" w:eastAsia="zh-CN"/>
              </w:rPr>
            </w:pPr>
            <w:r>
              <w:rPr>
                <w:rFonts w:hint="eastAsia"/>
                <w:color w:val="auto"/>
                <w:kern w:val="0"/>
                <w:lang w:val="en-US" w:eastAsia="zh-CN"/>
              </w:rPr>
              <w:t>废油</w:t>
            </w:r>
          </w:p>
        </w:tc>
        <w:tc>
          <w:tcPr>
            <w:tcW w:w="1600" w:type="dxa"/>
            <w:vMerge w:val="continue"/>
            <w:vAlign w:val="center"/>
          </w:tcPr>
          <w:p w14:paraId="46CCB6FC">
            <w:pPr>
              <w:tabs>
                <w:tab w:val="left" w:pos="0"/>
              </w:tabs>
              <w:spacing w:line="0" w:lineRule="atLeast"/>
              <w:jc w:val="center"/>
              <w:rPr>
                <w:bCs/>
                <w:color w:val="auto"/>
              </w:rPr>
            </w:pPr>
          </w:p>
        </w:tc>
        <w:tc>
          <w:tcPr>
            <w:tcW w:w="1861" w:type="dxa"/>
            <w:vAlign w:val="center"/>
          </w:tcPr>
          <w:p w14:paraId="0CD77170">
            <w:pPr>
              <w:adjustRightInd w:val="0"/>
              <w:jc w:val="center"/>
              <w:rPr>
                <w:rFonts w:hint="default" w:eastAsia="宋体"/>
                <w:color w:val="auto"/>
                <w:lang w:val="en-US" w:eastAsia="zh-CN"/>
              </w:rPr>
            </w:pPr>
            <w:r>
              <w:rPr>
                <w:rFonts w:hint="eastAsia"/>
                <w:color w:val="auto"/>
                <w:lang w:val="en-US" w:eastAsia="zh-CN"/>
              </w:rPr>
              <w:t>委托专业单位处理</w:t>
            </w:r>
          </w:p>
        </w:tc>
      </w:tr>
      <w:tr w14:paraId="1191B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774E7E38">
            <w:pPr>
              <w:adjustRightInd w:val="0"/>
              <w:jc w:val="center"/>
              <w:rPr>
                <w:color w:val="auto"/>
              </w:rPr>
            </w:pPr>
          </w:p>
        </w:tc>
        <w:tc>
          <w:tcPr>
            <w:tcW w:w="1746" w:type="dxa"/>
            <w:vMerge w:val="restart"/>
            <w:vAlign w:val="center"/>
          </w:tcPr>
          <w:p w14:paraId="458D9657">
            <w:pPr>
              <w:spacing w:line="0" w:lineRule="atLeast"/>
              <w:jc w:val="center"/>
              <w:rPr>
                <w:color w:val="auto"/>
              </w:rPr>
            </w:pPr>
            <w:r>
              <w:rPr>
                <w:color w:val="auto"/>
              </w:rPr>
              <w:t>危险废物</w:t>
            </w:r>
          </w:p>
        </w:tc>
        <w:tc>
          <w:tcPr>
            <w:tcW w:w="1815" w:type="dxa"/>
            <w:gridSpan w:val="3"/>
            <w:vAlign w:val="center"/>
          </w:tcPr>
          <w:p w14:paraId="10877050">
            <w:pPr>
              <w:jc w:val="center"/>
              <w:rPr>
                <w:color w:val="auto"/>
                <w:kern w:val="0"/>
              </w:rPr>
            </w:pPr>
            <w:r>
              <w:rPr>
                <w:color w:val="auto"/>
              </w:rPr>
              <w:t>废</w:t>
            </w:r>
            <w:r>
              <w:rPr>
                <w:rFonts w:hint="eastAsia"/>
                <w:color w:val="auto"/>
              </w:rPr>
              <w:t>油泥</w:t>
            </w:r>
          </w:p>
        </w:tc>
        <w:tc>
          <w:tcPr>
            <w:tcW w:w="1600" w:type="dxa"/>
            <w:vMerge w:val="restart"/>
            <w:vAlign w:val="center"/>
          </w:tcPr>
          <w:p w14:paraId="3FF81AC0">
            <w:pPr>
              <w:tabs>
                <w:tab w:val="left" w:pos="0"/>
              </w:tabs>
              <w:spacing w:line="0" w:lineRule="atLeast"/>
              <w:jc w:val="center"/>
              <w:rPr>
                <w:bCs/>
                <w:color w:val="auto"/>
              </w:rPr>
            </w:pPr>
            <w:r>
              <w:rPr>
                <w:color w:val="auto"/>
              </w:rPr>
              <w:t>危险</w:t>
            </w:r>
            <w:r>
              <w:rPr>
                <w:rFonts w:hint="eastAsia"/>
                <w:color w:val="auto"/>
              </w:rPr>
              <w:t>废物暂存间10</w:t>
            </w:r>
            <w:r>
              <w:rPr>
                <w:color w:val="auto"/>
              </w:rPr>
              <w:t>m</w:t>
            </w:r>
            <w:r>
              <w:rPr>
                <w:color w:val="auto"/>
                <w:vertAlign w:val="superscript"/>
              </w:rPr>
              <w:t>2</w:t>
            </w:r>
            <w:r>
              <w:rPr>
                <w:color w:val="auto"/>
              </w:rPr>
              <w:t>，分类收集暂存</w:t>
            </w:r>
          </w:p>
        </w:tc>
        <w:tc>
          <w:tcPr>
            <w:tcW w:w="1861" w:type="dxa"/>
            <w:vMerge w:val="restart"/>
            <w:vAlign w:val="center"/>
          </w:tcPr>
          <w:p w14:paraId="59E4D878">
            <w:pPr>
              <w:adjustRightInd w:val="0"/>
              <w:jc w:val="center"/>
              <w:rPr>
                <w:color w:val="auto"/>
              </w:rPr>
            </w:pPr>
            <w:r>
              <w:rPr>
                <w:color w:val="auto"/>
              </w:rPr>
              <w:t>委托有资质的单位处置</w:t>
            </w:r>
          </w:p>
        </w:tc>
      </w:tr>
      <w:tr w14:paraId="07B12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3280B580">
            <w:pPr>
              <w:adjustRightInd w:val="0"/>
              <w:jc w:val="center"/>
              <w:rPr>
                <w:color w:val="auto"/>
              </w:rPr>
            </w:pPr>
          </w:p>
        </w:tc>
        <w:tc>
          <w:tcPr>
            <w:tcW w:w="1746" w:type="dxa"/>
            <w:vMerge w:val="continue"/>
            <w:vAlign w:val="center"/>
          </w:tcPr>
          <w:p w14:paraId="7F4D817B">
            <w:pPr>
              <w:spacing w:line="0" w:lineRule="atLeast"/>
              <w:jc w:val="center"/>
              <w:rPr>
                <w:color w:val="auto"/>
              </w:rPr>
            </w:pPr>
          </w:p>
        </w:tc>
        <w:tc>
          <w:tcPr>
            <w:tcW w:w="1815" w:type="dxa"/>
            <w:gridSpan w:val="3"/>
            <w:vAlign w:val="center"/>
          </w:tcPr>
          <w:p w14:paraId="3839D01F">
            <w:pPr>
              <w:jc w:val="center"/>
              <w:rPr>
                <w:color w:val="auto"/>
                <w:kern w:val="0"/>
              </w:rPr>
            </w:pPr>
            <w:r>
              <w:rPr>
                <w:color w:val="auto"/>
              </w:rPr>
              <w:t>清洗废液</w:t>
            </w:r>
          </w:p>
        </w:tc>
        <w:tc>
          <w:tcPr>
            <w:tcW w:w="1600" w:type="dxa"/>
            <w:vMerge w:val="continue"/>
            <w:vAlign w:val="center"/>
          </w:tcPr>
          <w:p w14:paraId="18E0EFBB">
            <w:pPr>
              <w:tabs>
                <w:tab w:val="left" w:pos="0"/>
              </w:tabs>
              <w:spacing w:line="0" w:lineRule="atLeast"/>
              <w:jc w:val="center"/>
              <w:rPr>
                <w:bCs/>
                <w:color w:val="auto"/>
              </w:rPr>
            </w:pPr>
          </w:p>
        </w:tc>
        <w:tc>
          <w:tcPr>
            <w:tcW w:w="1861" w:type="dxa"/>
            <w:vMerge w:val="continue"/>
            <w:vAlign w:val="center"/>
          </w:tcPr>
          <w:p w14:paraId="742CD703">
            <w:pPr>
              <w:adjustRightInd w:val="0"/>
              <w:jc w:val="center"/>
              <w:rPr>
                <w:color w:val="auto"/>
              </w:rPr>
            </w:pPr>
          </w:p>
        </w:tc>
      </w:tr>
      <w:tr w14:paraId="10B58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361A1514">
            <w:pPr>
              <w:adjustRightInd w:val="0"/>
              <w:jc w:val="center"/>
              <w:rPr>
                <w:color w:val="auto"/>
              </w:rPr>
            </w:pPr>
          </w:p>
        </w:tc>
        <w:tc>
          <w:tcPr>
            <w:tcW w:w="1746" w:type="dxa"/>
            <w:vMerge w:val="continue"/>
            <w:vAlign w:val="center"/>
          </w:tcPr>
          <w:p w14:paraId="183086E3">
            <w:pPr>
              <w:spacing w:line="0" w:lineRule="atLeast"/>
              <w:jc w:val="center"/>
              <w:rPr>
                <w:color w:val="auto"/>
              </w:rPr>
            </w:pPr>
          </w:p>
        </w:tc>
        <w:tc>
          <w:tcPr>
            <w:tcW w:w="1815" w:type="dxa"/>
            <w:gridSpan w:val="3"/>
            <w:vAlign w:val="center"/>
          </w:tcPr>
          <w:p w14:paraId="2263E1EE">
            <w:pPr>
              <w:jc w:val="center"/>
              <w:rPr>
                <w:color w:val="auto"/>
                <w:kern w:val="0"/>
              </w:rPr>
            </w:pPr>
            <w:r>
              <w:rPr>
                <w:color w:val="auto"/>
              </w:rPr>
              <w:t>废包装桶</w:t>
            </w:r>
          </w:p>
        </w:tc>
        <w:tc>
          <w:tcPr>
            <w:tcW w:w="1600" w:type="dxa"/>
            <w:vMerge w:val="continue"/>
            <w:vAlign w:val="center"/>
          </w:tcPr>
          <w:p w14:paraId="3C300CCC">
            <w:pPr>
              <w:tabs>
                <w:tab w:val="left" w:pos="0"/>
              </w:tabs>
              <w:spacing w:line="0" w:lineRule="atLeast"/>
              <w:jc w:val="center"/>
              <w:rPr>
                <w:bCs/>
                <w:color w:val="auto"/>
              </w:rPr>
            </w:pPr>
          </w:p>
        </w:tc>
        <w:tc>
          <w:tcPr>
            <w:tcW w:w="1861" w:type="dxa"/>
            <w:vMerge w:val="continue"/>
            <w:vAlign w:val="center"/>
          </w:tcPr>
          <w:p w14:paraId="3DCB11CD">
            <w:pPr>
              <w:adjustRightInd w:val="0"/>
              <w:jc w:val="center"/>
              <w:rPr>
                <w:color w:val="auto"/>
              </w:rPr>
            </w:pPr>
          </w:p>
        </w:tc>
      </w:tr>
      <w:tr w14:paraId="3455E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5C51F90C">
            <w:pPr>
              <w:adjustRightInd w:val="0"/>
              <w:jc w:val="center"/>
              <w:rPr>
                <w:color w:val="auto"/>
              </w:rPr>
            </w:pPr>
          </w:p>
        </w:tc>
        <w:tc>
          <w:tcPr>
            <w:tcW w:w="1746" w:type="dxa"/>
            <w:vMerge w:val="continue"/>
            <w:vAlign w:val="center"/>
          </w:tcPr>
          <w:p w14:paraId="7DAEC267">
            <w:pPr>
              <w:spacing w:line="0" w:lineRule="atLeast"/>
              <w:jc w:val="center"/>
              <w:rPr>
                <w:color w:val="auto"/>
              </w:rPr>
            </w:pPr>
          </w:p>
        </w:tc>
        <w:tc>
          <w:tcPr>
            <w:tcW w:w="1815" w:type="dxa"/>
            <w:gridSpan w:val="3"/>
            <w:vAlign w:val="center"/>
          </w:tcPr>
          <w:p w14:paraId="0D5D9611">
            <w:pPr>
              <w:jc w:val="center"/>
              <w:rPr>
                <w:color w:val="auto"/>
                <w:kern w:val="0"/>
              </w:rPr>
            </w:pPr>
            <w:r>
              <w:rPr>
                <w:color w:val="auto"/>
              </w:rPr>
              <w:t>废活性炭</w:t>
            </w:r>
          </w:p>
        </w:tc>
        <w:tc>
          <w:tcPr>
            <w:tcW w:w="1600" w:type="dxa"/>
            <w:vMerge w:val="continue"/>
            <w:vAlign w:val="center"/>
          </w:tcPr>
          <w:p w14:paraId="739FAFA3">
            <w:pPr>
              <w:tabs>
                <w:tab w:val="left" w:pos="0"/>
              </w:tabs>
              <w:spacing w:line="0" w:lineRule="atLeast"/>
              <w:jc w:val="center"/>
              <w:rPr>
                <w:bCs/>
                <w:color w:val="auto"/>
              </w:rPr>
            </w:pPr>
          </w:p>
        </w:tc>
        <w:tc>
          <w:tcPr>
            <w:tcW w:w="1861" w:type="dxa"/>
            <w:vMerge w:val="continue"/>
            <w:vAlign w:val="center"/>
          </w:tcPr>
          <w:p w14:paraId="61CC0885">
            <w:pPr>
              <w:adjustRightInd w:val="0"/>
              <w:jc w:val="center"/>
              <w:rPr>
                <w:color w:val="auto"/>
              </w:rPr>
            </w:pPr>
          </w:p>
        </w:tc>
      </w:tr>
      <w:tr w14:paraId="69FED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47392F8E">
            <w:pPr>
              <w:adjustRightInd w:val="0"/>
              <w:jc w:val="center"/>
              <w:rPr>
                <w:color w:val="auto"/>
              </w:rPr>
            </w:pPr>
          </w:p>
        </w:tc>
        <w:tc>
          <w:tcPr>
            <w:tcW w:w="1746" w:type="dxa"/>
            <w:vMerge w:val="continue"/>
            <w:vAlign w:val="center"/>
          </w:tcPr>
          <w:p w14:paraId="3638CD92">
            <w:pPr>
              <w:spacing w:line="0" w:lineRule="atLeast"/>
              <w:jc w:val="center"/>
              <w:rPr>
                <w:color w:val="auto"/>
              </w:rPr>
            </w:pPr>
          </w:p>
        </w:tc>
        <w:tc>
          <w:tcPr>
            <w:tcW w:w="1815" w:type="dxa"/>
            <w:gridSpan w:val="3"/>
            <w:vAlign w:val="center"/>
          </w:tcPr>
          <w:p w14:paraId="3A7F04D3">
            <w:pPr>
              <w:jc w:val="center"/>
              <w:rPr>
                <w:rFonts w:hint="eastAsia" w:eastAsia="宋体"/>
                <w:color w:val="auto"/>
                <w:lang w:eastAsia="zh-CN"/>
              </w:rPr>
            </w:pPr>
            <w:r>
              <w:rPr>
                <w:rFonts w:hint="eastAsia"/>
                <w:color w:val="auto"/>
                <w:lang w:eastAsia="zh-CN"/>
              </w:rPr>
              <w:t>磨削灰</w:t>
            </w:r>
          </w:p>
        </w:tc>
        <w:tc>
          <w:tcPr>
            <w:tcW w:w="1600" w:type="dxa"/>
            <w:vMerge w:val="continue"/>
            <w:vAlign w:val="center"/>
          </w:tcPr>
          <w:p w14:paraId="23C4E040">
            <w:pPr>
              <w:tabs>
                <w:tab w:val="left" w:pos="0"/>
              </w:tabs>
              <w:spacing w:line="0" w:lineRule="atLeast"/>
              <w:jc w:val="center"/>
              <w:rPr>
                <w:bCs/>
                <w:color w:val="auto"/>
              </w:rPr>
            </w:pPr>
          </w:p>
        </w:tc>
        <w:tc>
          <w:tcPr>
            <w:tcW w:w="1861" w:type="dxa"/>
            <w:vMerge w:val="continue"/>
            <w:vAlign w:val="center"/>
          </w:tcPr>
          <w:p w14:paraId="309B95F0">
            <w:pPr>
              <w:adjustRightInd w:val="0"/>
              <w:jc w:val="center"/>
              <w:rPr>
                <w:color w:val="auto"/>
              </w:rPr>
            </w:pPr>
          </w:p>
        </w:tc>
      </w:tr>
      <w:tr w14:paraId="6BACC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78" w:type="dxa"/>
            <w:vMerge w:val="continue"/>
            <w:vAlign w:val="center"/>
          </w:tcPr>
          <w:p w14:paraId="7DEC8AA5">
            <w:pPr>
              <w:adjustRightInd w:val="0"/>
              <w:jc w:val="center"/>
              <w:rPr>
                <w:color w:val="auto"/>
              </w:rPr>
            </w:pPr>
          </w:p>
        </w:tc>
        <w:tc>
          <w:tcPr>
            <w:tcW w:w="1746" w:type="dxa"/>
            <w:vMerge w:val="continue"/>
            <w:vAlign w:val="center"/>
          </w:tcPr>
          <w:p w14:paraId="162DD7B7">
            <w:pPr>
              <w:spacing w:line="0" w:lineRule="atLeast"/>
              <w:jc w:val="center"/>
              <w:rPr>
                <w:color w:val="auto"/>
              </w:rPr>
            </w:pPr>
          </w:p>
        </w:tc>
        <w:tc>
          <w:tcPr>
            <w:tcW w:w="1815" w:type="dxa"/>
            <w:gridSpan w:val="3"/>
            <w:vAlign w:val="center"/>
          </w:tcPr>
          <w:p w14:paraId="0A4662D8">
            <w:pPr>
              <w:jc w:val="center"/>
              <w:rPr>
                <w:rFonts w:hint="default"/>
                <w:color w:val="auto"/>
                <w:lang w:val="en-US" w:eastAsia="zh-CN"/>
              </w:rPr>
            </w:pPr>
            <w:r>
              <w:rPr>
                <w:rFonts w:hint="eastAsia"/>
                <w:color w:val="auto"/>
                <w:lang w:val="en-US" w:eastAsia="zh-CN"/>
              </w:rPr>
              <w:t>废机油</w:t>
            </w:r>
          </w:p>
        </w:tc>
        <w:tc>
          <w:tcPr>
            <w:tcW w:w="1600" w:type="dxa"/>
            <w:vMerge w:val="continue"/>
            <w:vAlign w:val="center"/>
          </w:tcPr>
          <w:p w14:paraId="63FF509D">
            <w:pPr>
              <w:tabs>
                <w:tab w:val="left" w:pos="0"/>
              </w:tabs>
              <w:spacing w:line="0" w:lineRule="atLeast"/>
              <w:jc w:val="center"/>
              <w:rPr>
                <w:bCs/>
                <w:color w:val="auto"/>
              </w:rPr>
            </w:pPr>
          </w:p>
        </w:tc>
        <w:tc>
          <w:tcPr>
            <w:tcW w:w="1861" w:type="dxa"/>
            <w:vMerge w:val="continue"/>
            <w:vAlign w:val="center"/>
          </w:tcPr>
          <w:p w14:paraId="77268A2E">
            <w:pPr>
              <w:adjustRightInd w:val="0"/>
              <w:jc w:val="center"/>
              <w:rPr>
                <w:color w:val="auto"/>
              </w:rPr>
            </w:pPr>
          </w:p>
        </w:tc>
      </w:tr>
      <w:tr w14:paraId="193B4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778" w:type="dxa"/>
            <w:vMerge w:val="continue"/>
            <w:vAlign w:val="center"/>
          </w:tcPr>
          <w:p w14:paraId="56482752">
            <w:pPr>
              <w:adjustRightInd w:val="0"/>
              <w:jc w:val="center"/>
              <w:rPr>
                <w:color w:val="auto"/>
              </w:rPr>
            </w:pPr>
          </w:p>
        </w:tc>
        <w:tc>
          <w:tcPr>
            <w:tcW w:w="1746" w:type="dxa"/>
            <w:vAlign w:val="center"/>
          </w:tcPr>
          <w:p w14:paraId="11B746BE">
            <w:pPr>
              <w:spacing w:line="0" w:lineRule="atLeast"/>
              <w:jc w:val="center"/>
              <w:rPr>
                <w:color w:val="auto"/>
              </w:rPr>
            </w:pPr>
            <w:r>
              <w:rPr>
                <w:color w:val="auto"/>
              </w:rPr>
              <w:t>办公、生活</w:t>
            </w:r>
          </w:p>
        </w:tc>
        <w:tc>
          <w:tcPr>
            <w:tcW w:w="1815" w:type="dxa"/>
            <w:gridSpan w:val="3"/>
            <w:vAlign w:val="center"/>
          </w:tcPr>
          <w:p w14:paraId="6C0952D1">
            <w:pPr>
              <w:spacing w:line="0" w:lineRule="atLeast"/>
              <w:jc w:val="center"/>
              <w:rPr>
                <w:color w:val="auto"/>
              </w:rPr>
            </w:pPr>
            <w:r>
              <w:rPr>
                <w:color w:val="auto"/>
              </w:rPr>
              <w:t>生活垃圾</w:t>
            </w:r>
          </w:p>
        </w:tc>
        <w:tc>
          <w:tcPr>
            <w:tcW w:w="1600" w:type="dxa"/>
            <w:vAlign w:val="center"/>
          </w:tcPr>
          <w:p w14:paraId="4FD68B55">
            <w:pPr>
              <w:tabs>
                <w:tab w:val="left" w:pos="0"/>
              </w:tabs>
              <w:spacing w:line="0" w:lineRule="atLeast"/>
              <w:jc w:val="center"/>
              <w:rPr>
                <w:color w:val="auto"/>
              </w:rPr>
            </w:pPr>
            <w:r>
              <w:rPr>
                <w:rFonts w:hint="eastAsia"/>
                <w:color w:val="auto"/>
              </w:rPr>
              <w:t>/</w:t>
            </w:r>
          </w:p>
        </w:tc>
        <w:tc>
          <w:tcPr>
            <w:tcW w:w="1861" w:type="dxa"/>
            <w:vAlign w:val="center"/>
          </w:tcPr>
          <w:p w14:paraId="6F5237F2">
            <w:pPr>
              <w:adjustRightInd w:val="0"/>
              <w:jc w:val="center"/>
              <w:rPr>
                <w:color w:val="auto"/>
              </w:rPr>
            </w:pPr>
            <w:r>
              <w:rPr>
                <w:bCs/>
                <w:color w:val="auto"/>
              </w:rPr>
              <w:t>环卫定期清运</w:t>
            </w:r>
          </w:p>
        </w:tc>
      </w:tr>
      <w:tr w14:paraId="551C5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14:paraId="14B39BAC">
            <w:pPr>
              <w:adjustRightInd w:val="0"/>
              <w:jc w:val="center"/>
              <w:rPr>
                <w:color w:val="auto"/>
              </w:rPr>
            </w:pPr>
            <w:r>
              <w:rPr>
                <w:color w:val="auto"/>
              </w:rPr>
              <w:t>土壤及地下水</w:t>
            </w:r>
          </w:p>
          <w:p w14:paraId="4B35D7F7">
            <w:pPr>
              <w:adjustRightInd w:val="0"/>
              <w:jc w:val="center"/>
              <w:rPr>
                <w:color w:val="auto"/>
              </w:rPr>
            </w:pPr>
            <w:r>
              <w:rPr>
                <w:color w:val="auto"/>
              </w:rPr>
              <w:t>污染防治措施</w:t>
            </w:r>
          </w:p>
        </w:tc>
        <w:tc>
          <w:tcPr>
            <w:tcW w:w="7022" w:type="dxa"/>
            <w:gridSpan w:val="6"/>
            <w:vAlign w:val="center"/>
          </w:tcPr>
          <w:p w14:paraId="57875DE8">
            <w:pPr>
              <w:adjustRightInd w:val="0"/>
              <w:jc w:val="left"/>
              <w:rPr>
                <w:color w:val="auto"/>
              </w:rPr>
            </w:pPr>
            <w:r>
              <w:rPr>
                <w:rFonts w:hint="eastAsia"/>
                <w:color w:val="auto"/>
              </w:rPr>
              <w:t>从源头控制，加强分区防治措施</w:t>
            </w:r>
            <w:r>
              <w:rPr>
                <w:rFonts w:hint="eastAsia"/>
                <w:color w:val="auto"/>
                <w:kern w:val="0"/>
              </w:rPr>
              <w:t>，</w:t>
            </w:r>
            <w:r>
              <w:rPr>
                <w:color w:val="auto"/>
                <w:kern w:val="0"/>
              </w:rPr>
              <w:t>加强废气污染防治措施管理和维护，确保其正常运行，减少气态污染物沉降造成土壤及地下水污染。占地</w:t>
            </w:r>
            <w:r>
              <w:rPr>
                <w:rFonts w:hint="eastAsia"/>
                <w:color w:val="auto"/>
                <w:kern w:val="0"/>
                <w:lang w:val="en-US" w:eastAsia="zh-CN"/>
              </w:rPr>
              <w:t>范</w:t>
            </w:r>
            <w:r>
              <w:rPr>
                <w:color w:val="auto"/>
                <w:kern w:val="0"/>
              </w:rPr>
              <w:t>围内应采取绿化措施，以种植具有较强吸附能力的</w:t>
            </w:r>
            <w:r>
              <w:rPr>
                <w:rFonts w:hint="eastAsia"/>
                <w:color w:val="auto"/>
                <w:kern w:val="0"/>
              </w:rPr>
              <w:t>植物</w:t>
            </w:r>
            <w:r>
              <w:rPr>
                <w:color w:val="auto"/>
                <w:kern w:val="0"/>
              </w:rPr>
              <w:t>为主。</w:t>
            </w:r>
          </w:p>
        </w:tc>
      </w:tr>
      <w:tr w14:paraId="4AADA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778" w:type="dxa"/>
            <w:vAlign w:val="center"/>
          </w:tcPr>
          <w:p w14:paraId="60C69EB9">
            <w:pPr>
              <w:adjustRightInd w:val="0"/>
              <w:jc w:val="center"/>
              <w:rPr>
                <w:color w:val="auto"/>
              </w:rPr>
            </w:pPr>
            <w:r>
              <w:rPr>
                <w:color w:val="auto"/>
              </w:rPr>
              <w:t>生态保护措施</w:t>
            </w:r>
          </w:p>
        </w:tc>
        <w:tc>
          <w:tcPr>
            <w:tcW w:w="7022" w:type="dxa"/>
            <w:gridSpan w:val="6"/>
            <w:vAlign w:val="center"/>
          </w:tcPr>
          <w:p w14:paraId="750F27D3">
            <w:pPr>
              <w:adjustRightInd w:val="0"/>
              <w:jc w:val="center"/>
              <w:rPr>
                <w:color w:val="auto"/>
              </w:rPr>
            </w:pPr>
            <w:r>
              <w:rPr>
                <w:rFonts w:hint="eastAsia"/>
                <w:color w:val="auto"/>
              </w:rPr>
              <w:t>/</w:t>
            </w:r>
          </w:p>
        </w:tc>
      </w:tr>
      <w:tr w14:paraId="3F36F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14:paraId="2C948689">
            <w:pPr>
              <w:adjustRightInd w:val="0"/>
              <w:jc w:val="center"/>
              <w:rPr>
                <w:color w:val="auto"/>
                <w:spacing w:val="-8"/>
              </w:rPr>
            </w:pPr>
            <w:r>
              <w:rPr>
                <w:color w:val="auto"/>
                <w:spacing w:val="-8"/>
              </w:rPr>
              <w:t>环境风险</w:t>
            </w:r>
          </w:p>
          <w:p w14:paraId="009D0EBA">
            <w:pPr>
              <w:adjustRightInd w:val="0"/>
              <w:jc w:val="center"/>
              <w:rPr>
                <w:color w:val="auto"/>
                <w:spacing w:val="-8"/>
              </w:rPr>
            </w:pPr>
            <w:r>
              <w:rPr>
                <w:color w:val="auto"/>
                <w:spacing w:val="-8"/>
              </w:rPr>
              <w:t>防范措施</w:t>
            </w:r>
          </w:p>
        </w:tc>
        <w:tc>
          <w:tcPr>
            <w:tcW w:w="7022" w:type="dxa"/>
            <w:gridSpan w:val="6"/>
            <w:vAlign w:val="center"/>
          </w:tcPr>
          <w:p w14:paraId="2A251398">
            <w:pPr>
              <w:snapToGrid/>
              <w:ind w:firstLine="420" w:firstLineChars="200"/>
              <w:rPr>
                <w:color w:val="auto"/>
              </w:rPr>
            </w:pPr>
            <w:r>
              <w:rPr>
                <w:color w:val="auto"/>
              </w:rPr>
              <w:t>①建设单位需组建安全环保管理机构或配备管理人员，通过技能培训，承担该厂的环保安全工作。根据相关的环境管理要求，结合具体情况，制定公司的各项安全生产管理制度、严格的生产操作规则和完善的事故应急计划及相应的应急处理手段和设施，同时加强安全教育，以提高职工的安全意识和安全防范能力，同时对可能造成泄露、起火爆炸的场所、生产装置、环保治理措施定期检查，消除安全隐患。</w:t>
            </w:r>
          </w:p>
          <w:p w14:paraId="75340DF8">
            <w:pPr>
              <w:snapToGrid/>
              <w:ind w:firstLine="420" w:firstLineChars="200"/>
              <w:rPr>
                <w:color w:val="auto"/>
              </w:rPr>
            </w:pPr>
            <w:r>
              <w:rPr>
                <w:color w:val="auto"/>
              </w:rPr>
              <w:t>②全厂各类设备从设计、安装、制造严格按照安全规定要求进行，设备、管道动静密封点已采取有效的密封措施，防止物料跑冒滴漏；管理区应与生产区之间明显分隔，尽可能集中设置；合理布置工艺设备，要有利于安全生产和便于操作、控制；加强局部通风；车间应设置安全疏散通道；加强工作区管理，配备相应救援设施，完善组织管理措施，培训职工掌握有关毒物的毒性及预防中毒的方法和急救法；制定事故应急预案；按照有关规定考虑消防设施及火灾报警系统和紧急救援站的设置。</w:t>
            </w:r>
          </w:p>
          <w:p w14:paraId="0B652628">
            <w:pPr>
              <w:snapToGrid/>
              <w:ind w:firstLine="420" w:firstLineChars="200"/>
              <w:rPr>
                <w:color w:val="auto"/>
              </w:rPr>
            </w:pPr>
            <w:r>
              <w:rPr>
                <w:color w:val="auto"/>
              </w:rPr>
              <w:t>③标准设备要选择符合工艺要求、质量好的设备、管道、阀门；非标准设备要选择有资质的设备制造企业，并进行必要的监造，确保质量。生产和使用过程中，要对可能的泄漏点进行经常性的检查、维护和控制，加强对设备及管道的巡视和维修，防止跑、冒、滴、漏、串等现象发生，防患于未然。从工艺设计上，对可能因静电、明火引起</w:t>
            </w:r>
            <w:r>
              <w:rPr>
                <w:rFonts w:hint="eastAsia"/>
                <w:color w:val="auto"/>
                <w:lang w:val="en-US" w:eastAsia="zh-CN"/>
              </w:rPr>
              <w:t>爆炸</w:t>
            </w:r>
            <w:r>
              <w:rPr>
                <w:color w:val="auto"/>
              </w:rPr>
              <w:t>的生产装置、环保装置、车间、仓库进行防爆灯安全设计。</w:t>
            </w:r>
          </w:p>
          <w:p w14:paraId="5BFF5772">
            <w:pPr>
              <w:snapToGrid/>
              <w:ind w:firstLine="420" w:firstLineChars="200"/>
              <w:rPr>
                <w:color w:val="auto"/>
              </w:rPr>
            </w:pPr>
            <w:r>
              <w:rPr>
                <w:color w:val="auto"/>
              </w:rPr>
              <w:t>④编制突发环境事故应急预案，定期组织事故应急演练。</w:t>
            </w:r>
          </w:p>
        </w:tc>
      </w:tr>
      <w:tr w14:paraId="1A6B6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78" w:type="dxa"/>
            <w:vAlign w:val="center"/>
          </w:tcPr>
          <w:p w14:paraId="5C20F01F">
            <w:pPr>
              <w:adjustRightInd w:val="0"/>
              <w:jc w:val="center"/>
              <w:rPr>
                <w:color w:val="auto"/>
                <w:spacing w:val="-8"/>
              </w:rPr>
            </w:pPr>
            <w:r>
              <w:rPr>
                <w:color w:val="auto"/>
                <w:spacing w:val="-8"/>
              </w:rPr>
              <w:t>其他环境</w:t>
            </w:r>
          </w:p>
          <w:p w14:paraId="33AF4C9D">
            <w:pPr>
              <w:adjustRightInd w:val="0"/>
              <w:jc w:val="center"/>
              <w:rPr>
                <w:color w:val="auto"/>
                <w:spacing w:val="-8"/>
              </w:rPr>
            </w:pPr>
            <w:r>
              <w:rPr>
                <w:color w:val="auto"/>
                <w:spacing w:val="-8"/>
              </w:rPr>
              <w:t>管理要求</w:t>
            </w:r>
          </w:p>
        </w:tc>
        <w:tc>
          <w:tcPr>
            <w:tcW w:w="7022" w:type="dxa"/>
            <w:gridSpan w:val="6"/>
            <w:vAlign w:val="center"/>
          </w:tcPr>
          <w:p w14:paraId="7B12AE0E">
            <w:pPr>
              <w:snapToGrid/>
              <w:ind w:firstLine="420" w:firstLineChars="200"/>
              <w:rPr>
                <w:color w:val="auto"/>
              </w:rPr>
            </w:pPr>
            <w:r>
              <w:rPr>
                <w:color w:val="auto"/>
              </w:rPr>
              <w:t>1、建设单位应在项目投产前在全国排污许可证管理信息平台申领排污许可手续。</w:t>
            </w:r>
          </w:p>
          <w:p w14:paraId="017CA6A5">
            <w:pPr>
              <w:snapToGrid/>
              <w:ind w:firstLine="420" w:firstLineChars="200"/>
              <w:rPr>
                <w:color w:val="auto"/>
              </w:rPr>
            </w:pPr>
            <w:r>
              <w:rPr>
                <w:color w:val="auto"/>
              </w:rPr>
              <w:t>2、建设单位应按照本报告提出的污染源监控计划对本项目定期进行污染源监测。</w:t>
            </w:r>
          </w:p>
          <w:p w14:paraId="402FE88F">
            <w:pPr>
              <w:snapToGrid/>
              <w:ind w:firstLine="420" w:firstLineChars="200"/>
              <w:rPr>
                <w:color w:val="auto"/>
              </w:rPr>
            </w:pPr>
            <w:r>
              <w:rPr>
                <w:color w:val="auto"/>
              </w:rPr>
              <w:t>3、建设单位应根据环保竣工验收相关要求，自主开展环境保护竣工验收相关工作。建设项目配套建设的环境保护设施经验收合格，方可投入生产或者使用，未经验收或者验收不合格的，不得投入生产或者使用。</w:t>
            </w:r>
          </w:p>
          <w:p w14:paraId="295F6C98">
            <w:pPr>
              <w:snapToGrid/>
              <w:ind w:firstLine="420" w:firstLineChars="200"/>
              <w:rPr>
                <w:color w:val="auto"/>
              </w:rPr>
            </w:pPr>
            <w:r>
              <w:rPr>
                <w:color w:val="auto"/>
              </w:rPr>
              <w:t>4、企业还应按排污许可分类管理要求进行定期信息公开，做好设备设施运行的定期记录等工作。</w:t>
            </w:r>
          </w:p>
        </w:tc>
      </w:tr>
    </w:tbl>
    <w:p w14:paraId="61DABB1A">
      <w:pPr>
        <w:rPr>
          <w:color w:val="auto"/>
        </w:rPr>
      </w:pPr>
    </w:p>
    <w:p w14:paraId="6EA46F06">
      <w:pPr>
        <w:pStyle w:val="3"/>
        <w:jc w:val="center"/>
        <w:rPr>
          <w:b/>
          <w:bCs/>
          <w:color w:val="auto"/>
        </w:rPr>
      </w:pPr>
      <w:r>
        <w:rPr>
          <w:rFonts w:hint="eastAsia"/>
          <w:b/>
          <w:bCs/>
          <w:color w:val="auto"/>
        </w:rPr>
        <w:t>六、结论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B5FA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BB1AE3A">
            <w:pPr>
              <w:spacing w:line="360" w:lineRule="auto"/>
              <w:rPr>
                <w:color w:val="auto"/>
              </w:rPr>
            </w:pPr>
          </w:p>
          <w:p w14:paraId="456352D1">
            <w:pPr>
              <w:spacing w:line="360" w:lineRule="auto"/>
              <w:ind w:firstLine="480" w:firstLineChars="200"/>
              <w:rPr>
                <w:color w:val="auto"/>
                <w:sz w:val="24"/>
                <w:szCs w:val="24"/>
              </w:rPr>
            </w:pPr>
            <w:r>
              <w:rPr>
                <w:rFonts w:hint="eastAsia"/>
                <w:color w:val="auto"/>
                <w:sz w:val="24"/>
                <w:szCs w:val="24"/>
              </w:rPr>
              <w:t>综上所述，</w:t>
            </w:r>
            <w:r>
              <w:rPr>
                <w:color w:val="auto"/>
                <w:sz w:val="24"/>
                <w:szCs w:val="24"/>
              </w:rPr>
              <w:t>本项目位于</w:t>
            </w:r>
            <w:r>
              <w:rPr>
                <w:color w:val="auto"/>
                <w:kern w:val="0"/>
                <w:sz w:val="24"/>
                <w:lang w:val="zh-CN"/>
              </w:rPr>
              <w:t>常州市</w:t>
            </w:r>
            <w:r>
              <w:rPr>
                <w:rFonts w:hint="eastAsia"/>
                <w:color w:val="auto"/>
                <w:kern w:val="0"/>
                <w:sz w:val="24"/>
              </w:rPr>
              <w:t>金坛</w:t>
            </w:r>
            <w:r>
              <w:rPr>
                <w:color w:val="auto"/>
                <w:kern w:val="0"/>
                <w:sz w:val="24"/>
                <w:lang w:val="zh-CN"/>
              </w:rPr>
              <w:t>区</w:t>
            </w:r>
            <w:r>
              <w:rPr>
                <w:rFonts w:hint="eastAsia"/>
                <w:color w:val="auto"/>
                <w:sz w:val="24"/>
              </w:rPr>
              <w:t>直溪镇工业集中区直溪大道16号</w:t>
            </w:r>
            <w:r>
              <w:rPr>
                <w:color w:val="auto"/>
                <w:sz w:val="24"/>
                <w:szCs w:val="24"/>
              </w:rPr>
              <w:t>，项目建设符合国家的相关产业政策</w:t>
            </w:r>
            <w:r>
              <w:rPr>
                <w:rFonts w:hint="eastAsia"/>
                <w:color w:val="auto"/>
                <w:sz w:val="24"/>
                <w:szCs w:val="24"/>
              </w:rPr>
              <w:t>、法律法规</w:t>
            </w:r>
            <w:r>
              <w:rPr>
                <w:color w:val="auto"/>
                <w:sz w:val="24"/>
                <w:szCs w:val="24"/>
              </w:rPr>
              <w:t>和江苏省各项企业准入条件要求</w:t>
            </w:r>
            <w:r>
              <w:rPr>
                <w:rFonts w:hint="eastAsia"/>
                <w:color w:val="auto"/>
                <w:sz w:val="24"/>
                <w:szCs w:val="24"/>
              </w:rPr>
              <w:t>；</w:t>
            </w:r>
            <w:r>
              <w:rPr>
                <w:color w:val="auto"/>
                <w:sz w:val="24"/>
                <w:szCs w:val="24"/>
              </w:rPr>
              <w:t>项目选址符合</w:t>
            </w:r>
            <w:r>
              <w:rPr>
                <w:rFonts w:hint="eastAsia"/>
                <w:color w:val="auto"/>
                <w:sz w:val="24"/>
                <w:szCs w:val="24"/>
              </w:rPr>
              <w:t>相关</w:t>
            </w:r>
            <w:r>
              <w:rPr>
                <w:color w:val="auto"/>
                <w:sz w:val="24"/>
                <w:szCs w:val="24"/>
              </w:rPr>
              <w:t>规划；</w:t>
            </w:r>
            <w:r>
              <w:rPr>
                <w:rFonts w:hint="eastAsia"/>
                <w:color w:val="auto"/>
                <w:sz w:val="24"/>
                <w:szCs w:val="24"/>
              </w:rPr>
              <w:t>采取报告中各类环保措施后，区域环境质量不下降，项目排放的各类污染物能达到国家和地方排放标准；污染物排放总量可在区域内平衡解决；</w:t>
            </w:r>
            <w:r>
              <w:rPr>
                <w:color w:val="auto"/>
                <w:sz w:val="24"/>
                <w:szCs w:val="24"/>
              </w:rPr>
              <w:t>环境风险可接受。</w:t>
            </w:r>
          </w:p>
          <w:p w14:paraId="551FC5CA">
            <w:pPr>
              <w:spacing w:line="360" w:lineRule="auto"/>
              <w:ind w:firstLine="480" w:firstLineChars="200"/>
              <w:rPr>
                <w:color w:val="auto"/>
                <w:sz w:val="24"/>
                <w:szCs w:val="24"/>
              </w:rPr>
            </w:pPr>
            <w:r>
              <w:rPr>
                <w:rFonts w:hint="eastAsia"/>
                <w:color w:val="auto"/>
                <w:sz w:val="24"/>
                <w:szCs w:val="24"/>
              </w:rPr>
              <w:t>因此本项目在落实本报告表提出的各项环保措施要求，严格执行环保“三同时”的前提下，从环保角度分析，本项目建设具有环境可行性。</w:t>
            </w:r>
          </w:p>
          <w:p w14:paraId="7EC36636">
            <w:pPr>
              <w:pStyle w:val="3"/>
              <w:rPr>
                <w:color w:val="auto"/>
              </w:rPr>
            </w:pPr>
          </w:p>
          <w:p w14:paraId="51558CB8">
            <w:pPr>
              <w:rPr>
                <w:color w:val="auto"/>
              </w:rPr>
            </w:pPr>
          </w:p>
          <w:p w14:paraId="0FD2F604">
            <w:pPr>
              <w:pStyle w:val="3"/>
              <w:rPr>
                <w:color w:val="auto"/>
              </w:rPr>
            </w:pPr>
          </w:p>
          <w:p w14:paraId="69BF2213">
            <w:pPr>
              <w:rPr>
                <w:color w:val="auto"/>
              </w:rPr>
            </w:pPr>
          </w:p>
          <w:p w14:paraId="7A5927C6">
            <w:pPr>
              <w:pStyle w:val="3"/>
              <w:rPr>
                <w:color w:val="auto"/>
              </w:rPr>
            </w:pPr>
          </w:p>
          <w:p w14:paraId="59C3E30D">
            <w:pPr>
              <w:rPr>
                <w:color w:val="auto"/>
              </w:rPr>
            </w:pPr>
          </w:p>
          <w:p w14:paraId="5C2E47B4">
            <w:pPr>
              <w:pStyle w:val="3"/>
              <w:rPr>
                <w:color w:val="auto"/>
              </w:rPr>
            </w:pPr>
          </w:p>
          <w:p w14:paraId="1852FAF7">
            <w:pPr>
              <w:pStyle w:val="3"/>
              <w:rPr>
                <w:color w:val="auto"/>
              </w:rPr>
            </w:pPr>
          </w:p>
          <w:p w14:paraId="5162F76B">
            <w:pPr>
              <w:rPr>
                <w:color w:val="auto"/>
              </w:rPr>
            </w:pPr>
          </w:p>
          <w:p w14:paraId="2708CC27">
            <w:pPr>
              <w:pStyle w:val="3"/>
              <w:rPr>
                <w:color w:val="auto"/>
              </w:rPr>
            </w:pPr>
          </w:p>
          <w:p w14:paraId="52F24099">
            <w:pPr>
              <w:rPr>
                <w:color w:val="auto"/>
              </w:rPr>
            </w:pPr>
          </w:p>
          <w:p w14:paraId="2E46A358">
            <w:pPr>
              <w:pStyle w:val="3"/>
              <w:rPr>
                <w:color w:val="auto"/>
              </w:rPr>
            </w:pPr>
          </w:p>
          <w:p w14:paraId="12B51B87">
            <w:pPr>
              <w:rPr>
                <w:color w:val="auto"/>
              </w:rPr>
            </w:pPr>
          </w:p>
          <w:p w14:paraId="5A4E3CCF">
            <w:pPr>
              <w:rPr>
                <w:color w:val="auto"/>
              </w:rPr>
            </w:pPr>
          </w:p>
          <w:p w14:paraId="46A5310C">
            <w:pPr>
              <w:rPr>
                <w:color w:val="auto"/>
              </w:rPr>
            </w:pPr>
          </w:p>
          <w:p w14:paraId="6E26737E">
            <w:pPr>
              <w:rPr>
                <w:color w:val="auto"/>
              </w:rPr>
            </w:pPr>
          </w:p>
          <w:p w14:paraId="7876A725">
            <w:pPr>
              <w:jc w:val="left"/>
              <w:rPr>
                <w:color w:val="auto"/>
              </w:rPr>
            </w:pPr>
          </w:p>
          <w:p w14:paraId="6E4A4735">
            <w:pPr>
              <w:jc w:val="left"/>
              <w:rPr>
                <w:color w:val="auto"/>
              </w:rPr>
            </w:pPr>
          </w:p>
          <w:p w14:paraId="545191A6">
            <w:pPr>
              <w:jc w:val="left"/>
              <w:rPr>
                <w:color w:val="auto"/>
              </w:rPr>
            </w:pPr>
          </w:p>
          <w:p w14:paraId="20A5C83D">
            <w:pPr>
              <w:jc w:val="left"/>
              <w:rPr>
                <w:color w:val="auto"/>
              </w:rPr>
            </w:pPr>
          </w:p>
          <w:p w14:paraId="2174FEF7">
            <w:pPr>
              <w:jc w:val="left"/>
              <w:rPr>
                <w:color w:val="auto"/>
              </w:rPr>
            </w:pPr>
          </w:p>
          <w:p w14:paraId="4AD55484">
            <w:pPr>
              <w:jc w:val="left"/>
              <w:rPr>
                <w:color w:val="auto"/>
              </w:rPr>
            </w:pPr>
          </w:p>
          <w:p w14:paraId="3678D7EA">
            <w:pPr>
              <w:jc w:val="left"/>
              <w:rPr>
                <w:color w:val="auto"/>
              </w:rPr>
            </w:pPr>
          </w:p>
          <w:p w14:paraId="628C2493">
            <w:pPr>
              <w:jc w:val="left"/>
              <w:rPr>
                <w:color w:val="auto"/>
              </w:rPr>
            </w:pPr>
          </w:p>
          <w:p w14:paraId="5FF9F0E8">
            <w:pPr>
              <w:jc w:val="left"/>
              <w:rPr>
                <w:color w:val="auto"/>
              </w:rPr>
            </w:pPr>
          </w:p>
          <w:p w14:paraId="56E05365">
            <w:pPr>
              <w:jc w:val="left"/>
              <w:rPr>
                <w:color w:val="auto"/>
              </w:rPr>
            </w:pPr>
          </w:p>
          <w:p w14:paraId="417CEC76">
            <w:pPr>
              <w:jc w:val="left"/>
              <w:rPr>
                <w:color w:val="auto"/>
              </w:rPr>
            </w:pPr>
          </w:p>
          <w:p w14:paraId="20F13E3D">
            <w:pPr>
              <w:jc w:val="left"/>
              <w:rPr>
                <w:color w:val="auto"/>
              </w:rPr>
            </w:pPr>
          </w:p>
          <w:p w14:paraId="24ABA2B4">
            <w:pPr>
              <w:jc w:val="left"/>
              <w:rPr>
                <w:color w:val="auto"/>
              </w:rPr>
            </w:pPr>
          </w:p>
          <w:p w14:paraId="4C04F068">
            <w:pPr>
              <w:jc w:val="left"/>
              <w:rPr>
                <w:color w:val="auto"/>
              </w:rPr>
            </w:pPr>
          </w:p>
          <w:p w14:paraId="1ED8A7B9">
            <w:pPr>
              <w:jc w:val="left"/>
              <w:rPr>
                <w:color w:val="auto"/>
              </w:rPr>
            </w:pPr>
          </w:p>
          <w:p w14:paraId="671AB406">
            <w:pPr>
              <w:jc w:val="left"/>
              <w:rPr>
                <w:color w:val="auto"/>
              </w:rPr>
            </w:pPr>
          </w:p>
        </w:tc>
      </w:tr>
    </w:tbl>
    <w:p w14:paraId="5C447440">
      <w:pPr>
        <w:rPr>
          <w:color w:val="auto"/>
        </w:rPr>
      </w:pPr>
    </w:p>
    <w:p w14:paraId="07F65004">
      <w:pPr>
        <w:pStyle w:val="17"/>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7734CA9">
      <w:pPr>
        <w:pStyle w:val="19"/>
        <w:adjustRightIn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4BC0B1DE">
      <w:pPr>
        <w:pStyle w:val="19"/>
        <w:adjustRightInd w:val="0"/>
        <w:spacing w:before="0" w:beforeAutospacing="0" w:after="0" w:afterAutospacing="0"/>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708"/>
        <w:gridCol w:w="709"/>
        <w:gridCol w:w="1701"/>
        <w:gridCol w:w="1276"/>
        <w:gridCol w:w="1701"/>
        <w:gridCol w:w="1559"/>
        <w:gridCol w:w="1761"/>
        <w:gridCol w:w="1869"/>
        <w:gridCol w:w="916"/>
      </w:tblGrid>
      <w:tr w14:paraId="34146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14:paraId="51C6D191">
            <w:pPr>
              <w:pStyle w:val="42"/>
              <w:spacing w:beforeLines="0" w:afterLines="0" w:line="240" w:lineRule="auto"/>
              <w:jc w:val="righ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14:paraId="33FA980D">
            <w:pPr>
              <w:pStyle w:val="42"/>
              <w:spacing w:beforeLines="0" w:afterLines="0" w:line="240" w:lineRule="auto"/>
              <w:jc w:val="lef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1417" w:type="dxa"/>
            <w:gridSpan w:val="2"/>
            <w:tcMar>
              <w:left w:w="28" w:type="dxa"/>
              <w:right w:w="28" w:type="dxa"/>
            </w:tcMar>
            <w:vAlign w:val="center"/>
          </w:tcPr>
          <w:p w14:paraId="04C5FC9D">
            <w:pPr>
              <w:pStyle w:val="42"/>
              <w:spacing w:beforeLines="0" w:afterLines="0" w:line="240" w:lineRule="auto"/>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701" w:type="dxa"/>
            <w:tcMar>
              <w:left w:w="28" w:type="dxa"/>
              <w:right w:w="28" w:type="dxa"/>
            </w:tcMar>
            <w:vAlign w:val="center"/>
          </w:tcPr>
          <w:p w14:paraId="372ABC0B">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0DBCE3DB">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1276" w:type="dxa"/>
            <w:tcMar>
              <w:left w:w="28" w:type="dxa"/>
              <w:right w:w="28" w:type="dxa"/>
            </w:tcMar>
            <w:vAlign w:val="center"/>
          </w:tcPr>
          <w:p w14:paraId="04F3602C">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6288F3F0">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27CFB521">
            <w:pPr>
              <w:pStyle w:val="42"/>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701" w:type="dxa"/>
            <w:tcMar>
              <w:left w:w="28" w:type="dxa"/>
              <w:right w:w="28" w:type="dxa"/>
            </w:tcMar>
            <w:vAlign w:val="center"/>
          </w:tcPr>
          <w:p w14:paraId="47FCC516">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03A924DC">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1559" w:type="dxa"/>
            <w:tcMar>
              <w:left w:w="28" w:type="dxa"/>
              <w:right w:w="28" w:type="dxa"/>
            </w:tcMar>
            <w:vAlign w:val="center"/>
          </w:tcPr>
          <w:p w14:paraId="31D9285D">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27BA4491">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1761" w:type="dxa"/>
            <w:tcMar>
              <w:left w:w="28" w:type="dxa"/>
              <w:right w:w="28" w:type="dxa"/>
            </w:tcMar>
            <w:vAlign w:val="center"/>
          </w:tcPr>
          <w:p w14:paraId="50BBBB6E">
            <w:pPr>
              <w:pStyle w:val="42"/>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60A72290">
            <w:pPr>
              <w:pStyle w:val="42"/>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1869" w:type="dxa"/>
            <w:tcMar>
              <w:left w:w="28" w:type="dxa"/>
              <w:right w:w="28" w:type="dxa"/>
            </w:tcMar>
            <w:vAlign w:val="center"/>
          </w:tcPr>
          <w:p w14:paraId="2B4F05F7">
            <w:pPr>
              <w:pStyle w:val="42"/>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7EBD5EEF">
            <w:pPr>
              <w:pStyle w:val="42"/>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916" w:type="dxa"/>
            <w:tcMar>
              <w:left w:w="28" w:type="dxa"/>
              <w:right w:w="28" w:type="dxa"/>
            </w:tcMar>
            <w:vAlign w:val="center"/>
          </w:tcPr>
          <w:p w14:paraId="05DDA019">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3910D12C">
            <w:pPr>
              <w:pStyle w:val="42"/>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14:paraId="63C08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35EEF9C4">
            <w:pPr>
              <w:pStyle w:val="42"/>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废气</w:t>
            </w:r>
          </w:p>
        </w:tc>
        <w:tc>
          <w:tcPr>
            <w:tcW w:w="708" w:type="dxa"/>
            <w:vAlign w:val="center"/>
          </w:tcPr>
          <w:p w14:paraId="18919304">
            <w:pPr>
              <w:widowControl/>
              <w:jc w:val="center"/>
              <w:textAlignment w:val="center"/>
              <w:rPr>
                <w:snapToGrid w:val="0"/>
                <w:color w:val="auto"/>
                <w:kern w:val="21"/>
              </w:rPr>
            </w:pPr>
            <w:r>
              <w:rPr>
                <w:rFonts w:hint="eastAsia" w:ascii="宋体" w:hAnsi="宋体" w:cs="宋体"/>
                <w:color w:val="auto"/>
                <w:kern w:val="0"/>
              </w:rPr>
              <w:t>有组织</w:t>
            </w:r>
          </w:p>
        </w:tc>
        <w:tc>
          <w:tcPr>
            <w:tcW w:w="709" w:type="dxa"/>
            <w:vMerge w:val="restart"/>
            <w:vAlign w:val="center"/>
          </w:tcPr>
          <w:p w14:paraId="2DD34E44">
            <w:pPr>
              <w:widowControl/>
              <w:jc w:val="center"/>
              <w:textAlignment w:val="center"/>
              <w:rPr>
                <w:snapToGrid w:val="0"/>
                <w:color w:val="auto"/>
                <w:kern w:val="21"/>
              </w:rPr>
            </w:pPr>
            <w:r>
              <w:rPr>
                <w:rFonts w:hint="eastAsia" w:ascii="宋体" w:hAnsi="宋体" w:cs="宋体"/>
                <w:color w:val="auto"/>
                <w:kern w:val="0"/>
              </w:rPr>
              <w:t>非甲烷总烃</w:t>
            </w:r>
          </w:p>
        </w:tc>
        <w:tc>
          <w:tcPr>
            <w:tcW w:w="1701" w:type="dxa"/>
            <w:vAlign w:val="center"/>
          </w:tcPr>
          <w:p w14:paraId="172A8530">
            <w:pPr>
              <w:widowControl/>
              <w:jc w:val="center"/>
              <w:textAlignment w:val="center"/>
              <w:rPr>
                <w:color w:val="auto"/>
                <w:kern w:val="0"/>
                <w:lang w:bidi="ar"/>
              </w:rPr>
            </w:pPr>
            <w:r>
              <w:rPr>
                <w:rFonts w:hint="eastAsia"/>
                <w:color w:val="auto"/>
                <w:lang w:val="en-US" w:eastAsia="zh-CN"/>
              </w:rPr>
              <w:t>0.0279</w:t>
            </w:r>
          </w:p>
        </w:tc>
        <w:tc>
          <w:tcPr>
            <w:tcW w:w="1276" w:type="dxa"/>
            <w:vAlign w:val="center"/>
          </w:tcPr>
          <w:p w14:paraId="760DB345">
            <w:pPr>
              <w:widowControl/>
              <w:jc w:val="center"/>
              <w:textAlignment w:val="center"/>
              <w:rPr>
                <w:color w:val="auto"/>
                <w:kern w:val="0"/>
                <w:lang w:bidi="ar"/>
              </w:rPr>
            </w:pPr>
            <w:r>
              <w:rPr>
                <w:color w:val="auto"/>
                <w:kern w:val="0"/>
                <w:lang w:bidi="ar"/>
              </w:rPr>
              <w:t>0</w:t>
            </w:r>
          </w:p>
        </w:tc>
        <w:tc>
          <w:tcPr>
            <w:tcW w:w="1701" w:type="dxa"/>
            <w:vAlign w:val="center"/>
          </w:tcPr>
          <w:p w14:paraId="29B943EF">
            <w:pPr>
              <w:widowControl/>
              <w:jc w:val="center"/>
              <w:textAlignment w:val="center"/>
              <w:rPr>
                <w:color w:val="auto"/>
                <w:kern w:val="0"/>
                <w:lang w:bidi="ar"/>
              </w:rPr>
            </w:pPr>
            <w:r>
              <w:rPr>
                <w:color w:val="auto"/>
                <w:kern w:val="0"/>
                <w:lang w:bidi="ar"/>
              </w:rPr>
              <w:t>0</w:t>
            </w:r>
          </w:p>
        </w:tc>
        <w:tc>
          <w:tcPr>
            <w:tcW w:w="1559" w:type="dxa"/>
            <w:vAlign w:val="center"/>
          </w:tcPr>
          <w:p w14:paraId="078080EF">
            <w:pPr>
              <w:widowControl/>
              <w:jc w:val="center"/>
              <w:textAlignment w:val="center"/>
              <w:rPr>
                <w:color w:val="auto"/>
                <w:kern w:val="0"/>
                <w:lang w:bidi="ar"/>
              </w:rPr>
            </w:pPr>
            <w:r>
              <w:rPr>
                <w:rFonts w:hint="eastAsia"/>
                <w:color w:val="auto"/>
                <w:kern w:val="0"/>
                <w:lang w:bidi="ar"/>
              </w:rPr>
              <w:t>0.14</w:t>
            </w:r>
          </w:p>
        </w:tc>
        <w:tc>
          <w:tcPr>
            <w:tcW w:w="1761" w:type="dxa"/>
            <w:vAlign w:val="center"/>
          </w:tcPr>
          <w:p w14:paraId="503F4B95">
            <w:pPr>
              <w:widowControl/>
              <w:jc w:val="center"/>
              <w:textAlignment w:val="center"/>
              <w:rPr>
                <w:color w:val="auto"/>
                <w:kern w:val="0"/>
                <w:lang w:bidi="ar"/>
              </w:rPr>
            </w:pPr>
            <w:r>
              <w:rPr>
                <w:rFonts w:hint="eastAsia"/>
                <w:color w:val="auto"/>
                <w:lang w:val="en-US" w:eastAsia="zh-CN"/>
              </w:rPr>
              <w:t>0.0279</w:t>
            </w:r>
          </w:p>
        </w:tc>
        <w:tc>
          <w:tcPr>
            <w:tcW w:w="1869" w:type="dxa"/>
            <w:vAlign w:val="center"/>
          </w:tcPr>
          <w:p w14:paraId="6B85A6D1">
            <w:pPr>
              <w:widowControl/>
              <w:jc w:val="center"/>
              <w:textAlignment w:val="center"/>
              <w:rPr>
                <w:color w:val="auto"/>
                <w:kern w:val="0"/>
                <w:lang w:bidi="ar"/>
              </w:rPr>
            </w:pPr>
            <w:r>
              <w:rPr>
                <w:rFonts w:hint="eastAsia"/>
                <w:color w:val="auto"/>
                <w:kern w:val="0"/>
                <w:lang w:bidi="ar"/>
              </w:rPr>
              <w:t>0.14</w:t>
            </w:r>
          </w:p>
        </w:tc>
        <w:tc>
          <w:tcPr>
            <w:tcW w:w="916" w:type="dxa"/>
            <w:vAlign w:val="center"/>
          </w:tcPr>
          <w:p w14:paraId="62D7409A">
            <w:pPr>
              <w:widowControl/>
              <w:jc w:val="center"/>
              <w:textAlignment w:val="center"/>
              <w:rPr>
                <w:rFonts w:hint="default" w:eastAsia="宋体"/>
                <w:color w:val="auto"/>
                <w:kern w:val="0"/>
                <w:lang w:val="en-US" w:eastAsia="zh-CN" w:bidi="ar"/>
              </w:rPr>
            </w:pPr>
            <w:r>
              <w:rPr>
                <w:rFonts w:hint="eastAsia"/>
                <w:color w:val="auto"/>
                <w:kern w:val="0"/>
                <w:lang w:bidi="ar"/>
              </w:rPr>
              <w:t>+0.</w:t>
            </w:r>
            <w:r>
              <w:rPr>
                <w:rFonts w:hint="eastAsia"/>
                <w:color w:val="auto"/>
                <w:kern w:val="0"/>
                <w:lang w:val="en-US" w:eastAsia="zh-CN" w:bidi="ar"/>
              </w:rPr>
              <w:t>1121</w:t>
            </w:r>
          </w:p>
        </w:tc>
      </w:tr>
      <w:tr w14:paraId="22FB8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53520DE5">
            <w:pPr>
              <w:pStyle w:val="42"/>
              <w:spacing w:beforeLines="0" w:afterLines="0" w:line="240" w:lineRule="auto"/>
              <w:rPr>
                <w:rFonts w:hAnsi="宋体" w:cs="宋体"/>
                <w:snapToGrid w:val="0"/>
                <w:color w:val="auto"/>
                <w:kern w:val="21"/>
                <w:szCs w:val="21"/>
              </w:rPr>
            </w:pPr>
          </w:p>
        </w:tc>
        <w:tc>
          <w:tcPr>
            <w:tcW w:w="708" w:type="dxa"/>
            <w:vAlign w:val="center"/>
          </w:tcPr>
          <w:p w14:paraId="35417C4F">
            <w:pPr>
              <w:widowControl/>
              <w:jc w:val="center"/>
              <w:textAlignment w:val="center"/>
              <w:rPr>
                <w:color w:val="auto"/>
              </w:rPr>
            </w:pPr>
            <w:r>
              <w:rPr>
                <w:rFonts w:hint="eastAsia" w:ascii="宋体" w:hAnsi="宋体" w:cs="宋体"/>
                <w:color w:val="auto"/>
                <w:kern w:val="0"/>
              </w:rPr>
              <w:t>无组织</w:t>
            </w:r>
          </w:p>
        </w:tc>
        <w:tc>
          <w:tcPr>
            <w:tcW w:w="709" w:type="dxa"/>
            <w:vMerge w:val="continue"/>
            <w:vAlign w:val="center"/>
          </w:tcPr>
          <w:p w14:paraId="78ACA55B">
            <w:pPr>
              <w:pStyle w:val="42"/>
              <w:spacing w:beforeLines="0" w:afterLines="0" w:line="240" w:lineRule="auto"/>
              <w:rPr>
                <w:rFonts w:ascii="Times New Roman"/>
                <w:color w:val="auto"/>
                <w:kern w:val="2"/>
                <w:szCs w:val="21"/>
              </w:rPr>
            </w:pPr>
          </w:p>
        </w:tc>
        <w:tc>
          <w:tcPr>
            <w:tcW w:w="1701" w:type="dxa"/>
            <w:vAlign w:val="center"/>
          </w:tcPr>
          <w:p w14:paraId="2444D5E8">
            <w:pPr>
              <w:widowControl/>
              <w:jc w:val="center"/>
              <w:textAlignment w:val="center"/>
              <w:rPr>
                <w:color w:val="auto"/>
                <w:kern w:val="0"/>
                <w:lang w:bidi="ar"/>
              </w:rPr>
            </w:pPr>
            <w:r>
              <w:rPr>
                <w:rFonts w:hint="eastAsia"/>
                <w:color w:val="auto"/>
                <w:kern w:val="0"/>
                <w:lang w:bidi="ar"/>
              </w:rPr>
              <w:t>0</w:t>
            </w:r>
          </w:p>
        </w:tc>
        <w:tc>
          <w:tcPr>
            <w:tcW w:w="1276" w:type="dxa"/>
            <w:vAlign w:val="center"/>
          </w:tcPr>
          <w:p w14:paraId="3DEF766B">
            <w:pPr>
              <w:widowControl/>
              <w:jc w:val="center"/>
              <w:textAlignment w:val="center"/>
              <w:rPr>
                <w:color w:val="auto"/>
                <w:kern w:val="0"/>
                <w:lang w:bidi="ar"/>
              </w:rPr>
            </w:pPr>
            <w:r>
              <w:rPr>
                <w:color w:val="auto"/>
                <w:kern w:val="0"/>
                <w:lang w:bidi="ar"/>
              </w:rPr>
              <w:t>0</w:t>
            </w:r>
          </w:p>
        </w:tc>
        <w:tc>
          <w:tcPr>
            <w:tcW w:w="1701" w:type="dxa"/>
            <w:vAlign w:val="center"/>
          </w:tcPr>
          <w:p w14:paraId="26C2E4C0">
            <w:pPr>
              <w:widowControl/>
              <w:jc w:val="center"/>
              <w:textAlignment w:val="center"/>
              <w:rPr>
                <w:color w:val="auto"/>
                <w:kern w:val="0"/>
                <w:lang w:bidi="ar"/>
              </w:rPr>
            </w:pPr>
            <w:r>
              <w:rPr>
                <w:color w:val="auto"/>
                <w:kern w:val="0"/>
                <w:lang w:bidi="ar"/>
              </w:rPr>
              <w:t>0</w:t>
            </w:r>
          </w:p>
        </w:tc>
        <w:tc>
          <w:tcPr>
            <w:tcW w:w="1559" w:type="dxa"/>
            <w:vAlign w:val="center"/>
          </w:tcPr>
          <w:p w14:paraId="13F54BCD">
            <w:pPr>
              <w:widowControl/>
              <w:jc w:val="center"/>
              <w:textAlignment w:val="center"/>
              <w:rPr>
                <w:color w:val="auto"/>
                <w:kern w:val="0"/>
                <w:lang w:bidi="ar"/>
              </w:rPr>
            </w:pPr>
            <w:r>
              <w:rPr>
                <w:color w:val="auto"/>
                <w:kern w:val="0"/>
                <w:lang w:bidi="ar"/>
              </w:rPr>
              <w:t>0.</w:t>
            </w:r>
            <w:r>
              <w:rPr>
                <w:rFonts w:hint="eastAsia"/>
                <w:color w:val="auto"/>
                <w:kern w:val="0"/>
                <w:lang w:bidi="ar"/>
              </w:rPr>
              <w:t>15</w:t>
            </w:r>
          </w:p>
        </w:tc>
        <w:tc>
          <w:tcPr>
            <w:tcW w:w="1761" w:type="dxa"/>
            <w:vAlign w:val="center"/>
          </w:tcPr>
          <w:p w14:paraId="78273F90">
            <w:pPr>
              <w:widowControl/>
              <w:jc w:val="center"/>
              <w:textAlignment w:val="center"/>
              <w:rPr>
                <w:color w:val="auto"/>
                <w:kern w:val="0"/>
                <w:lang w:bidi="ar"/>
              </w:rPr>
            </w:pPr>
            <w:r>
              <w:rPr>
                <w:rFonts w:hint="eastAsia"/>
                <w:color w:val="auto"/>
                <w:kern w:val="0"/>
                <w:lang w:bidi="ar"/>
              </w:rPr>
              <w:t>0</w:t>
            </w:r>
          </w:p>
        </w:tc>
        <w:tc>
          <w:tcPr>
            <w:tcW w:w="1869" w:type="dxa"/>
            <w:vAlign w:val="center"/>
          </w:tcPr>
          <w:p w14:paraId="64B0F113">
            <w:pPr>
              <w:widowControl/>
              <w:jc w:val="center"/>
              <w:textAlignment w:val="center"/>
              <w:rPr>
                <w:color w:val="auto"/>
                <w:kern w:val="0"/>
                <w:lang w:bidi="ar"/>
              </w:rPr>
            </w:pPr>
            <w:r>
              <w:rPr>
                <w:color w:val="auto"/>
                <w:kern w:val="0"/>
                <w:lang w:bidi="ar"/>
              </w:rPr>
              <w:t>0.</w:t>
            </w:r>
            <w:r>
              <w:rPr>
                <w:rFonts w:hint="eastAsia"/>
                <w:color w:val="auto"/>
                <w:kern w:val="0"/>
                <w:lang w:bidi="ar"/>
              </w:rPr>
              <w:t>15</w:t>
            </w:r>
          </w:p>
        </w:tc>
        <w:tc>
          <w:tcPr>
            <w:tcW w:w="916" w:type="dxa"/>
            <w:vAlign w:val="center"/>
          </w:tcPr>
          <w:p w14:paraId="68112778">
            <w:pPr>
              <w:widowControl/>
              <w:jc w:val="center"/>
              <w:textAlignment w:val="center"/>
              <w:rPr>
                <w:color w:val="auto"/>
                <w:kern w:val="0"/>
                <w:lang w:bidi="ar"/>
              </w:rPr>
            </w:pPr>
            <w:r>
              <w:rPr>
                <w:rFonts w:hint="eastAsia"/>
                <w:color w:val="auto"/>
                <w:kern w:val="0"/>
                <w:lang w:bidi="ar"/>
              </w:rPr>
              <w:t>+</w:t>
            </w:r>
            <w:r>
              <w:rPr>
                <w:color w:val="auto"/>
                <w:kern w:val="0"/>
                <w:lang w:bidi="ar"/>
              </w:rPr>
              <w:t>0.</w:t>
            </w:r>
            <w:r>
              <w:rPr>
                <w:rFonts w:hint="eastAsia"/>
                <w:color w:val="auto"/>
                <w:kern w:val="0"/>
                <w:lang w:bidi="ar"/>
              </w:rPr>
              <w:t>15</w:t>
            </w:r>
          </w:p>
        </w:tc>
      </w:tr>
      <w:tr w14:paraId="2CD72F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57D7C68A">
            <w:pPr>
              <w:pStyle w:val="42"/>
              <w:spacing w:beforeLines="0" w:afterLines="0" w:line="240" w:lineRule="auto"/>
              <w:rPr>
                <w:rFonts w:hAnsi="宋体" w:cs="宋体"/>
                <w:snapToGrid w:val="0"/>
                <w:color w:val="auto"/>
                <w:kern w:val="21"/>
                <w:szCs w:val="21"/>
              </w:rPr>
            </w:pPr>
          </w:p>
        </w:tc>
        <w:tc>
          <w:tcPr>
            <w:tcW w:w="708" w:type="dxa"/>
            <w:vAlign w:val="center"/>
          </w:tcPr>
          <w:p w14:paraId="2E846AD2">
            <w:pPr>
              <w:widowControl/>
              <w:jc w:val="center"/>
              <w:textAlignment w:val="center"/>
              <w:rPr>
                <w:color w:val="auto"/>
              </w:rPr>
            </w:pPr>
            <w:r>
              <w:rPr>
                <w:rFonts w:hint="eastAsia" w:ascii="宋体" w:hAnsi="宋体" w:cs="宋体"/>
                <w:color w:val="auto"/>
                <w:kern w:val="0"/>
              </w:rPr>
              <w:t>有组织</w:t>
            </w:r>
          </w:p>
        </w:tc>
        <w:tc>
          <w:tcPr>
            <w:tcW w:w="709" w:type="dxa"/>
            <w:vMerge w:val="restart"/>
            <w:vAlign w:val="center"/>
          </w:tcPr>
          <w:p w14:paraId="371ED8C6">
            <w:pPr>
              <w:pStyle w:val="42"/>
              <w:spacing w:beforeLines="0" w:afterLines="0" w:line="240" w:lineRule="auto"/>
              <w:rPr>
                <w:rFonts w:ascii="Times New Roman"/>
                <w:color w:val="auto"/>
                <w:kern w:val="2"/>
                <w:szCs w:val="21"/>
              </w:rPr>
            </w:pPr>
            <w:r>
              <w:rPr>
                <w:rFonts w:hint="eastAsia" w:ascii="Times New Roman"/>
                <w:color w:val="auto"/>
                <w:kern w:val="2"/>
                <w:szCs w:val="21"/>
              </w:rPr>
              <w:t>颗粒物</w:t>
            </w:r>
          </w:p>
        </w:tc>
        <w:tc>
          <w:tcPr>
            <w:tcW w:w="1701" w:type="dxa"/>
            <w:vAlign w:val="center"/>
          </w:tcPr>
          <w:p w14:paraId="5FB67709">
            <w:pPr>
              <w:widowControl/>
              <w:jc w:val="center"/>
              <w:textAlignment w:val="center"/>
              <w:rPr>
                <w:color w:val="auto"/>
                <w:kern w:val="0"/>
                <w:lang w:bidi="ar"/>
              </w:rPr>
            </w:pPr>
            <w:r>
              <w:rPr>
                <w:rFonts w:hint="eastAsia"/>
                <w:color w:val="auto"/>
                <w:lang w:val="en-US" w:eastAsia="zh-CN"/>
              </w:rPr>
              <w:t>0.015</w:t>
            </w:r>
          </w:p>
        </w:tc>
        <w:tc>
          <w:tcPr>
            <w:tcW w:w="1276" w:type="dxa"/>
            <w:vAlign w:val="center"/>
          </w:tcPr>
          <w:p w14:paraId="75E5F57E">
            <w:pPr>
              <w:widowControl/>
              <w:jc w:val="center"/>
              <w:textAlignment w:val="center"/>
              <w:rPr>
                <w:color w:val="auto"/>
                <w:kern w:val="0"/>
                <w:lang w:bidi="ar"/>
              </w:rPr>
            </w:pPr>
            <w:r>
              <w:rPr>
                <w:color w:val="auto"/>
                <w:kern w:val="0"/>
                <w:lang w:bidi="ar"/>
              </w:rPr>
              <w:t>0</w:t>
            </w:r>
          </w:p>
        </w:tc>
        <w:tc>
          <w:tcPr>
            <w:tcW w:w="1701" w:type="dxa"/>
            <w:vAlign w:val="center"/>
          </w:tcPr>
          <w:p w14:paraId="202A2CE0">
            <w:pPr>
              <w:widowControl/>
              <w:jc w:val="center"/>
              <w:textAlignment w:val="center"/>
              <w:rPr>
                <w:color w:val="auto"/>
                <w:kern w:val="0"/>
                <w:lang w:bidi="ar"/>
              </w:rPr>
            </w:pPr>
            <w:r>
              <w:rPr>
                <w:color w:val="auto"/>
                <w:kern w:val="0"/>
                <w:lang w:bidi="ar"/>
              </w:rPr>
              <w:t>0</w:t>
            </w:r>
          </w:p>
        </w:tc>
        <w:tc>
          <w:tcPr>
            <w:tcW w:w="1559" w:type="dxa"/>
            <w:vAlign w:val="center"/>
          </w:tcPr>
          <w:p w14:paraId="06AF9002">
            <w:pPr>
              <w:widowControl/>
              <w:jc w:val="center"/>
              <w:textAlignment w:val="center"/>
              <w:rPr>
                <w:rFonts w:hint="eastAsia" w:eastAsia="宋体"/>
                <w:color w:val="auto"/>
                <w:kern w:val="0"/>
                <w:lang w:eastAsia="zh-CN" w:bidi="ar"/>
              </w:rPr>
            </w:pPr>
            <w:r>
              <w:rPr>
                <w:rFonts w:hint="eastAsia"/>
                <w:color w:val="auto"/>
                <w:kern w:val="0"/>
                <w:lang w:bidi="ar"/>
              </w:rPr>
              <w:t>0.00</w:t>
            </w:r>
            <w:r>
              <w:rPr>
                <w:rFonts w:hint="eastAsia"/>
                <w:color w:val="auto"/>
                <w:kern w:val="0"/>
                <w:lang w:val="en-US" w:eastAsia="zh-CN" w:bidi="ar"/>
              </w:rPr>
              <w:t>7</w:t>
            </w:r>
          </w:p>
        </w:tc>
        <w:tc>
          <w:tcPr>
            <w:tcW w:w="1761" w:type="dxa"/>
            <w:vAlign w:val="center"/>
          </w:tcPr>
          <w:p w14:paraId="6FD68E87">
            <w:pPr>
              <w:widowControl/>
              <w:jc w:val="center"/>
              <w:textAlignment w:val="center"/>
              <w:rPr>
                <w:color w:val="auto"/>
                <w:kern w:val="0"/>
                <w:lang w:bidi="ar"/>
              </w:rPr>
            </w:pPr>
            <w:r>
              <w:rPr>
                <w:rFonts w:hint="eastAsia"/>
                <w:color w:val="auto"/>
                <w:lang w:val="en-US" w:eastAsia="zh-CN"/>
              </w:rPr>
              <w:t>0.015</w:t>
            </w:r>
          </w:p>
        </w:tc>
        <w:tc>
          <w:tcPr>
            <w:tcW w:w="1869" w:type="dxa"/>
            <w:vAlign w:val="center"/>
          </w:tcPr>
          <w:p w14:paraId="5F0FB20F">
            <w:pPr>
              <w:widowControl/>
              <w:jc w:val="center"/>
              <w:textAlignment w:val="center"/>
              <w:rPr>
                <w:rFonts w:hint="eastAsia" w:eastAsia="宋体"/>
                <w:color w:val="auto"/>
                <w:kern w:val="0"/>
                <w:lang w:eastAsia="zh-CN" w:bidi="ar"/>
              </w:rPr>
            </w:pPr>
            <w:r>
              <w:rPr>
                <w:rFonts w:hint="eastAsia"/>
                <w:color w:val="auto"/>
                <w:kern w:val="0"/>
                <w:lang w:bidi="ar"/>
              </w:rPr>
              <w:t>0.00</w:t>
            </w:r>
            <w:r>
              <w:rPr>
                <w:rFonts w:hint="eastAsia"/>
                <w:color w:val="auto"/>
                <w:kern w:val="0"/>
                <w:lang w:val="en-US" w:eastAsia="zh-CN" w:bidi="ar"/>
              </w:rPr>
              <w:t>7</w:t>
            </w:r>
          </w:p>
        </w:tc>
        <w:tc>
          <w:tcPr>
            <w:tcW w:w="916" w:type="dxa"/>
            <w:vAlign w:val="center"/>
          </w:tcPr>
          <w:p w14:paraId="0CC10BB8">
            <w:pPr>
              <w:widowControl/>
              <w:jc w:val="center"/>
              <w:textAlignment w:val="center"/>
              <w:rPr>
                <w:rFonts w:hint="eastAsia" w:eastAsia="宋体"/>
                <w:color w:val="auto"/>
                <w:kern w:val="0"/>
                <w:lang w:eastAsia="zh-CN" w:bidi="ar"/>
              </w:rPr>
            </w:pPr>
            <w:r>
              <w:rPr>
                <w:rFonts w:hint="eastAsia"/>
                <w:color w:val="auto"/>
                <w:kern w:val="0"/>
                <w:lang w:val="en-US" w:eastAsia="zh-CN" w:bidi="ar"/>
              </w:rPr>
              <w:t>-</w:t>
            </w:r>
            <w:r>
              <w:rPr>
                <w:rFonts w:hint="eastAsia"/>
                <w:color w:val="auto"/>
                <w:kern w:val="0"/>
                <w:lang w:bidi="ar"/>
              </w:rPr>
              <w:t>0.00</w:t>
            </w:r>
            <w:r>
              <w:rPr>
                <w:rFonts w:hint="eastAsia"/>
                <w:color w:val="auto"/>
                <w:kern w:val="0"/>
                <w:lang w:val="en-US" w:eastAsia="zh-CN" w:bidi="ar"/>
              </w:rPr>
              <w:t>8</w:t>
            </w:r>
          </w:p>
        </w:tc>
      </w:tr>
      <w:tr w14:paraId="5799D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634CC643">
            <w:pPr>
              <w:pStyle w:val="42"/>
              <w:spacing w:beforeLines="0" w:afterLines="0" w:line="240" w:lineRule="auto"/>
              <w:rPr>
                <w:rFonts w:hAnsi="宋体" w:cs="宋体"/>
                <w:snapToGrid w:val="0"/>
                <w:color w:val="auto"/>
                <w:kern w:val="21"/>
                <w:szCs w:val="21"/>
              </w:rPr>
            </w:pPr>
          </w:p>
        </w:tc>
        <w:tc>
          <w:tcPr>
            <w:tcW w:w="708" w:type="dxa"/>
            <w:vAlign w:val="center"/>
          </w:tcPr>
          <w:p w14:paraId="66B62E1D">
            <w:pPr>
              <w:widowControl/>
              <w:jc w:val="center"/>
              <w:textAlignment w:val="center"/>
              <w:rPr>
                <w:rFonts w:ascii="宋体" w:hAnsi="宋体" w:cs="宋体"/>
                <w:color w:val="auto"/>
                <w:kern w:val="0"/>
              </w:rPr>
            </w:pPr>
            <w:r>
              <w:rPr>
                <w:rFonts w:hint="eastAsia" w:ascii="宋体" w:hAnsi="宋体" w:cs="宋体"/>
                <w:color w:val="auto"/>
                <w:kern w:val="0"/>
              </w:rPr>
              <w:t>无组织</w:t>
            </w:r>
          </w:p>
        </w:tc>
        <w:tc>
          <w:tcPr>
            <w:tcW w:w="709" w:type="dxa"/>
            <w:vMerge w:val="continue"/>
            <w:vAlign w:val="center"/>
          </w:tcPr>
          <w:p w14:paraId="4F262912">
            <w:pPr>
              <w:pStyle w:val="42"/>
              <w:spacing w:beforeLines="0" w:afterLines="0" w:line="240" w:lineRule="auto"/>
              <w:rPr>
                <w:rFonts w:ascii="Times New Roman"/>
                <w:color w:val="auto"/>
                <w:kern w:val="2"/>
                <w:szCs w:val="21"/>
              </w:rPr>
            </w:pPr>
          </w:p>
        </w:tc>
        <w:tc>
          <w:tcPr>
            <w:tcW w:w="1701" w:type="dxa"/>
            <w:vAlign w:val="center"/>
          </w:tcPr>
          <w:p w14:paraId="110DDF57">
            <w:pPr>
              <w:widowControl/>
              <w:jc w:val="center"/>
              <w:textAlignment w:val="center"/>
              <w:rPr>
                <w:color w:val="auto"/>
                <w:kern w:val="0"/>
                <w:lang w:bidi="ar"/>
              </w:rPr>
            </w:pPr>
            <w:r>
              <w:rPr>
                <w:rFonts w:hint="eastAsia"/>
                <w:color w:val="auto"/>
                <w:kern w:val="0"/>
                <w:lang w:bidi="ar"/>
              </w:rPr>
              <w:t>0</w:t>
            </w:r>
          </w:p>
        </w:tc>
        <w:tc>
          <w:tcPr>
            <w:tcW w:w="1276" w:type="dxa"/>
            <w:vAlign w:val="center"/>
          </w:tcPr>
          <w:p w14:paraId="01F2EC49">
            <w:pPr>
              <w:widowControl/>
              <w:jc w:val="center"/>
              <w:textAlignment w:val="center"/>
              <w:rPr>
                <w:color w:val="auto"/>
                <w:kern w:val="0"/>
                <w:lang w:bidi="ar"/>
              </w:rPr>
            </w:pPr>
            <w:r>
              <w:rPr>
                <w:color w:val="auto"/>
                <w:kern w:val="0"/>
                <w:lang w:bidi="ar"/>
              </w:rPr>
              <w:t>0</w:t>
            </w:r>
          </w:p>
        </w:tc>
        <w:tc>
          <w:tcPr>
            <w:tcW w:w="1701" w:type="dxa"/>
            <w:vAlign w:val="center"/>
          </w:tcPr>
          <w:p w14:paraId="70AF39D5">
            <w:pPr>
              <w:widowControl/>
              <w:jc w:val="center"/>
              <w:textAlignment w:val="center"/>
              <w:rPr>
                <w:color w:val="auto"/>
                <w:kern w:val="0"/>
                <w:lang w:bidi="ar"/>
              </w:rPr>
            </w:pPr>
            <w:r>
              <w:rPr>
                <w:color w:val="auto"/>
                <w:kern w:val="0"/>
                <w:lang w:bidi="ar"/>
              </w:rPr>
              <w:t>0</w:t>
            </w:r>
          </w:p>
        </w:tc>
        <w:tc>
          <w:tcPr>
            <w:tcW w:w="1559" w:type="dxa"/>
            <w:vAlign w:val="center"/>
          </w:tcPr>
          <w:p w14:paraId="357D8E86">
            <w:pPr>
              <w:widowControl/>
              <w:jc w:val="center"/>
              <w:textAlignment w:val="center"/>
              <w:rPr>
                <w:rFonts w:hint="eastAsia" w:eastAsia="宋体"/>
                <w:color w:val="auto"/>
                <w:kern w:val="0"/>
                <w:lang w:eastAsia="zh-CN" w:bidi="ar"/>
              </w:rPr>
            </w:pPr>
            <w:r>
              <w:rPr>
                <w:rFonts w:hint="eastAsia"/>
                <w:color w:val="auto"/>
                <w:kern w:val="0"/>
                <w:lang w:bidi="ar"/>
              </w:rPr>
              <w:t>0.00</w:t>
            </w:r>
            <w:r>
              <w:rPr>
                <w:rFonts w:hint="eastAsia"/>
                <w:color w:val="auto"/>
                <w:kern w:val="0"/>
                <w:lang w:val="en-US" w:eastAsia="zh-CN" w:bidi="ar"/>
              </w:rPr>
              <w:t>3</w:t>
            </w:r>
          </w:p>
        </w:tc>
        <w:tc>
          <w:tcPr>
            <w:tcW w:w="1761" w:type="dxa"/>
            <w:vAlign w:val="center"/>
          </w:tcPr>
          <w:p w14:paraId="1503C4D2">
            <w:pPr>
              <w:widowControl/>
              <w:jc w:val="center"/>
              <w:textAlignment w:val="center"/>
              <w:rPr>
                <w:color w:val="auto"/>
                <w:kern w:val="0"/>
                <w:lang w:bidi="ar"/>
              </w:rPr>
            </w:pPr>
            <w:r>
              <w:rPr>
                <w:rFonts w:hint="eastAsia"/>
                <w:color w:val="auto"/>
                <w:kern w:val="0"/>
                <w:lang w:bidi="ar"/>
              </w:rPr>
              <w:t>0</w:t>
            </w:r>
          </w:p>
        </w:tc>
        <w:tc>
          <w:tcPr>
            <w:tcW w:w="1869" w:type="dxa"/>
            <w:vAlign w:val="center"/>
          </w:tcPr>
          <w:p w14:paraId="0120B76B">
            <w:pPr>
              <w:widowControl/>
              <w:jc w:val="center"/>
              <w:textAlignment w:val="center"/>
              <w:rPr>
                <w:rFonts w:hint="eastAsia" w:eastAsia="宋体"/>
                <w:color w:val="auto"/>
                <w:kern w:val="0"/>
                <w:lang w:eastAsia="zh-CN" w:bidi="ar"/>
              </w:rPr>
            </w:pPr>
            <w:r>
              <w:rPr>
                <w:rFonts w:hint="eastAsia"/>
                <w:color w:val="auto"/>
                <w:kern w:val="0"/>
                <w:lang w:bidi="ar"/>
              </w:rPr>
              <w:t>0.00</w:t>
            </w:r>
            <w:r>
              <w:rPr>
                <w:rFonts w:hint="eastAsia"/>
                <w:color w:val="auto"/>
                <w:kern w:val="0"/>
                <w:lang w:val="en-US" w:eastAsia="zh-CN" w:bidi="ar"/>
              </w:rPr>
              <w:t>3</w:t>
            </w:r>
          </w:p>
        </w:tc>
        <w:tc>
          <w:tcPr>
            <w:tcW w:w="916" w:type="dxa"/>
            <w:vAlign w:val="center"/>
          </w:tcPr>
          <w:p w14:paraId="49438502">
            <w:pPr>
              <w:widowControl/>
              <w:jc w:val="center"/>
              <w:textAlignment w:val="center"/>
              <w:rPr>
                <w:rFonts w:hint="eastAsia" w:eastAsia="宋体"/>
                <w:color w:val="auto"/>
                <w:kern w:val="0"/>
                <w:lang w:eastAsia="zh-CN" w:bidi="ar"/>
              </w:rPr>
            </w:pPr>
            <w:r>
              <w:rPr>
                <w:rFonts w:hint="eastAsia"/>
                <w:color w:val="auto"/>
                <w:kern w:val="0"/>
                <w:lang w:bidi="ar"/>
              </w:rPr>
              <w:t>+0.00</w:t>
            </w:r>
            <w:r>
              <w:rPr>
                <w:rFonts w:hint="eastAsia"/>
                <w:color w:val="auto"/>
                <w:kern w:val="0"/>
                <w:lang w:val="en-US" w:eastAsia="zh-CN" w:bidi="ar"/>
              </w:rPr>
              <w:t>3</w:t>
            </w:r>
          </w:p>
        </w:tc>
      </w:tr>
      <w:tr w14:paraId="38367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52F3AACF">
            <w:pPr>
              <w:pStyle w:val="42"/>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废水</w:t>
            </w:r>
          </w:p>
        </w:tc>
        <w:tc>
          <w:tcPr>
            <w:tcW w:w="1417" w:type="dxa"/>
            <w:gridSpan w:val="2"/>
            <w:vAlign w:val="center"/>
          </w:tcPr>
          <w:p w14:paraId="389C3C2E">
            <w:pPr>
              <w:spacing w:line="0" w:lineRule="atLeast"/>
              <w:jc w:val="center"/>
              <w:rPr>
                <w:color w:val="auto"/>
              </w:rPr>
            </w:pPr>
            <w:r>
              <w:rPr>
                <w:color w:val="auto"/>
              </w:rPr>
              <w:t>废水量</w:t>
            </w:r>
          </w:p>
        </w:tc>
        <w:tc>
          <w:tcPr>
            <w:tcW w:w="1701" w:type="dxa"/>
            <w:vAlign w:val="center"/>
          </w:tcPr>
          <w:p w14:paraId="3A5B9D23">
            <w:pPr>
              <w:adjustRightInd w:val="0"/>
              <w:jc w:val="center"/>
              <w:rPr>
                <w:color w:val="auto"/>
                <w:kern w:val="0"/>
                <w:lang w:bidi="ar"/>
              </w:rPr>
            </w:pPr>
            <w:r>
              <w:rPr>
                <w:rFonts w:hint="eastAsia"/>
                <w:bCs/>
                <w:color w:val="auto"/>
              </w:rPr>
              <w:t>10125</w:t>
            </w:r>
          </w:p>
        </w:tc>
        <w:tc>
          <w:tcPr>
            <w:tcW w:w="1276" w:type="dxa"/>
            <w:vAlign w:val="center"/>
          </w:tcPr>
          <w:p w14:paraId="4805C231">
            <w:pPr>
              <w:widowControl/>
              <w:jc w:val="center"/>
              <w:textAlignment w:val="center"/>
              <w:rPr>
                <w:color w:val="auto"/>
                <w:kern w:val="0"/>
                <w:lang w:bidi="ar"/>
              </w:rPr>
            </w:pPr>
            <w:r>
              <w:rPr>
                <w:color w:val="auto"/>
                <w:kern w:val="0"/>
                <w:lang w:bidi="ar"/>
              </w:rPr>
              <w:t>0</w:t>
            </w:r>
          </w:p>
        </w:tc>
        <w:tc>
          <w:tcPr>
            <w:tcW w:w="1701" w:type="dxa"/>
            <w:vAlign w:val="center"/>
          </w:tcPr>
          <w:p w14:paraId="53414573">
            <w:pPr>
              <w:widowControl/>
              <w:jc w:val="center"/>
              <w:textAlignment w:val="center"/>
              <w:rPr>
                <w:color w:val="auto"/>
                <w:kern w:val="0"/>
                <w:lang w:bidi="ar"/>
              </w:rPr>
            </w:pPr>
            <w:r>
              <w:rPr>
                <w:color w:val="auto"/>
                <w:kern w:val="0"/>
                <w:lang w:bidi="ar"/>
              </w:rPr>
              <w:t>0</w:t>
            </w:r>
          </w:p>
        </w:tc>
        <w:tc>
          <w:tcPr>
            <w:tcW w:w="1559" w:type="dxa"/>
            <w:vAlign w:val="center"/>
          </w:tcPr>
          <w:p w14:paraId="0EC7E8D0">
            <w:pPr>
              <w:jc w:val="center"/>
              <w:rPr>
                <w:color w:val="auto"/>
                <w:kern w:val="0"/>
                <w:lang w:bidi="ar"/>
              </w:rPr>
            </w:pPr>
            <w:r>
              <w:rPr>
                <w:rFonts w:hint="eastAsia"/>
                <w:color w:val="auto"/>
              </w:rPr>
              <w:t>7</w:t>
            </w:r>
            <w:r>
              <w:rPr>
                <w:rFonts w:hint="eastAsia"/>
                <w:color w:val="auto"/>
                <w:lang w:val="en-US" w:eastAsia="zh-CN"/>
              </w:rPr>
              <w:t>488</w:t>
            </w:r>
          </w:p>
        </w:tc>
        <w:tc>
          <w:tcPr>
            <w:tcW w:w="1761" w:type="dxa"/>
            <w:vAlign w:val="center"/>
          </w:tcPr>
          <w:p w14:paraId="780FA825">
            <w:pPr>
              <w:adjustRightInd w:val="0"/>
              <w:jc w:val="center"/>
              <w:rPr>
                <w:color w:val="auto"/>
                <w:kern w:val="0"/>
                <w:lang w:bidi="ar"/>
              </w:rPr>
            </w:pPr>
            <w:r>
              <w:rPr>
                <w:rFonts w:hint="eastAsia"/>
                <w:bCs/>
                <w:color w:val="auto"/>
              </w:rPr>
              <w:t>10125</w:t>
            </w:r>
          </w:p>
        </w:tc>
        <w:tc>
          <w:tcPr>
            <w:tcW w:w="1869" w:type="dxa"/>
            <w:vAlign w:val="center"/>
          </w:tcPr>
          <w:p w14:paraId="04857DBA">
            <w:pPr>
              <w:jc w:val="center"/>
              <w:rPr>
                <w:color w:val="auto"/>
                <w:kern w:val="0"/>
                <w:lang w:bidi="ar"/>
              </w:rPr>
            </w:pPr>
            <w:r>
              <w:rPr>
                <w:rFonts w:hint="eastAsia"/>
                <w:color w:val="auto"/>
              </w:rPr>
              <w:t>7</w:t>
            </w:r>
            <w:r>
              <w:rPr>
                <w:rFonts w:hint="eastAsia"/>
                <w:color w:val="auto"/>
                <w:lang w:val="en-US" w:eastAsia="zh-CN"/>
              </w:rPr>
              <w:t>488</w:t>
            </w:r>
          </w:p>
        </w:tc>
        <w:tc>
          <w:tcPr>
            <w:tcW w:w="916" w:type="dxa"/>
            <w:vAlign w:val="center"/>
          </w:tcPr>
          <w:p w14:paraId="0F1DF48E">
            <w:pPr>
              <w:jc w:val="center"/>
              <w:rPr>
                <w:color w:val="auto"/>
                <w:kern w:val="0"/>
                <w:lang w:bidi="ar"/>
              </w:rPr>
            </w:pPr>
            <w:r>
              <w:rPr>
                <w:rFonts w:hint="eastAsia"/>
                <w:color w:val="auto"/>
                <w:lang w:val="en-US" w:eastAsia="zh-CN"/>
              </w:rPr>
              <w:t>-2637</w:t>
            </w:r>
          </w:p>
        </w:tc>
      </w:tr>
      <w:tr w14:paraId="13BA2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7449917F">
            <w:pPr>
              <w:pStyle w:val="42"/>
              <w:spacing w:beforeLines="0" w:afterLines="0" w:line="240" w:lineRule="auto"/>
              <w:rPr>
                <w:rFonts w:hAnsi="宋体" w:cs="宋体"/>
                <w:snapToGrid w:val="0"/>
                <w:color w:val="auto"/>
                <w:kern w:val="21"/>
                <w:szCs w:val="21"/>
              </w:rPr>
            </w:pPr>
          </w:p>
        </w:tc>
        <w:tc>
          <w:tcPr>
            <w:tcW w:w="1417" w:type="dxa"/>
            <w:gridSpan w:val="2"/>
            <w:vAlign w:val="center"/>
          </w:tcPr>
          <w:p w14:paraId="3B73F346">
            <w:pPr>
              <w:spacing w:line="0" w:lineRule="atLeast"/>
              <w:jc w:val="center"/>
              <w:rPr>
                <w:color w:val="auto"/>
              </w:rPr>
            </w:pPr>
            <w:r>
              <w:rPr>
                <w:color w:val="auto"/>
              </w:rPr>
              <w:t>COD</w:t>
            </w:r>
          </w:p>
        </w:tc>
        <w:tc>
          <w:tcPr>
            <w:tcW w:w="1701" w:type="dxa"/>
            <w:vAlign w:val="center"/>
          </w:tcPr>
          <w:p w14:paraId="72CF2987">
            <w:pPr>
              <w:adjustRightInd w:val="0"/>
              <w:jc w:val="center"/>
              <w:rPr>
                <w:color w:val="auto"/>
                <w:kern w:val="0"/>
                <w:lang w:bidi="ar"/>
              </w:rPr>
            </w:pPr>
            <w:r>
              <w:rPr>
                <w:rFonts w:hint="eastAsia"/>
                <w:bCs/>
                <w:color w:val="auto"/>
              </w:rPr>
              <w:t>4.05</w:t>
            </w:r>
          </w:p>
        </w:tc>
        <w:tc>
          <w:tcPr>
            <w:tcW w:w="1276" w:type="dxa"/>
            <w:vAlign w:val="center"/>
          </w:tcPr>
          <w:p w14:paraId="7E6E06AE">
            <w:pPr>
              <w:widowControl/>
              <w:jc w:val="center"/>
              <w:textAlignment w:val="center"/>
              <w:rPr>
                <w:color w:val="auto"/>
                <w:kern w:val="0"/>
                <w:lang w:bidi="ar"/>
              </w:rPr>
            </w:pPr>
            <w:r>
              <w:rPr>
                <w:color w:val="auto"/>
                <w:kern w:val="0"/>
                <w:lang w:bidi="ar"/>
              </w:rPr>
              <w:t>0</w:t>
            </w:r>
          </w:p>
        </w:tc>
        <w:tc>
          <w:tcPr>
            <w:tcW w:w="1701" w:type="dxa"/>
            <w:vAlign w:val="center"/>
          </w:tcPr>
          <w:p w14:paraId="2C20BE7C">
            <w:pPr>
              <w:widowControl/>
              <w:jc w:val="center"/>
              <w:textAlignment w:val="center"/>
              <w:rPr>
                <w:color w:val="auto"/>
                <w:kern w:val="0"/>
                <w:lang w:bidi="ar"/>
              </w:rPr>
            </w:pPr>
            <w:r>
              <w:rPr>
                <w:color w:val="auto"/>
                <w:kern w:val="0"/>
                <w:lang w:bidi="ar"/>
              </w:rPr>
              <w:t>0</w:t>
            </w:r>
          </w:p>
        </w:tc>
        <w:tc>
          <w:tcPr>
            <w:tcW w:w="1559" w:type="dxa"/>
            <w:vAlign w:val="center"/>
          </w:tcPr>
          <w:p w14:paraId="571A8C7B">
            <w:pPr>
              <w:jc w:val="center"/>
              <w:rPr>
                <w:color w:val="auto"/>
                <w:kern w:val="0"/>
                <w:lang w:bidi="ar"/>
              </w:rPr>
            </w:pPr>
            <w:r>
              <w:rPr>
                <w:rFonts w:hint="eastAsia" w:ascii="Times New Roman" w:hAnsi="Times New Roman" w:eastAsia="宋体" w:cs="Times New Roman"/>
                <w:color w:val="auto"/>
                <w:lang w:val="en-US" w:eastAsia="zh-CN"/>
              </w:rPr>
              <w:t>3.12</w:t>
            </w:r>
          </w:p>
        </w:tc>
        <w:tc>
          <w:tcPr>
            <w:tcW w:w="1761" w:type="dxa"/>
            <w:vAlign w:val="center"/>
          </w:tcPr>
          <w:p w14:paraId="06E0F01B">
            <w:pPr>
              <w:adjustRightInd w:val="0"/>
              <w:jc w:val="center"/>
              <w:rPr>
                <w:color w:val="auto"/>
                <w:kern w:val="0"/>
                <w:lang w:bidi="ar"/>
              </w:rPr>
            </w:pPr>
            <w:r>
              <w:rPr>
                <w:rFonts w:hint="eastAsia"/>
                <w:bCs/>
                <w:color w:val="auto"/>
              </w:rPr>
              <w:t>4.05</w:t>
            </w:r>
          </w:p>
        </w:tc>
        <w:tc>
          <w:tcPr>
            <w:tcW w:w="1869" w:type="dxa"/>
            <w:vAlign w:val="center"/>
          </w:tcPr>
          <w:p w14:paraId="0E4875B9">
            <w:pPr>
              <w:jc w:val="center"/>
              <w:rPr>
                <w:color w:val="auto"/>
                <w:kern w:val="0"/>
                <w:lang w:bidi="ar"/>
              </w:rPr>
            </w:pPr>
            <w:r>
              <w:rPr>
                <w:rFonts w:hint="eastAsia" w:ascii="Times New Roman" w:hAnsi="Times New Roman" w:eastAsia="宋体" w:cs="Times New Roman"/>
                <w:color w:val="auto"/>
                <w:lang w:val="en-US" w:eastAsia="zh-CN"/>
              </w:rPr>
              <w:t>3.12</w:t>
            </w:r>
          </w:p>
        </w:tc>
        <w:tc>
          <w:tcPr>
            <w:tcW w:w="916" w:type="dxa"/>
            <w:vAlign w:val="center"/>
          </w:tcPr>
          <w:p w14:paraId="15AD291D">
            <w:pPr>
              <w:jc w:val="center"/>
              <w:rPr>
                <w:color w:val="auto"/>
                <w:kern w:val="0"/>
                <w:lang w:bidi="ar"/>
              </w:rPr>
            </w:pPr>
            <w:r>
              <w:rPr>
                <w:rFonts w:hint="eastAsia"/>
                <w:color w:val="auto"/>
                <w:lang w:val="en-US" w:eastAsia="zh-CN"/>
              </w:rPr>
              <w:t>-0.93</w:t>
            </w:r>
          </w:p>
        </w:tc>
      </w:tr>
      <w:tr w14:paraId="19123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787F5889">
            <w:pPr>
              <w:pStyle w:val="42"/>
              <w:spacing w:beforeLines="0" w:afterLines="0" w:line="240" w:lineRule="auto"/>
              <w:rPr>
                <w:rFonts w:hAnsi="宋体" w:cs="宋体"/>
                <w:snapToGrid w:val="0"/>
                <w:color w:val="auto"/>
                <w:kern w:val="21"/>
                <w:szCs w:val="21"/>
              </w:rPr>
            </w:pPr>
          </w:p>
        </w:tc>
        <w:tc>
          <w:tcPr>
            <w:tcW w:w="1417" w:type="dxa"/>
            <w:gridSpan w:val="2"/>
            <w:vAlign w:val="center"/>
          </w:tcPr>
          <w:p w14:paraId="2BDEF037">
            <w:pPr>
              <w:spacing w:line="0" w:lineRule="atLeast"/>
              <w:jc w:val="center"/>
              <w:rPr>
                <w:color w:val="auto"/>
              </w:rPr>
            </w:pPr>
            <w:r>
              <w:rPr>
                <w:color w:val="auto"/>
              </w:rPr>
              <w:t>SS</w:t>
            </w:r>
          </w:p>
        </w:tc>
        <w:tc>
          <w:tcPr>
            <w:tcW w:w="1701" w:type="dxa"/>
            <w:vAlign w:val="center"/>
          </w:tcPr>
          <w:p w14:paraId="61DA5376">
            <w:pPr>
              <w:adjustRightInd w:val="0"/>
              <w:jc w:val="center"/>
              <w:rPr>
                <w:color w:val="auto"/>
                <w:kern w:val="0"/>
                <w:lang w:bidi="ar"/>
              </w:rPr>
            </w:pPr>
            <w:r>
              <w:rPr>
                <w:rFonts w:hint="eastAsia"/>
                <w:bCs/>
                <w:color w:val="auto"/>
              </w:rPr>
              <w:t>1.265</w:t>
            </w:r>
          </w:p>
        </w:tc>
        <w:tc>
          <w:tcPr>
            <w:tcW w:w="1276" w:type="dxa"/>
            <w:vAlign w:val="center"/>
          </w:tcPr>
          <w:p w14:paraId="1EB4E943">
            <w:pPr>
              <w:widowControl/>
              <w:jc w:val="center"/>
              <w:textAlignment w:val="center"/>
              <w:rPr>
                <w:color w:val="auto"/>
                <w:kern w:val="0"/>
                <w:lang w:bidi="ar"/>
              </w:rPr>
            </w:pPr>
            <w:r>
              <w:rPr>
                <w:color w:val="auto"/>
                <w:kern w:val="0"/>
                <w:lang w:bidi="ar"/>
              </w:rPr>
              <w:t>0</w:t>
            </w:r>
          </w:p>
        </w:tc>
        <w:tc>
          <w:tcPr>
            <w:tcW w:w="1701" w:type="dxa"/>
            <w:vAlign w:val="center"/>
          </w:tcPr>
          <w:p w14:paraId="30DBEFC2">
            <w:pPr>
              <w:widowControl/>
              <w:jc w:val="center"/>
              <w:textAlignment w:val="center"/>
              <w:rPr>
                <w:color w:val="auto"/>
                <w:kern w:val="0"/>
                <w:lang w:bidi="ar"/>
              </w:rPr>
            </w:pPr>
            <w:r>
              <w:rPr>
                <w:color w:val="auto"/>
                <w:kern w:val="0"/>
                <w:lang w:bidi="ar"/>
              </w:rPr>
              <w:t>0</w:t>
            </w:r>
          </w:p>
        </w:tc>
        <w:tc>
          <w:tcPr>
            <w:tcW w:w="1559" w:type="dxa"/>
            <w:vAlign w:val="center"/>
          </w:tcPr>
          <w:p w14:paraId="764C13B9">
            <w:pPr>
              <w:jc w:val="center"/>
              <w:rPr>
                <w:color w:val="auto"/>
                <w:kern w:val="0"/>
                <w:lang w:bidi="ar"/>
              </w:rPr>
            </w:pPr>
            <w:r>
              <w:rPr>
                <w:rFonts w:hint="eastAsia" w:ascii="Times New Roman" w:hAnsi="Times New Roman" w:eastAsia="宋体" w:cs="Times New Roman"/>
                <w:color w:val="auto"/>
                <w:lang w:val="en-US" w:eastAsia="zh-CN"/>
              </w:rPr>
              <w:t>2.122</w:t>
            </w:r>
          </w:p>
        </w:tc>
        <w:tc>
          <w:tcPr>
            <w:tcW w:w="1761" w:type="dxa"/>
            <w:vAlign w:val="center"/>
          </w:tcPr>
          <w:p w14:paraId="61E0DF1E">
            <w:pPr>
              <w:adjustRightInd w:val="0"/>
              <w:jc w:val="center"/>
              <w:rPr>
                <w:color w:val="auto"/>
                <w:kern w:val="0"/>
                <w:lang w:bidi="ar"/>
              </w:rPr>
            </w:pPr>
            <w:r>
              <w:rPr>
                <w:rFonts w:hint="eastAsia"/>
                <w:bCs/>
                <w:color w:val="auto"/>
              </w:rPr>
              <w:t>1.265</w:t>
            </w:r>
          </w:p>
        </w:tc>
        <w:tc>
          <w:tcPr>
            <w:tcW w:w="1869" w:type="dxa"/>
            <w:vAlign w:val="center"/>
          </w:tcPr>
          <w:p w14:paraId="0D139198">
            <w:pPr>
              <w:jc w:val="center"/>
              <w:rPr>
                <w:color w:val="auto"/>
                <w:kern w:val="0"/>
                <w:lang w:bidi="ar"/>
              </w:rPr>
            </w:pPr>
            <w:r>
              <w:rPr>
                <w:rFonts w:hint="eastAsia" w:ascii="Times New Roman" w:hAnsi="Times New Roman" w:eastAsia="宋体" w:cs="Times New Roman"/>
                <w:color w:val="auto"/>
                <w:lang w:val="en-US" w:eastAsia="zh-CN"/>
              </w:rPr>
              <w:t>2.122</w:t>
            </w:r>
          </w:p>
        </w:tc>
        <w:tc>
          <w:tcPr>
            <w:tcW w:w="916" w:type="dxa"/>
            <w:vAlign w:val="center"/>
          </w:tcPr>
          <w:p w14:paraId="1A31A37F">
            <w:pPr>
              <w:jc w:val="center"/>
              <w:rPr>
                <w:color w:val="auto"/>
                <w:kern w:val="0"/>
                <w:lang w:bidi="ar"/>
              </w:rPr>
            </w:pPr>
            <w:r>
              <w:rPr>
                <w:rFonts w:hint="eastAsia"/>
                <w:color w:val="auto"/>
                <w:lang w:val="en-US" w:eastAsia="zh-CN"/>
              </w:rPr>
              <w:t>+0.857</w:t>
            </w:r>
          </w:p>
        </w:tc>
      </w:tr>
      <w:tr w14:paraId="06DCE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12F0998">
            <w:pPr>
              <w:pStyle w:val="42"/>
              <w:spacing w:beforeLines="0" w:afterLines="0" w:line="240" w:lineRule="auto"/>
              <w:rPr>
                <w:rFonts w:hAnsi="宋体" w:cs="宋体"/>
                <w:snapToGrid w:val="0"/>
                <w:color w:val="auto"/>
                <w:kern w:val="21"/>
                <w:szCs w:val="21"/>
              </w:rPr>
            </w:pPr>
          </w:p>
        </w:tc>
        <w:tc>
          <w:tcPr>
            <w:tcW w:w="1417" w:type="dxa"/>
            <w:gridSpan w:val="2"/>
            <w:vAlign w:val="center"/>
          </w:tcPr>
          <w:p w14:paraId="09DE8ABF">
            <w:pPr>
              <w:spacing w:line="0" w:lineRule="atLeast"/>
              <w:jc w:val="center"/>
              <w:rPr>
                <w:color w:val="auto"/>
              </w:rPr>
            </w:pPr>
            <w:r>
              <w:rPr>
                <w:color w:val="auto"/>
              </w:rPr>
              <w:t>氨氮</w:t>
            </w:r>
          </w:p>
        </w:tc>
        <w:tc>
          <w:tcPr>
            <w:tcW w:w="1701" w:type="dxa"/>
            <w:vAlign w:val="center"/>
          </w:tcPr>
          <w:p w14:paraId="002DE224">
            <w:pPr>
              <w:adjustRightInd w:val="0"/>
              <w:jc w:val="center"/>
              <w:rPr>
                <w:color w:val="auto"/>
                <w:kern w:val="0"/>
                <w:lang w:bidi="ar"/>
              </w:rPr>
            </w:pPr>
            <w:r>
              <w:rPr>
                <w:rFonts w:hint="eastAsia"/>
                <w:bCs/>
                <w:color w:val="auto"/>
              </w:rPr>
              <w:t>0.304</w:t>
            </w:r>
          </w:p>
        </w:tc>
        <w:tc>
          <w:tcPr>
            <w:tcW w:w="1276" w:type="dxa"/>
            <w:vAlign w:val="center"/>
          </w:tcPr>
          <w:p w14:paraId="10708DA1">
            <w:pPr>
              <w:widowControl/>
              <w:jc w:val="center"/>
              <w:textAlignment w:val="center"/>
              <w:rPr>
                <w:color w:val="auto"/>
                <w:kern w:val="0"/>
                <w:lang w:bidi="ar"/>
              </w:rPr>
            </w:pPr>
            <w:r>
              <w:rPr>
                <w:color w:val="auto"/>
                <w:kern w:val="0"/>
                <w:lang w:bidi="ar"/>
              </w:rPr>
              <w:t>0</w:t>
            </w:r>
          </w:p>
        </w:tc>
        <w:tc>
          <w:tcPr>
            <w:tcW w:w="1701" w:type="dxa"/>
            <w:vAlign w:val="center"/>
          </w:tcPr>
          <w:p w14:paraId="573A5D3C">
            <w:pPr>
              <w:widowControl/>
              <w:jc w:val="center"/>
              <w:textAlignment w:val="center"/>
              <w:rPr>
                <w:color w:val="auto"/>
                <w:kern w:val="0"/>
                <w:lang w:bidi="ar"/>
              </w:rPr>
            </w:pPr>
            <w:r>
              <w:rPr>
                <w:color w:val="auto"/>
                <w:kern w:val="0"/>
                <w:lang w:bidi="ar"/>
              </w:rPr>
              <w:t>0</w:t>
            </w:r>
          </w:p>
        </w:tc>
        <w:tc>
          <w:tcPr>
            <w:tcW w:w="1559" w:type="dxa"/>
            <w:vAlign w:val="center"/>
          </w:tcPr>
          <w:p w14:paraId="2EE84AE6">
            <w:pPr>
              <w:jc w:val="center"/>
              <w:rPr>
                <w:color w:val="auto"/>
                <w:kern w:val="0"/>
                <w:lang w:bidi="ar"/>
              </w:rPr>
            </w:pPr>
            <w:r>
              <w:rPr>
                <w:rFonts w:hint="eastAsia" w:ascii="Times New Roman" w:hAnsi="Times New Roman" w:eastAsia="宋体" w:cs="Times New Roman"/>
                <w:color w:val="auto"/>
                <w:lang w:val="en-US" w:eastAsia="zh-CN"/>
              </w:rPr>
              <w:t>0.317</w:t>
            </w:r>
          </w:p>
        </w:tc>
        <w:tc>
          <w:tcPr>
            <w:tcW w:w="1761" w:type="dxa"/>
            <w:vAlign w:val="center"/>
          </w:tcPr>
          <w:p w14:paraId="12E64F43">
            <w:pPr>
              <w:adjustRightInd w:val="0"/>
              <w:jc w:val="center"/>
              <w:rPr>
                <w:color w:val="auto"/>
                <w:kern w:val="0"/>
                <w:lang w:bidi="ar"/>
              </w:rPr>
            </w:pPr>
            <w:r>
              <w:rPr>
                <w:rFonts w:hint="eastAsia"/>
                <w:bCs/>
                <w:color w:val="auto"/>
              </w:rPr>
              <w:t>0.304</w:t>
            </w:r>
          </w:p>
        </w:tc>
        <w:tc>
          <w:tcPr>
            <w:tcW w:w="1869" w:type="dxa"/>
            <w:vAlign w:val="center"/>
          </w:tcPr>
          <w:p w14:paraId="51D3CB09">
            <w:pPr>
              <w:jc w:val="center"/>
              <w:rPr>
                <w:color w:val="auto"/>
                <w:kern w:val="0"/>
                <w:lang w:bidi="ar"/>
              </w:rPr>
            </w:pPr>
            <w:r>
              <w:rPr>
                <w:rFonts w:hint="eastAsia" w:ascii="Times New Roman" w:hAnsi="Times New Roman" w:eastAsia="宋体" w:cs="Times New Roman"/>
                <w:color w:val="auto"/>
                <w:lang w:val="en-US" w:eastAsia="zh-CN"/>
              </w:rPr>
              <w:t>0.317</w:t>
            </w:r>
          </w:p>
        </w:tc>
        <w:tc>
          <w:tcPr>
            <w:tcW w:w="916" w:type="dxa"/>
            <w:vAlign w:val="center"/>
          </w:tcPr>
          <w:p w14:paraId="48E7B023">
            <w:pPr>
              <w:jc w:val="center"/>
              <w:rPr>
                <w:color w:val="auto"/>
                <w:kern w:val="0"/>
                <w:lang w:bidi="ar"/>
              </w:rPr>
            </w:pPr>
            <w:r>
              <w:rPr>
                <w:rFonts w:hint="eastAsia"/>
                <w:color w:val="auto"/>
                <w:lang w:val="en-US" w:eastAsia="zh-CN"/>
              </w:rPr>
              <w:t>+0.013</w:t>
            </w:r>
          </w:p>
        </w:tc>
      </w:tr>
      <w:tr w14:paraId="551B2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32A464FD">
            <w:pPr>
              <w:pStyle w:val="42"/>
              <w:spacing w:beforeLines="0" w:afterLines="0" w:line="240" w:lineRule="auto"/>
              <w:rPr>
                <w:rFonts w:hAnsi="宋体" w:cs="宋体"/>
                <w:snapToGrid w:val="0"/>
                <w:color w:val="auto"/>
                <w:kern w:val="21"/>
                <w:szCs w:val="21"/>
              </w:rPr>
            </w:pPr>
          </w:p>
        </w:tc>
        <w:tc>
          <w:tcPr>
            <w:tcW w:w="1417" w:type="dxa"/>
            <w:gridSpan w:val="2"/>
            <w:vAlign w:val="center"/>
          </w:tcPr>
          <w:p w14:paraId="75008FD2">
            <w:pPr>
              <w:widowControl/>
              <w:jc w:val="center"/>
              <w:textAlignment w:val="center"/>
              <w:rPr>
                <w:color w:val="auto"/>
                <w:kern w:val="0"/>
                <w:lang w:bidi="ar"/>
              </w:rPr>
            </w:pPr>
            <w:r>
              <w:rPr>
                <w:rFonts w:hint="eastAsia"/>
                <w:color w:val="auto"/>
                <w:kern w:val="0"/>
                <w:lang w:bidi="ar"/>
              </w:rPr>
              <w:t>总氮</w:t>
            </w:r>
          </w:p>
        </w:tc>
        <w:tc>
          <w:tcPr>
            <w:tcW w:w="1701" w:type="dxa"/>
            <w:vAlign w:val="center"/>
          </w:tcPr>
          <w:p w14:paraId="351CA00A">
            <w:pPr>
              <w:widowControl/>
              <w:jc w:val="center"/>
              <w:textAlignment w:val="center"/>
              <w:rPr>
                <w:color w:val="auto"/>
                <w:kern w:val="0"/>
                <w:lang w:bidi="ar"/>
              </w:rPr>
            </w:pPr>
            <w:r>
              <w:rPr>
                <w:rFonts w:hint="eastAsia"/>
                <w:color w:val="auto"/>
                <w:kern w:val="0"/>
                <w:lang w:bidi="ar"/>
              </w:rPr>
              <w:t>0</w:t>
            </w:r>
          </w:p>
        </w:tc>
        <w:tc>
          <w:tcPr>
            <w:tcW w:w="1276" w:type="dxa"/>
            <w:vAlign w:val="center"/>
          </w:tcPr>
          <w:p w14:paraId="346A8F65">
            <w:pPr>
              <w:widowControl/>
              <w:jc w:val="center"/>
              <w:textAlignment w:val="center"/>
              <w:rPr>
                <w:color w:val="auto"/>
                <w:kern w:val="0"/>
                <w:lang w:bidi="ar"/>
              </w:rPr>
            </w:pPr>
            <w:r>
              <w:rPr>
                <w:color w:val="auto"/>
                <w:kern w:val="0"/>
                <w:lang w:bidi="ar"/>
              </w:rPr>
              <w:t>0</w:t>
            </w:r>
          </w:p>
        </w:tc>
        <w:tc>
          <w:tcPr>
            <w:tcW w:w="1701" w:type="dxa"/>
            <w:vAlign w:val="center"/>
          </w:tcPr>
          <w:p w14:paraId="6F595BC2">
            <w:pPr>
              <w:widowControl/>
              <w:jc w:val="center"/>
              <w:textAlignment w:val="center"/>
              <w:rPr>
                <w:color w:val="auto"/>
                <w:kern w:val="0"/>
                <w:lang w:bidi="ar"/>
              </w:rPr>
            </w:pPr>
            <w:r>
              <w:rPr>
                <w:color w:val="auto"/>
                <w:kern w:val="0"/>
                <w:lang w:bidi="ar"/>
              </w:rPr>
              <w:t>0</w:t>
            </w:r>
          </w:p>
        </w:tc>
        <w:tc>
          <w:tcPr>
            <w:tcW w:w="1559" w:type="dxa"/>
            <w:vAlign w:val="center"/>
          </w:tcPr>
          <w:p w14:paraId="28F1D042">
            <w:pPr>
              <w:jc w:val="center"/>
              <w:rPr>
                <w:color w:val="auto"/>
                <w:kern w:val="0"/>
                <w:lang w:bidi="ar"/>
              </w:rPr>
            </w:pPr>
            <w:r>
              <w:rPr>
                <w:rFonts w:hint="eastAsia" w:ascii="Times New Roman" w:hAnsi="Times New Roman" w:eastAsia="宋体" w:cs="Times New Roman"/>
                <w:color w:val="auto"/>
                <w:lang w:val="en-US" w:eastAsia="zh-CN"/>
              </w:rPr>
              <w:t>0.515</w:t>
            </w:r>
          </w:p>
        </w:tc>
        <w:tc>
          <w:tcPr>
            <w:tcW w:w="1761" w:type="dxa"/>
            <w:vAlign w:val="center"/>
          </w:tcPr>
          <w:p w14:paraId="6CC9F285">
            <w:pPr>
              <w:widowControl/>
              <w:jc w:val="center"/>
              <w:textAlignment w:val="center"/>
              <w:rPr>
                <w:color w:val="auto"/>
                <w:kern w:val="0"/>
                <w:lang w:bidi="ar"/>
              </w:rPr>
            </w:pPr>
            <w:r>
              <w:rPr>
                <w:rFonts w:hint="eastAsia"/>
                <w:color w:val="auto"/>
                <w:kern w:val="0"/>
                <w:lang w:bidi="ar"/>
              </w:rPr>
              <w:t>0</w:t>
            </w:r>
          </w:p>
        </w:tc>
        <w:tc>
          <w:tcPr>
            <w:tcW w:w="1869" w:type="dxa"/>
            <w:vAlign w:val="center"/>
          </w:tcPr>
          <w:p w14:paraId="4DA89AF5">
            <w:pPr>
              <w:jc w:val="center"/>
              <w:rPr>
                <w:color w:val="auto"/>
                <w:kern w:val="0"/>
                <w:lang w:bidi="ar"/>
              </w:rPr>
            </w:pPr>
            <w:r>
              <w:rPr>
                <w:rFonts w:hint="eastAsia" w:ascii="Times New Roman" w:hAnsi="Times New Roman" w:eastAsia="宋体" w:cs="Times New Roman"/>
                <w:color w:val="auto"/>
                <w:lang w:val="en-US" w:eastAsia="zh-CN"/>
              </w:rPr>
              <w:t>0.515</w:t>
            </w:r>
          </w:p>
        </w:tc>
        <w:tc>
          <w:tcPr>
            <w:tcW w:w="916" w:type="dxa"/>
            <w:vAlign w:val="center"/>
          </w:tcPr>
          <w:p w14:paraId="65AA6F4F">
            <w:pPr>
              <w:jc w:val="center"/>
              <w:rPr>
                <w:color w:val="auto"/>
                <w:kern w:val="0"/>
                <w:lang w:bidi="ar"/>
              </w:rPr>
            </w:pPr>
            <w:r>
              <w:rPr>
                <w:rFonts w:hint="eastAsia"/>
                <w:color w:val="auto"/>
                <w:lang w:val="en-US" w:eastAsia="zh-CN"/>
              </w:rPr>
              <w:t>+0.515</w:t>
            </w:r>
          </w:p>
        </w:tc>
      </w:tr>
      <w:tr w14:paraId="033FE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44E34AEE">
            <w:pPr>
              <w:pStyle w:val="42"/>
              <w:spacing w:beforeLines="0" w:afterLines="0" w:line="240" w:lineRule="auto"/>
              <w:rPr>
                <w:rFonts w:hAnsi="宋体" w:cs="宋体"/>
                <w:snapToGrid w:val="0"/>
                <w:color w:val="auto"/>
                <w:kern w:val="21"/>
                <w:szCs w:val="21"/>
              </w:rPr>
            </w:pPr>
          </w:p>
        </w:tc>
        <w:tc>
          <w:tcPr>
            <w:tcW w:w="1417" w:type="dxa"/>
            <w:gridSpan w:val="2"/>
            <w:vAlign w:val="center"/>
          </w:tcPr>
          <w:p w14:paraId="344B5343">
            <w:pPr>
              <w:spacing w:line="0" w:lineRule="atLeast"/>
              <w:jc w:val="center"/>
              <w:rPr>
                <w:color w:val="auto"/>
              </w:rPr>
            </w:pPr>
            <w:r>
              <w:rPr>
                <w:rFonts w:hint="eastAsia"/>
                <w:color w:val="auto"/>
              </w:rPr>
              <w:t>总磷</w:t>
            </w:r>
          </w:p>
        </w:tc>
        <w:tc>
          <w:tcPr>
            <w:tcW w:w="1701" w:type="dxa"/>
            <w:vAlign w:val="center"/>
          </w:tcPr>
          <w:p w14:paraId="3D9571FD">
            <w:pPr>
              <w:adjustRightInd w:val="0"/>
              <w:jc w:val="center"/>
              <w:rPr>
                <w:color w:val="auto"/>
                <w:kern w:val="0"/>
                <w:lang w:bidi="ar"/>
              </w:rPr>
            </w:pPr>
            <w:r>
              <w:rPr>
                <w:rFonts w:hint="eastAsia"/>
                <w:bCs/>
                <w:color w:val="auto"/>
              </w:rPr>
              <w:t>0.051</w:t>
            </w:r>
          </w:p>
        </w:tc>
        <w:tc>
          <w:tcPr>
            <w:tcW w:w="1276" w:type="dxa"/>
            <w:vAlign w:val="center"/>
          </w:tcPr>
          <w:p w14:paraId="4624AEE8">
            <w:pPr>
              <w:widowControl/>
              <w:jc w:val="center"/>
              <w:textAlignment w:val="center"/>
              <w:rPr>
                <w:color w:val="auto"/>
                <w:kern w:val="0"/>
                <w:lang w:bidi="ar"/>
              </w:rPr>
            </w:pPr>
            <w:r>
              <w:rPr>
                <w:color w:val="auto"/>
                <w:kern w:val="0"/>
                <w:lang w:bidi="ar"/>
              </w:rPr>
              <w:t>0</w:t>
            </w:r>
          </w:p>
        </w:tc>
        <w:tc>
          <w:tcPr>
            <w:tcW w:w="1701" w:type="dxa"/>
            <w:vAlign w:val="center"/>
          </w:tcPr>
          <w:p w14:paraId="12F87EAB">
            <w:pPr>
              <w:widowControl/>
              <w:jc w:val="center"/>
              <w:textAlignment w:val="center"/>
              <w:rPr>
                <w:color w:val="auto"/>
                <w:kern w:val="0"/>
                <w:lang w:bidi="ar"/>
              </w:rPr>
            </w:pPr>
            <w:r>
              <w:rPr>
                <w:color w:val="auto"/>
                <w:kern w:val="0"/>
                <w:lang w:bidi="ar"/>
              </w:rPr>
              <w:t>0</w:t>
            </w:r>
          </w:p>
        </w:tc>
        <w:tc>
          <w:tcPr>
            <w:tcW w:w="1559" w:type="dxa"/>
            <w:vAlign w:val="center"/>
          </w:tcPr>
          <w:p w14:paraId="0436B574">
            <w:pPr>
              <w:jc w:val="center"/>
              <w:rPr>
                <w:color w:val="auto"/>
                <w:kern w:val="0"/>
                <w:lang w:bidi="ar"/>
              </w:rPr>
            </w:pPr>
            <w:r>
              <w:rPr>
                <w:rFonts w:hint="eastAsia" w:ascii="Times New Roman" w:hAnsi="Times New Roman" w:eastAsia="宋体" w:cs="Times New Roman"/>
                <w:color w:val="auto"/>
                <w:lang w:val="en-US" w:eastAsia="zh-CN"/>
              </w:rPr>
              <w:t>0.06</w:t>
            </w:r>
          </w:p>
        </w:tc>
        <w:tc>
          <w:tcPr>
            <w:tcW w:w="1761" w:type="dxa"/>
            <w:vAlign w:val="center"/>
          </w:tcPr>
          <w:p w14:paraId="3862179B">
            <w:pPr>
              <w:adjustRightInd w:val="0"/>
              <w:jc w:val="center"/>
              <w:rPr>
                <w:color w:val="auto"/>
                <w:kern w:val="0"/>
                <w:lang w:bidi="ar"/>
              </w:rPr>
            </w:pPr>
            <w:r>
              <w:rPr>
                <w:rFonts w:hint="eastAsia"/>
                <w:bCs/>
                <w:color w:val="auto"/>
              </w:rPr>
              <w:t>0.051</w:t>
            </w:r>
          </w:p>
        </w:tc>
        <w:tc>
          <w:tcPr>
            <w:tcW w:w="1869" w:type="dxa"/>
            <w:vAlign w:val="center"/>
          </w:tcPr>
          <w:p w14:paraId="67E74B6E">
            <w:pPr>
              <w:jc w:val="center"/>
              <w:rPr>
                <w:color w:val="auto"/>
                <w:kern w:val="0"/>
                <w:lang w:bidi="ar"/>
              </w:rPr>
            </w:pPr>
            <w:r>
              <w:rPr>
                <w:rFonts w:hint="eastAsia" w:ascii="Times New Roman" w:hAnsi="Times New Roman" w:eastAsia="宋体" w:cs="Times New Roman"/>
                <w:color w:val="auto"/>
                <w:lang w:val="en-US" w:eastAsia="zh-CN"/>
              </w:rPr>
              <w:t>0.06</w:t>
            </w:r>
          </w:p>
        </w:tc>
        <w:tc>
          <w:tcPr>
            <w:tcW w:w="916" w:type="dxa"/>
            <w:vAlign w:val="center"/>
          </w:tcPr>
          <w:p w14:paraId="1FF08D81">
            <w:pPr>
              <w:jc w:val="center"/>
              <w:rPr>
                <w:color w:val="auto"/>
                <w:kern w:val="0"/>
                <w:lang w:bidi="ar"/>
              </w:rPr>
            </w:pPr>
            <w:r>
              <w:rPr>
                <w:rFonts w:hint="eastAsia"/>
                <w:color w:val="auto"/>
                <w:lang w:val="en-US" w:eastAsia="zh-CN"/>
              </w:rPr>
              <w:t>+0.009</w:t>
            </w:r>
          </w:p>
        </w:tc>
      </w:tr>
      <w:tr w14:paraId="633E5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43DE7317">
            <w:pPr>
              <w:pStyle w:val="42"/>
              <w:spacing w:beforeLines="0" w:afterLines="0" w:line="240" w:lineRule="auto"/>
              <w:rPr>
                <w:rFonts w:hAnsi="宋体" w:cs="宋体"/>
                <w:snapToGrid w:val="0"/>
                <w:color w:val="auto"/>
                <w:kern w:val="21"/>
                <w:szCs w:val="21"/>
              </w:rPr>
            </w:pPr>
          </w:p>
        </w:tc>
        <w:tc>
          <w:tcPr>
            <w:tcW w:w="1417" w:type="dxa"/>
            <w:gridSpan w:val="2"/>
            <w:vAlign w:val="center"/>
          </w:tcPr>
          <w:p w14:paraId="631A74B4">
            <w:pPr>
              <w:spacing w:line="0" w:lineRule="atLeast"/>
              <w:jc w:val="center"/>
              <w:rPr>
                <w:color w:val="auto"/>
              </w:rPr>
            </w:pPr>
            <w:r>
              <w:rPr>
                <w:rFonts w:hint="eastAsia"/>
                <w:color w:val="auto"/>
              </w:rPr>
              <w:t>动植物油</w:t>
            </w:r>
          </w:p>
        </w:tc>
        <w:tc>
          <w:tcPr>
            <w:tcW w:w="1701" w:type="dxa"/>
            <w:vAlign w:val="center"/>
          </w:tcPr>
          <w:p w14:paraId="340EC242">
            <w:pPr>
              <w:adjustRightInd w:val="0"/>
              <w:jc w:val="center"/>
              <w:rPr>
                <w:color w:val="auto"/>
                <w:kern w:val="0"/>
                <w:lang w:bidi="ar"/>
              </w:rPr>
            </w:pPr>
            <w:r>
              <w:rPr>
                <w:rFonts w:hint="eastAsia"/>
                <w:bCs/>
                <w:color w:val="auto"/>
              </w:rPr>
              <w:t>0.648</w:t>
            </w:r>
          </w:p>
        </w:tc>
        <w:tc>
          <w:tcPr>
            <w:tcW w:w="1276" w:type="dxa"/>
            <w:vAlign w:val="center"/>
          </w:tcPr>
          <w:p w14:paraId="58AF74D5">
            <w:pPr>
              <w:widowControl/>
              <w:jc w:val="center"/>
              <w:textAlignment w:val="center"/>
              <w:rPr>
                <w:color w:val="auto"/>
                <w:kern w:val="0"/>
                <w:lang w:bidi="ar"/>
              </w:rPr>
            </w:pPr>
            <w:r>
              <w:rPr>
                <w:rFonts w:hint="eastAsia"/>
                <w:color w:val="auto"/>
                <w:kern w:val="0"/>
                <w:lang w:bidi="ar"/>
              </w:rPr>
              <w:t>0</w:t>
            </w:r>
          </w:p>
        </w:tc>
        <w:tc>
          <w:tcPr>
            <w:tcW w:w="1701" w:type="dxa"/>
            <w:vAlign w:val="center"/>
          </w:tcPr>
          <w:p w14:paraId="2BE34FC1">
            <w:pPr>
              <w:widowControl/>
              <w:jc w:val="center"/>
              <w:textAlignment w:val="center"/>
              <w:rPr>
                <w:color w:val="auto"/>
                <w:kern w:val="0"/>
                <w:lang w:bidi="ar"/>
              </w:rPr>
            </w:pPr>
            <w:r>
              <w:rPr>
                <w:rFonts w:hint="eastAsia"/>
                <w:color w:val="auto"/>
                <w:kern w:val="0"/>
                <w:lang w:bidi="ar"/>
              </w:rPr>
              <w:t>0</w:t>
            </w:r>
          </w:p>
        </w:tc>
        <w:tc>
          <w:tcPr>
            <w:tcW w:w="1559" w:type="dxa"/>
            <w:vAlign w:val="center"/>
          </w:tcPr>
          <w:p w14:paraId="121C7D2D">
            <w:pPr>
              <w:jc w:val="center"/>
              <w:rPr>
                <w:color w:val="auto"/>
                <w:kern w:val="0"/>
                <w:lang w:bidi="ar"/>
              </w:rPr>
            </w:pPr>
            <w:r>
              <w:rPr>
                <w:rFonts w:hint="eastAsia" w:ascii="Times New Roman" w:hAnsi="Times New Roman" w:eastAsia="宋体" w:cs="Times New Roman"/>
                <w:color w:val="auto"/>
              </w:rPr>
              <w:t>0.1</w:t>
            </w:r>
          </w:p>
        </w:tc>
        <w:tc>
          <w:tcPr>
            <w:tcW w:w="1761" w:type="dxa"/>
            <w:vAlign w:val="center"/>
          </w:tcPr>
          <w:p w14:paraId="69D41131">
            <w:pPr>
              <w:adjustRightInd w:val="0"/>
              <w:jc w:val="center"/>
              <w:rPr>
                <w:color w:val="auto"/>
                <w:kern w:val="0"/>
                <w:lang w:bidi="ar"/>
              </w:rPr>
            </w:pPr>
            <w:r>
              <w:rPr>
                <w:rFonts w:hint="eastAsia"/>
                <w:bCs/>
                <w:color w:val="auto"/>
              </w:rPr>
              <w:t>0.648</w:t>
            </w:r>
          </w:p>
        </w:tc>
        <w:tc>
          <w:tcPr>
            <w:tcW w:w="1869" w:type="dxa"/>
            <w:vAlign w:val="center"/>
          </w:tcPr>
          <w:p w14:paraId="71480364">
            <w:pPr>
              <w:jc w:val="center"/>
              <w:rPr>
                <w:color w:val="auto"/>
                <w:kern w:val="0"/>
                <w:lang w:bidi="ar"/>
              </w:rPr>
            </w:pPr>
            <w:r>
              <w:rPr>
                <w:rFonts w:hint="eastAsia" w:ascii="Times New Roman" w:hAnsi="Times New Roman" w:eastAsia="宋体" w:cs="Times New Roman"/>
                <w:color w:val="auto"/>
              </w:rPr>
              <w:t>0.1</w:t>
            </w:r>
          </w:p>
        </w:tc>
        <w:tc>
          <w:tcPr>
            <w:tcW w:w="916" w:type="dxa"/>
            <w:vAlign w:val="center"/>
          </w:tcPr>
          <w:p w14:paraId="1CA56A02">
            <w:pPr>
              <w:jc w:val="center"/>
              <w:rPr>
                <w:color w:val="auto"/>
                <w:kern w:val="0"/>
                <w:lang w:bidi="ar"/>
              </w:rPr>
            </w:pPr>
            <w:r>
              <w:rPr>
                <w:rFonts w:hint="eastAsia"/>
                <w:color w:val="auto"/>
                <w:lang w:val="en-US" w:eastAsia="zh-CN"/>
              </w:rPr>
              <w:t>-0.548</w:t>
            </w:r>
          </w:p>
        </w:tc>
      </w:tr>
      <w:tr w14:paraId="4A33A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14:paraId="7C5583E4">
            <w:pPr>
              <w:pStyle w:val="42"/>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一般工业</w:t>
            </w:r>
          </w:p>
          <w:p w14:paraId="37CDC75F">
            <w:pPr>
              <w:pStyle w:val="42"/>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固体废物</w:t>
            </w:r>
          </w:p>
        </w:tc>
        <w:tc>
          <w:tcPr>
            <w:tcW w:w="1417" w:type="dxa"/>
            <w:gridSpan w:val="2"/>
            <w:vAlign w:val="center"/>
          </w:tcPr>
          <w:p w14:paraId="66183C23">
            <w:pPr>
              <w:pStyle w:val="42"/>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w:t>
            </w:r>
          </w:p>
        </w:tc>
        <w:tc>
          <w:tcPr>
            <w:tcW w:w="1701" w:type="dxa"/>
            <w:vAlign w:val="center"/>
          </w:tcPr>
          <w:p w14:paraId="5C5B473E">
            <w:pPr>
              <w:jc w:val="center"/>
              <w:rPr>
                <w:rFonts w:hint="default" w:hAnsi="宋体" w:eastAsia="宋体" w:cs="宋体"/>
                <w:snapToGrid w:val="0"/>
                <w:color w:val="auto"/>
                <w:kern w:val="21"/>
                <w:lang w:val="en-US" w:eastAsia="zh-CN"/>
              </w:rPr>
            </w:pPr>
            <w:r>
              <w:rPr>
                <w:snapToGrid w:val="0"/>
                <w:color w:val="auto"/>
                <w:kern w:val="21"/>
              </w:rPr>
              <w:t>0</w:t>
            </w:r>
            <w:r>
              <w:rPr>
                <w:rFonts w:hint="eastAsia"/>
                <w:snapToGrid w:val="0"/>
                <w:color w:val="auto"/>
                <w:kern w:val="21"/>
                <w:lang w:val="en-US" w:eastAsia="zh-CN"/>
              </w:rPr>
              <w:t>.25</w:t>
            </w:r>
          </w:p>
        </w:tc>
        <w:tc>
          <w:tcPr>
            <w:tcW w:w="1276" w:type="dxa"/>
            <w:vAlign w:val="center"/>
          </w:tcPr>
          <w:p w14:paraId="1107A6FF">
            <w:pPr>
              <w:jc w:val="center"/>
              <w:rPr>
                <w:rFonts w:hAnsi="宋体" w:cs="宋体"/>
                <w:snapToGrid w:val="0"/>
                <w:color w:val="auto"/>
                <w:kern w:val="21"/>
              </w:rPr>
            </w:pPr>
            <w:r>
              <w:rPr>
                <w:snapToGrid w:val="0"/>
                <w:color w:val="auto"/>
                <w:kern w:val="21"/>
              </w:rPr>
              <w:t>0</w:t>
            </w:r>
          </w:p>
        </w:tc>
        <w:tc>
          <w:tcPr>
            <w:tcW w:w="1701" w:type="dxa"/>
            <w:vAlign w:val="center"/>
          </w:tcPr>
          <w:p w14:paraId="45E0A065">
            <w:pPr>
              <w:jc w:val="center"/>
              <w:rPr>
                <w:rFonts w:hAnsi="宋体" w:cs="宋体"/>
                <w:snapToGrid w:val="0"/>
                <w:color w:val="auto"/>
                <w:kern w:val="21"/>
              </w:rPr>
            </w:pPr>
            <w:r>
              <w:rPr>
                <w:snapToGrid w:val="0"/>
                <w:color w:val="auto"/>
                <w:kern w:val="21"/>
              </w:rPr>
              <w:t>0</w:t>
            </w:r>
          </w:p>
        </w:tc>
        <w:tc>
          <w:tcPr>
            <w:tcW w:w="1559" w:type="dxa"/>
            <w:vAlign w:val="center"/>
          </w:tcPr>
          <w:p w14:paraId="1BC27C5A">
            <w:pPr>
              <w:jc w:val="center"/>
              <w:rPr>
                <w:rFonts w:hint="eastAsia" w:hAnsi="宋体" w:eastAsia="宋体" w:cs="宋体"/>
                <w:snapToGrid w:val="0"/>
                <w:color w:val="auto"/>
                <w:kern w:val="21"/>
                <w:lang w:eastAsia="zh-CN"/>
              </w:rPr>
            </w:pPr>
            <w:r>
              <w:rPr>
                <w:rFonts w:hint="eastAsia"/>
                <w:snapToGrid w:val="0"/>
                <w:color w:val="auto"/>
                <w:kern w:val="21"/>
                <w:lang w:eastAsia="zh-CN"/>
              </w:rPr>
              <w:t>95.413</w:t>
            </w:r>
          </w:p>
        </w:tc>
        <w:tc>
          <w:tcPr>
            <w:tcW w:w="1761" w:type="dxa"/>
            <w:vAlign w:val="center"/>
          </w:tcPr>
          <w:p w14:paraId="40EC74C4">
            <w:pPr>
              <w:jc w:val="center"/>
              <w:rPr>
                <w:rFonts w:hAnsi="宋体" w:cs="宋体"/>
                <w:snapToGrid w:val="0"/>
                <w:color w:val="auto"/>
                <w:kern w:val="21"/>
              </w:rPr>
            </w:pPr>
            <w:r>
              <w:rPr>
                <w:snapToGrid w:val="0"/>
                <w:color w:val="auto"/>
                <w:kern w:val="21"/>
              </w:rPr>
              <w:t>0</w:t>
            </w:r>
            <w:r>
              <w:rPr>
                <w:rFonts w:hint="eastAsia"/>
                <w:snapToGrid w:val="0"/>
                <w:color w:val="auto"/>
                <w:kern w:val="21"/>
                <w:lang w:val="en-US" w:eastAsia="zh-CN"/>
              </w:rPr>
              <w:t>.25</w:t>
            </w:r>
          </w:p>
        </w:tc>
        <w:tc>
          <w:tcPr>
            <w:tcW w:w="1869" w:type="dxa"/>
            <w:vAlign w:val="center"/>
          </w:tcPr>
          <w:p w14:paraId="4FF0AD8D">
            <w:pPr>
              <w:jc w:val="center"/>
              <w:rPr>
                <w:rFonts w:hint="eastAsia" w:hAnsi="宋体" w:eastAsia="宋体" w:cs="宋体"/>
                <w:snapToGrid w:val="0"/>
                <w:color w:val="auto"/>
                <w:kern w:val="21"/>
                <w:lang w:eastAsia="zh-CN"/>
              </w:rPr>
            </w:pPr>
            <w:r>
              <w:rPr>
                <w:rFonts w:hint="eastAsia"/>
                <w:snapToGrid w:val="0"/>
                <w:color w:val="auto"/>
                <w:kern w:val="21"/>
                <w:lang w:eastAsia="zh-CN"/>
              </w:rPr>
              <w:t>95.413</w:t>
            </w:r>
          </w:p>
        </w:tc>
        <w:tc>
          <w:tcPr>
            <w:tcW w:w="916" w:type="dxa"/>
            <w:vAlign w:val="center"/>
          </w:tcPr>
          <w:p w14:paraId="7742E41A">
            <w:pPr>
              <w:jc w:val="center"/>
              <w:rPr>
                <w:rFonts w:hint="default" w:hAnsi="宋体" w:eastAsia="宋体" w:cs="宋体"/>
                <w:snapToGrid w:val="0"/>
                <w:color w:val="auto"/>
                <w:kern w:val="21"/>
                <w:lang w:val="en-US" w:eastAsia="zh-CN"/>
              </w:rPr>
            </w:pPr>
            <w:r>
              <w:rPr>
                <w:rFonts w:hint="eastAsia" w:hAnsi="宋体" w:cs="宋体"/>
                <w:snapToGrid w:val="0"/>
                <w:color w:val="auto"/>
                <w:kern w:val="21"/>
              </w:rPr>
              <w:t>+</w:t>
            </w:r>
            <w:r>
              <w:rPr>
                <w:rFonts w:hint="eastAsia"/>
                <w:snapToGrid w:val="0"/>
                <w:color w:val="auto"/>
                <w:kern w:val="21"/>
                <w:lang w:eastAsia="zh-CN"/>
              </w:rPr>
              <w:t>95.</w:t>
            </w:r>
            <w:r>
              <w:rPr>
                <w:rFonts w:hint="eastAsia"/>
                <w:snapToGrid w:val="0"/>
                <w:color w:val="auto"/>
                <w:kern w:val="21"/>
                <w:lang w:val="en-US" w:eastAsia="zh-CN"/>
              </w:rPr>
              <w:t>163</w:t>
            </w:r>
          </w:p>
        </w:tc>
      </w:tr>
      <w:tr w14:paraId="27A31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14:paraId="113ABC92">
            <w:pPr>
              <w:pStyle w:val="42"/>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危险废物</w:t>
            </w:r>
          </w:p>
        </w:tc>
        <w:tc>
          <w:tcPr>
            <w:tcW w:w="1417" w:type="dxa"/>
            <w:gridSpan w:val="2"/>
            <w:vAlign w:val="center"/>
          </w:tcPr>
          <w:p w14:paraId="62F485E5">
            <w:pPr>
              <w:pStyle w:val="42"/>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w:t>
            </w:r>
          </w:p>
        </w:tc>
        <w:tc>
          <w:tcPr>
            <w:tcW w:w="1701" w:type="dxa"/>
            <w:vAlign w:val="center"/>
          </w:tcPr>
          <w:p w14:paraId="7907D2F1">
            <w:pPr>
              <w:jc w:val="center"/>
              <w:rPr>
                <w:rFonts w:hint="default" w:hAnsi="宋体" w:eastAsia="宋体" w:cs="宋体"/>
                <w:snapToGrid w:val="0"/>
                <w:color w:val="auto"/>
                <w:kern w:val="21"/>
                <w:lang w:val="en-US" w:eastAsia="zh-CN"/>
              </w:rPr>
            </w:pPr>
            <w:r>
              <w:rPr>
                <w:rFonts w:hint="eastAsia"/>
                <w:snapToGrid w:val="0"/>
                <w:color w:val="auto"/>
                <w:kern w:val="21"/>
                <w:lang w:val="en-US" w:eastAsia="zh-CN"/>
              </w:rPr>
              <w:t>4.6</w:t>
            </w:r>
          </w:p>
        </w:tc>
        <w:tc>
          <w:tcPr>
            <w:tcW w:w="1276" w:type="dxa"/>
            <w:vAlign w:val="center"/>
          </w:tcPr>
          <w:p w14:paraId="101B9633">
            <w:pPr>
              <w:jc w:val="center"/>
              <w:rPr>
                <w:rFonts w:hAnsi="宋体" w:cs="宋体"/>
                <w:snapToGrid w:val="0"/>
                <w:color w:val="auto"/>
                <w:kern w:val="21"/>
              </w:rPr>
            </w:pPr>
            <w:r>
              <w:rPr>
                <w:rFonts w:hint="eastAsia" w:hAnsi="宋体" w:cs="宋体"/>
                <w:snapToGrid w:val="0"/>
                <w:color w:val="auto"/>
                <w:kern w:val="21"/>
              </w:rPr>
              <w:t>0</w:t>
            </w:r>
          </w:p>
        </w:tc>
        <w:tc>
          <w:tcPr>
            <w:tcW w:w="1701" w:type="dxa"/>
            <w:vAlign w:val="center"/>
          </w:tcPr>
          <w:p w14:paraId="27DA65F8">
            <w:pPr>
              <w:jc w:val="center"/>
              <w:rPr>
                <w:rFonts w:hAnsi="宋体" w:cs="宋体"/>
                <w:snapToGrid w:val="0"/>
                <w:color w:val="auto"/>
                <w:kern w:val="21"/>
              </w:rPr>
            </w:pPr>
            <w:r>
              <w:rPr>
                <w:rFonts w:hint="eastAsia" w:hAnsi="宋体" w:cs="宋体"/>
                <w:snapToGrid w:val="0"/>
                <w:color w:val="auto"/>
                <w:kern w:val="21"/>
              </w:rPr>
              <w:t>0</w:t>
            </w:r>
          </w:p>
        </w:tc>
        <w:tc>
          <w:tcPr>
            <w:tcW w:w="1559" w:type="dxa"/>
            <w:vAlign w:val="center"/>
          </w:tcPr>
          <w:p w14:paraId="5CCDB6B1">
            <w:pPr>
              <w:jc w:val="center"/>
              <w:rPr>
                <w:rFonts w:hint="eastAsia" w:hAnsi="宋体" w:eastAsia="宋体" w:cs="宋体"/>
                <w:snapToGrid w:val="0"/>
                <w:color w:val="auto"/>
                <w:kern w:val="21"/>
                <w:lang w:eastAsia="zh-CN"/>
              </w:rPr>
            </w:pPr>
            <w:r>
              <w:rPr>
                <w:rFonts w:hint="eastAsia" w:hAnsi="宋体" w:cs="宋体"/>
                <w:snapToGrid w:val="0"/>
                <w:color w:val="auto"/>
                <w:kern w:val="21"/>
                <w:lang w:eastAsia="zh-CN"/>
              </w:rPr>
              <w:t>15.509</w:t>
            </w:r>
          </w:p>
        </w:tc>
        <w:tc>
          <w:tcPr>
            <w:tcW w:w="1761" w:type="dxa"/>
            <w:vAlign w:val="center"/>
          </w:tcPr>
          <w:p w14:paraId="5172B0C6">
            <w:pPr>
              <w:jc w:val="center"/>
              <w:rPr>
                <w:rFonts w:hAnsi="宋体" w:cs="宋体"/>
                <w:snapToGrid w:val="0"/>
                <w:color w:val="auto"/>
                <w:kern w:val="21"/>
              </w:rPr>
            </w:pPr>
            <w:r>
              <w:rPr>
                <w:rFonts w:hint="eastAsia"/>
                <w:snapToGrid w:val="0"/>
                <w:color w:val="auto"/>
                <w:kern w:val="21"/>
                <w:lang w:val="en-US" w:eastAsia="zh-CN"/>
              </w:rPr>
              <w:t>4.6</w:t>
            </w:r>
          </w:p>
        </w:tc>
        <w:tc>
          <w:tcPr>
            <w:tcW w:w="1869" w:type="dxa"/>
            <w:vAlign w:val="center"/>
          </w:tcPr>
          <w:p w14:paraId="33F0DC98">
            <w:pPr>
              <w:jc w:val="center"/>
              <w:rPr>
                <w:rFonts w:hint="eastAsia" w:hAnsi="宋体" w:eastAsia="宋体" w:cs="宋体"/>
                <w:snapToGrid w:val="0"/>
                <w:color w:val="auto"/>
                <w:kern w:val="21"/>
                <w:lang w:eastAsia="zh-CN"/>
              </w:rPr>
            </w:pPr>
            <w:r>
              <w:rPr>
                <w:rFonts w:hint="eastAsia" w:hAnsi="宋体" w:cs="宋体"/>
                <w:snapToGrid w:val="0"/>
                <w:color w:val="auto"/>
                <w:kern w:val="21"/>
                <w:lang w:eastAsia="zh-CN"/>
              </w:rPr>
              <w:t>15.509</w:t>
            </w:r>
          </w:p>
        </w:tc>
        <w:tc>
          <w:tcPr>
            <w:tcW w:w="916" w:type="dxa"/>
            <w:vAlign w:val="center"/>
          </w:tcPr>
          <w:p w14:paraId="5A5D83B1">
            <w:pPr>
              <w:jc w:val="center"/>
              <w:rPr>
                <w:rFonts w:hint="default" w:hAnsi="宋体" w:eastAsia="宋体" w:cs="宋体"/>
                <w:snapToGrid w:val="0"/>
                <w:color w:val="auto"/>
                <w:kern w:val="21"/>
                <w:lang w:val="en-US" w:eastAsia="zh-CN"/>
              </w:rPr>
            </w:pPr>
            <w:r>
              <w:rPr>
                <w:rFonts w:hint="eastAsia" w:hAnsi="宋体" w:cs="宋体"/>
                <w:snapToGrid w:val="0"/>
                <w:color w:val="auto"/>
                <w:kern w:val="21"/>
              </w:rPr>
              <w:t>+</w:t>
            </w:r>
            <w:r>
              <w:rPr>
                <w:rFonts w:hint="eastAsia" w:hAnsi="宋体" w:cs="宋体"/>
                <w:snapToGrid w:val="0"/>
                <w:color w:val="auto"/>
                <w:kern w:val="21"/>
                <w:lang w:eastAsia="zh-CN"/>
              </w:rPr>
              <w:t>1</w:t>
            </w:r>
            <w:r>
              <w:rPr>
                <w:rFonts w:hint="eastAsia" w:hAnsi="宋体" w:cs="宋体"/>
                <w:snapToGrid w:val="0"/>
                <w:color w:val="auto"/>
                <w:kern w:val="21"/>
                <w:lang w:val="en-US" w:eastAsia="zh-CN"/>
              </w:rPr>
              <w:t>0.909</w:t>
            </w:r>
          </w:p>
        </w:tc>
      </w:tr>
    </w:tbl>
    <w:p w14:paraId="5BBACC2A">
      <w:pPr>
        <w:rPr>
          <w:color w:val="auto"/>
        </w:rPr>
      </w:pPr>
      <w:r>
        <w:rPr>
          <w:rFonts w:hAnsi="宋体"/>
          <w:snapToGrid w:val="0"/>
          <w:color w:val="auto"/>
          <w:kern w:val="21"/>
        </w:rPr>
        <w:t>注：</w:t>
      </w:r>
      <w:r>
        <w:rPr>
          <w:rFonts w:hAnsi="宋体"/>
          <w:snapToGrid w:val="0"/>
          <w:color w:val="auto"/>
          <w:spacing w:val="-16"/>
          <w:kern w:val="21"/>
        </w:rPr>
        <w:fldChar w:fldCharType="begin"/>
      </w:r>
      <w:r>
        <w:rPr>
          <w:rFonts w:hAnsi="宋体"/>
          <w:snapToGrid w:val="0"/>
          <w:color w:val="auto"/>
          <w:spacing w:val="-16"/>
          <w:kern w:val="21"/>
        </w:rPr>
        <w:instrText xml:space="preserve"> = 6 \* GB3 \* MERGEFORMAT </w:instrText>
      </w:r>
      <w:r>
        <w:rPr>
          <w:rFonts w:hAnsi="宋体"/>
          <w:snapToGrid w:val="0"/>
          <w:color w:val="auto"/>
          <w:spacing w:val="-16"/>
          <w:kern w:val="21"/>
        </w:rPr>
        <w:fldChar w:fldCharType="separate"/>
      </w:r>
      <w:r>
        <w:rPr>
          <w:rFonts w:hint="eastAsia" w:hAnsi="宋体"/>
          <w:color w:val="auto"/>
        </w:rPr>
        <w:t>⑥</w:t>
      </w:r>
      <w:r>
        <w:rPr>
          <w:rFonts w:hAnsi="宋体"/>
          <w:snapToGrid w:val="0"/>
          <w:color w:val="auto"/>
          <w:spacing w:val="-16"/>
          <w:kern w:val="21"/>
        </w:rPr>
        <w:fldChar w:fldCharType="end"/>
      </w:r>
      <w:r>
        <w:rPr>
          <w:rFonts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1 \* GB3 \* MERGEFORMAT </w:instrText>
      </w:r>
      <w:r>
        <w:rPr>
          <w:rFonts w:hAnsi="宋体"/>
          <w:snapToGrid w:val="0"/>
          <w:color w:val="auto"/>
          <w:spacing w:val="-6"/>
          <w:kern w:val="21"/>
        </w:rPr>
        <w:fldChar w:fldCharType="separate"/>
      </w:r>
      <w:r>
        <w:rPr>
          <w:rFonts w:hint="eastAsia" w:hAnsi="宋体"/>
          <w:color w:val="auto"/>
        </w:rPr>
        <w:t>①</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6"/>
          <w:kern w:val="21"/>
        </w:rPr>
        <w:fldChar w:fldCharType="begin"/>
      </w:r>
      <w:r>
        <w:rPr>
          <w:rFonts w:hAnsi="宋体"/>
          <w:snapToGrid w:val="0"/>
          <w:color w:val="auto"/>
          <w:spacing w:val="-6"/>
          <w:kern w:val="21"/>
        </w:rPr>
        <w:instrText xml:space="preserve"> = 3 \* GB3 \* MERGEFORMAT </w:instrText>
      </w:r>
      <w:r>
        <w:rPr>
          <w:rFonts w:hAnsi="宋体"/>
          <w:snapToGrid w:val="0"/>
          <w:color w:val="auto"/>
          <w:spacing w:val="-6"/>
          <w:kern w:val="21"/>
        </w:rPr>
        <w:fldChar w:fldCharType="separate"/>
      </w:r>
      <w:r>
        <w:rPr>
          <w:rFonts w:hint="eastAsia" w:hAnsi="宋体"/>
          <w:color w:val="auto"/>
        </w:rPr>
        <w:t>③</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6"/>
          <w:kern w:val="21"/>
        </w:rPr>
        <w:fldChar w:fldCharType="begin"/>
      </w:r>
      <w:r>
        <w:rPr>
          <w:rFonts w:hAnsi="宋体"/>
          <w:snapToGrid w:val="0"/>
          <w:color w:val="auto"/>
          <w:spacing w:val="-6"/>
          <w:kern w:val="21"/>
        </w:rPr>
        <w:instrText xml:space="preserve"> = 4 \* GB3 \* MERGEFORMAT </w:instrText>
      </w:r>
      <w:r>
        <w:rPr>
          <w:rFonts w:hAnsi="宋体"/>
          <w:snapToGrid w:val="0"/>
          <w:color w:val="auto"/>
          <w:spacing w:val="-6"/>
          <w:kern w:val="21"/>
        </w:rPr>
        <w:fldChar w:fldCharType="separate"/>
      </w:r>
      <w:r>
        <w:rPr>
          <w:rFonts w:hint="eastAsia" w:hAnsi="宋体"/>
          <w:color w:val="auto"/>
        </w:rPr>
        <w:t>④</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16"/>
          <w:kern w:val="21"/>
        </w:rPr>
        <w:fldChar w:fldCharType="begin"/>
      </w:r>
      <w:r>
        <w:rPr>
          <w:rFonts w:hAnsi="宋体"/>
          <w:snapToGrid w:val="0"/>
          <w:color w:val="auto"/>
          <w:spacing w:val="-16"/>
          <w:kern w:val="21"/>
        </w:rPr>
        <w:instrText xml:space="preserve"> = 5 \* GB3 \* MERGEFORMAT </w:instrText>
      </w:r>
      <w:r>
        <w:rPr>
          <w:rFonts w:hAnsi="宋体"/>
          <w:snapToGrid w:val="0"/>
          <w:color w:val="auto"/>
          <w:spacing w:val="-16"/>
          <w:kern w:val="21"/>
        </w:rPr>
        <w:fldChar w:fldCharType="separate"/>
      </w:r>
      <w:r>
        <w:rPr>
          <w:rFonts w:hint="eastAsia" w:hAnsi="宋体"/>
          <w:color w:val="auto"/>
        </w:rPr>
        <w:t>⑤</w:t>
      </w:r>
      <w:r>
        <w:rPr>
          <w:rFonts w:hAnsi="宋体"/>
          <w:snapToGrid w:val="0"/>
          <w:color w:val="auto"/>
          <w:spacing w:val="-16"/>
          <w:kern w:val="21"/>
        </w:rPr>
        <w:fldChar w:fldCharType="end"/>
      </w:r>
      <w:r>
        <w:rPr>
          <w:rFonts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7 \* GB3 \* MERGEFORMAT </w:instrText>
      </w:r>
      <w:r>
        <w:rPr>
          <w:rFonts w:hAnsi="宋体"/>
          <w:snapToGrid w:val="0"/>
          <w:color w:val="auto"/>
          <w:spacing w:val="-6"/>
          <w:kern w:val="21"/>
        </w:rPr>
        <w:fldChar w:fldCharType="separate"/>
      </w:r>
      <w:r>
        <w:rPr>
          <w:rFonts w:hint="eastAsia" w:hAnsi="宋体"/>
          <w:color w:val="auto"/>
        </w:rPr>
        <w:t>⑦</w:t>
      </w:r>
      <w:r>
        <w:rPr>
          <w:rFonts w:hAnsi="宋体"/>
          <w:snapToGrid w:val="0"/>
          <w:color w:val="auto"/>
          <w:spacing w:val="-6"/>
          <w:kern w:val="21"/>
        </w:rPr>
        <w:fldChar w:fldCharType="end"/>
      </w:r>
      <w:r>
        <w:rPr>
          <w:rFonts w:hAnsi="宋体"/>
          <w:snapToGrid w:val="0"/>
          <w:color w:val="auto"/>
          <w:spacing w:val="-6"/>
          <w:kern w:val="21"/>
        </w:rPr>
        <w:t>=</w:t>
      </w:r>
      <w:r>
        <w:rPr>
          <w:rFonts w:hAnsi="宋体"/>
          <w:snapToGrid w:val="0"/>
          <w:color w:val="auto"/>
          <w:spacing w:val="-16"/>
          <w:kern w:val="21"/>
        </w:rPr>
        <w:fldChar w:fldCharType="begin"/>
      </w:r>
      <w:r>
        <w:rPr>
          <w:rFonts w:hAnsi="宋体"/>
          <w:snapToGrid w:val="0"/>
          <w:color w:val="auto"/>
          <w:spacing w:val="-16"/>
          <w:kern w:val="21"/>
        </w:rPr>
        <w:instrText xml:space="preserve"> = 6 \* GB3 \* MERGEFORMAT </w:instrText>
      </w:r>
      <w:r>
        <w:rPr>
          <w:rFonts w:hAnsi="宋体"/>
          <w:snapToGrid w:val="0"/>
          <w:color w:val="auto"/>
          <w:spacing w:val="-16"/>
          <w:kern w:val="21"/>
        </w:rPr>
        <w:fldChar w:fldCharType="separate"/>
      </w:r>
      <w:r>
        <w:rPr>
          <w:rFonts w:hint="eastAsia" w:hAnsi="宋体"/>
          <w:color w:val="auto"/>
        </w:rPr>
        <w:t>⑥</w:t>
      </w:r>
      <w:r>
        <w:rPr>
          <w:rFonts w:hAnsi="宋体"/>
          <w:snapToGrid w:val="0"/>
          <w:color w:val="auto"/>
          <w:spacing w:val="-16"/>
          <w:kern w:val="21"/>
        </w:rPr>
        <w:fldChar w:fldCharType="end"/>
      </w:r>
      <w:r>
        <w:rPr>
          <w:rFonts w:hAnsi="宋体"/>
          <w:snapToGrid w:val="0"/>
          <w:color w:val="auto"/>
          <w:spacing w:val="-16"/>
          <w:kern w:val="21"/>
        </w:rPr>
        <w:t>-</w:t>
      </w:r>
      <w:r>
        <w:rPr>
          <w:rFonts w:hAnsi="宋体"/>
          <w:snapToGrid w:val="0"/>
          <w:color w:val="auto"/>
          <w:spacing w:val="-6"/>
          <w:kern w:val="21"/>
        </w:rPr>
        <w:fldChar w:fldCharType="begin"/>
      </w:r>
      <w:r>
        <w:rPr>
          <w:rFonts w:hAnsi="宋体"/>
          <w:snapToGrid w:val="0"/>
          <w:color w:val="auto"/>
          <w:spacing w:val="-6"/>
          <w:kern w:val="21"/>
        </w:rPr>
        <w:instrText xml:space="preserve"> = 1 \* GB3 \* MERGEFORMAT </w:instrText>
      </w:r>
      <w:r>
        <w:rPr>
          <w:rFonts w:hAnsi="宋体"/>
          <w:snapToGrid w:val="0"/>
          <w:color w:val="auto"/>
          <w:spacing w:val="-6"/>
          <w:kern w:val="21"/>
        </w:rPr>
        <w:fldChar w:fldCharType="separate"/>
      </w:r>
      <w:r>
        <w:rPr>
          <w:rFonts w:hint="eastAsia" w:hAnsi="宋体"/>
          <w:color w:val="auto"/>
        </w:rPr>
        <w:t>①</w:t>
      </w:r>
      <w:r>
        <w:rPr>
          <w:rFonts w:hAnsi="宋体"/>
          <w:snapToGrid w:val="0"/>
          <w:color w:val="auto"/>
          <w:spacing w:val="-6"/>
          <w:kern w:val="21"/>
        </w:rPr>
        <w:fldChar w:fldCharType="end"/>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A17C2">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888D5">
    <w:pPr>
      <w:pStyle w:val="14"/>
      <w:framePr w:wrap="around" w:vAnchor="text" w:hAnchor="margin" w:xAlign="center" w:y="1"/>
      <w:rPr>
        <w:rStyle w:val="26"/>
      </w:rPr>
    </w:pPr>
    <w:r>
      <w:fldChar w:fldCharType="begin"/>
    </w:r>
    <w:r>
      <w:rPr>
        <w:rStyle w:val="26"/>
      </w:rPr>
      <w:instrText xml:space="preserve">PAGE  </w:instrText>
    </w:r>
    <w:r>
      <w:fldChar w:fldCharType="end"/>
    </w:r>
  </w:p>
  <w:p w14:paraId="2137DECB">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17454">
    <w:pPr>
      <w:pStyle w:val="14"/>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A3C250">
                          <w:pPr>
                            <w:pStyle w:val="1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RZvd/jICAABlBAAADgAAAAAAAAABACAAAAAfAQAAZHJzL2Uyb0RvYy54bWxQSwUG&#10;AAAAAAYABgBZAQAAwwUAAAAA&#10;">
              <v:fill on="f" focussize="0,0"/>
              <v:stroke on="f" weight="0.5pt"/>
              <v:imagedata o:title=""/>
              <o:lock v:ext="edit" aspectratio="f"/>
              <v:textbox inset="0mm,0mm,0mm,0mm" style="mso-fit-shape-to-text:t;">
                <w:txbxContent>
                  <w:p w14:paraId="21A3C250">
                    <w:pPr>
                      <w:pStyle w:val="1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DFCA9">
    <w:pPr>
      <w:pStyle w:val="14"/>
      <w:ind w:right="360" w:firstLine="360"/>
    </w:pPr>
  </w:p>
  <w:p w14:paraId="0EBAE4C5">
    <w:pPr>
      <w:pStyle w:val="14"/>
      <w:ind w:right="360" w:firstLine="360"/>
    </w:pPr>
  </w:p>
  <w:p w14:paraId="760F5DEB">
    <w:pPr>
      <w:pStyle w:val="14"/>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A05E7A1">
                          <w:pPr>
                            <w:pStyle w:val="1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cOQwPMQIAAGUEAAAOAAAAAAAAAAEAIAAAAB8BAABkcnMvZTJvRG9jLnhtbFBLBQYA&#10;AAAABgAGAFkBAADCBQAAAAA=&#10;">
              <v:fill on="f" focussize="0,0"/>
              <v:stroke on="f" weight="0.5pt"/>
              <v:imagedata o:title=""/>
              <o:lock v:ext="edit" aspectratio="f"/>
              <v:textbox inset="0mm,0mm,0mm,0mm" style="mso-fit-shape-to-text:t;">
                <w:txbxContent>
                  <w:p w14:paraId="5A05E7A1">
                    <w:pPr>
                      <w:pStyle w:val="1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FC17F"/>
    <w:multiLevelType w:val="singleLevel"/>
    <w:tmpl w:val="93DFC17F"/>
    <w:lvl w:ilvl="0" w:tentative="0">
      <w:start w:val="1"/>
      <w:numFmt w:val="decimal"/>
      <w:suff w:val="nothing"/>
      <w:lvlText w:val="（%1）"/>
      <w:lvlJc w:val="left"/>
    </w:lvl>
  </w:abstractNum>
  <w:abstractNum w:abstractNumId="1">
    <w:nsid w:val="A0CA8EF3"/>
    <w:multiLevelType w:val="singleLevel"/>
    <w:tmpl w:val="A0CA8EF3"/>
    <w:lvl w:ilvl="0" w:tentative="0">
      <w:start w:val="1"/>
      <w:numFmt w:val="decimal"/>
      <w:suff w:val="nothing"/>
      <w:lvlText w:val="（%1）"/>
      <w:lvlJc w:val="left"/>
    </w:lvl>
  </w:abstractNum>
  <w:abstractNum w:abstractNumId="2">
    <w:nsid w:val="C03280F4"/>
    <w:multiLevelType w:val="singleLevel"/>
    <w:tmpl w:val="C03280F4"/>
    <w:lvl w:ilvl="0" w:tentative="0">
      <w:start w:val="1"/>
      <w:numFmt w:val="upperLetter"/>
      <w:lvlText w:val="%1."/>
      <w:lvlJc w:val="left"/>
      <w:pPr>
        <w:tabs>
          <w:tab w:val="left" w:pos="312"/>
        </w:tabs>
      </w:pPr>
    </w:lvl>
  </w:abstractNum>
  <w:abstractNum w:abstractNumId="3">
    <w:nsid w:val="D310A9C5"/>
    <w:multiLevelType w:val="singleLevel"/>
    <w:tmpl w:val="D310A9C5"/>
    <w:lvl w:ilvl="0" w:tentative="0">
      <w:start w:val="1"/>
      <w:numFmt w:val="decimal"/>
      <w:suff w:val="nothing"/>
      <w:lvlText w:val="%1、"/>
      <w:lvlJc w:val="left"/>
    </w:lvl>
  </w:abstractNum>
  <w:abstractNum w:abstractNumId="4">
    <w:nsid w:val="02943B38"/>
    <w:multiLevelType w:val="singleLevel"/>
    <w:tmpl w:val="02943B38"/>
    <w:lvl w:ilvl="0" w:tentative="0">
      <w:start w:val="2"/>
      <w:numFmt w:val="decimal"/>
      <w:suff w:val="nothing"/>
      <w:lvlText w:val="（%1）"/>
      <w:lvlJc w:val="left"/>
    </w:lvl>
  </w:abstractNum>
  <w:abstractNum w:abstractNumId="5">
    <w:nsid w:val="16B8AFF0"/>
    <w:multiLevelType w:val="singleLevel"/>
    <w:tmpl w:val="16B8AFF0"/>
    <w:lvl w:ilvl="0" w:tentative="0">
      <w:start w:val="5"/>
      <w:numFmt w:val="decimal"/>
      <w:suff w:val="nothing"/>
      <w:lvlText w:val="%1、"/>
      <w:lvlJc w:val="left"/>
    </w:lvl>
  </w:abstractNum>
  <w:abstractNum w:abstractNumId="6">
    <w:nsid w:val="324D6F28"/>
    <w:multiLevelType w:val="singleLevel"/>
    <w:tmpl w:val="324D6F28"/>
    <w:lvl w:ilvl="0" w:tentative="0">
      <w:start w:val="1"/>
      <w:numFmt w:val="decimal"/>
      <w:suff w:val="nothing"/>
      <w:lvlText w:val="%1、"/>
      <w:lvlJc w:val="left"/>
    </w:lvl>
  </w:abstractNum>
  <w:abstractNum w:abstractNumId="7">
    <w:nsid w:val="58A1CF4A"/>
    <w:multiLevelType w:val="singleLevel"/>
    <w:tmpl w:val="58A1CF4A"/>
    <w:lvl w:ilvl="0" w:tentative="0">
      <w:start w:val="1"/>
      <w:numFmt w:val="decimal"/>
      <w:suff w:val="nothing"/>
      <w:lvlText w:val="（%1）"/>
      <w:lvlJc w:val="left"/>
      <w:pPr>
        <w:ind w:left="-60"/>
      </w:pPr>
    </w:lvl>
  </w:abstractNum>
  <w:abstractNum w:abstractNumId="8">
    <w:nsid w:val="58A73E48"/>
    <w:multiLevelType w:val="singleLevel"/>
    <w:tmpl w:val="58A73E48"/>
    <w:lvl w:ilvl="0" w:tentative="0">
      <w:start w:val="1"/>
      <w:numFmt w:val="decimal"/>
      <w:suff w:val="nothing"/>
      <w:lvlText w:val="%1、"/>
      <w:lvlJc w:val="left"/>
    </w:lvl>
  </w:abstractNum>
  <w:abstractNum w:abstractNumId="9">
    <w:nsid w:val="5E6B78C2"/>
    <w:multiLevelType w:val="singleLevel"/>
    <w:tmpl w:val="5E6B78C2"/>
    <w:lvl w:ilvl="0" w:tentative="0">
      <w:start w:val="1"/>
      <w:numFmt w:val="bullet"/>
      <w:pStyle w:val="11"/>
      <w:lvlText w:val=""/>
      <w:lvlJc w:val="left"/>
      <w:pPr>
        <w:tabs>
          <w:tab w:val="left" w:pos="2040"/>
        </w:tabs>
        <w:ind w:left="2040" w:hanging="360"/>
      </w:pPr>
      <w:rPr>
        <w:rFonts w:hint="default" w:ascii="Wingdings" w:hAnsi="Wingdings"/>
      </w:rPr>
    </w:lvl>
  </w:abstractNum>
  <w:num w:numId="1">
    <w:abstractNumId w:val="9"/>
  </w:num>
  <w:num w:numId="2">
    <w:abstractNumId w:val="6"/>
  </w:num>
  <w:num w:numId="3">
    <w:abstractNumId w:val="1"/>
  </w:num>
  <w:num w:numId="4">
    <w:abstractNumId w:val="4"/>
  </w:num>
  <w:num w:numId="5">
    <w:abstractNumId w:val="5"/>
  </w:num>
  <w:num w:numId="6">
    <w:abstractNumId w:val="2"/>
  </w:num>
  <w:num w:numId="7">
    <w:abstractNumId w:val="0"/>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172A27"/>
    <w:rsid w:val="00016889"/>
    <w:rsid w:val="000544D3"/>
    <w:rsid w:val="00087896"/>
    <w:rsid w:val="0009235D"/>
    <w:rsid w:val="000926F2"/>
    <w:rsid w:val="00092A05"/>
    <w:rsid w:val="00101A71"/>
    <w:rsid w:val="00106954"/>
    <w:rsid w:val="00126E50"/>
    <w:rsid w:val="00166E3C"/>
    <w:rsid w:val="00172A27"/>
    <w:rsid w:val="0018546E"/>
    <w:rsid w:val="001A5C04"/>
    <w:rsid w:val="001B37E9"/>
    <w:rsid w:val="002572DC"/>
    <w:rsid w:val="002A2C66"/>
    <w:rsid w:val="002A3BCB"/>
    <w:rsid w:val="002B3F54"/>
    <w:rsid w:val="002E2597"/>
    <w:rsid w:val="002F0A7E"/>
    <w:rsid w:val="00311AB6"/>
    <w:rsid w:val="00326102"/>
    <w:rsid w:val="00331A05"/>
    <w:rsid w:val="00350B70"/>
    <w:rsid w:val="0039603B"/>
    <w:rsid w:val="003971A5"/>
    <w:rsid w:val="003E0264"/>
    <w:rsid w:val="00424456"/>
    <w:rsid w:val="00481511"/>
    <w:rsid w:val="00484B5F"/>
    <w:rsid w:val="004F46E1"/>
    <w:rsid w:val="00503C04"/>
    <w:rsid w:val="0052283A"/>
    <w:rsid w:val="005524A8"/>
    <w:rsid w:val="00573613"/>
    <w:rsid w:val="005C308E"/>
    <w:rsid w:val="00611D1D"/>
    <w:rsid w:val="00675354"/>
    <w:rsid w:val="00686D9C"/>
    <w:rsid w:val="006D2D94"/>
    <w:rsid w:val="006D40A1"/>
    <w:rsid w:val="006D661B"/>
    <w:rsid w:val="006E3CF7"/>
    <w:rsid w:val="006F3F7E"/>
    <w:rsid w:val="00757514"/>
    <w:rsid w:val="007C38E7"/>
    <w:rsid w:val="007D6EF2"/>
    <w:rsid w:val="007F5429"/>
    <w:rsid w:val="00861127"/>
    <w:rsid w:val="0089329C"/>
    <w:rsid w:val="008E49FD"/>
    <w:rsid w:val="00926543"/>
    <w:rsid w:val="00934B2C"/>
    <w:rsid w:val="00937C48"/>
    <w:rsid w:val="00951E24"/>
    <w:rsid w:val="009F5E42"/>
    <w:rsid w:val="00A5485A"/>
    <w:rsid w:val="00B4777D"/>
    <w:rsid w:val="00B551C2"/>
    <w:rsid w:val="00B62B83"/>
    <w:rsid w:val="00BC392A"/>
    <w:rsid w:val="00BC3F99"/>
    <w:rsid w:val="00BC55A8"/>
    <w:rsid w:val="00BE02D3"/>
    <w:rsid w:val="00BE6587"/>
    <w:rsid w:val="00BF4D5A"/>
    <w:rsid w:val="00C172FC"/>
    <w:rsid w:val="00C45505"/>
    <w:rsid w:val="00C601AE"/>
    <w:rsid w:val="00C829DF"/>
    <w:rsid w:val="00CE03EC"/>
    <w:rsid w:val="00CF3752"/>
    <w:rsid w:val="00D34FA3"/>
    <w:rsid w:val="00DA224C"/>
    <w:rsid w:val="00DA4153"/>
    <w:rsid w:val="00DC68B2"/>
    <w:rsid w:val="00DF593B"/>
    <w:rsid w:val="00E178DC"/>
    <w:rsid w:val="00E26FA8"/>
    <w:rsid w:val="00E35C42"/>
    <w:rsid w:val="00E47ACF"/>
    <w:rsid w:val="00E77D19"/>
    <w:rsid w:val="00E83C3B"/>
    <w:rsid w:val="00EE3120"/>
    <w:rsid w:val="00F429FC"/>
    <w:rsid w:val="00F57E4C"/>
    <w:rsid w:val="00F71563"/>
    <w:rsid w:val="00FA6DD3"/>
    <w:rsid w:val="00FA7345"/>
    <w:rsid w:val="00FB7DB8"/>
    <w:rsid w:val="00FC30B8"/>
    <w:rsid w:val="00FD28C6"/>
    <w:rsid w:val="011C66F0"/>
    <w:rsid w:val="01272CDC"/>
    <w:rsid w:val="01303AC5"/>
    <w:rsid w:val="015A39D7"/>
    <w:rsid w:val="017376C1"/>
    <w:rsid w:val="01934780"/>
    <w:rsid w:val="01935BEB"/>
    <w:rsid w:val="01C80AE8"/>
    <w:rsid w:val="02195E6A"/>
    <w:rsid w:val="02230F95"/>
    <w:rsid w:val="02447828"/>
    <w:rsid w:val="0252306A"/>
    <w:rsid w:val="026A02F9"/>
    <w:rsid w:val="02C37BBA"/>
    <w:rsid w:val="02D658A3"/>
    <w:rsid w:val="02DB6550"/>
    <w:rsid w:val="030F1CBC"/>
    <w:rsid w:val="031B2711"/>
    <w:rsid w:val="033D2220"/>
    <w:rsid w:val="036A69FF"/>
    <w:rsid w:val="03A2776D"/>
    <w:rsid w:val="03C94FEB"/>
    <w:rsid w:val="03EC7E0A"/>
    <w:rsid w:val="04BF6729"/>
    <w:rsid w:val="052542B4"/>
    <w:rsid w:val="053E2C54"/>
    <w:rsid w:val="058878BA"/>
    <w:rsid w:val="05AB5A86"/>
    <w:rsid w:val="05B55BC5"/>
    <w:rsid w:val="06051935"/>
    <w:rsid w:val="06053E63"/>
    <w:rsid w:val="060B4AD1"/>
    <w:rsid w:val="06124622"/>
    <w:rsid w:val="062670EC"/>
    <w:rsid w:val="064F1BF7"/>
    <w:rsid w:val="065726C9"/>
    <w:rsid w:val="065A76CD"/>
    <w:rsid w:val="066F4E78"/>
    <w:rsid w:val="06D94A92"/>
    <w:rsid w:val="070E7411"/>
    <w:rsid w:val="073E68E9"/>
    <w:rsid w:val="07587873"/>
    <w:rsid w:val="07652F3B"/>
    <w:rsid w:val="07F8594C"/>
    <w:rsid w:val="08206EE8"/>
    <w:rsid w:val="083C2988"/>
    <w:rsid w:val="084A1149"/>
    <w:rsid w:val="085E6F31"/>
    <w:rsid w:val="08630C76"/>
    <w:rsid w:val="0875137A"/>
    <w:rsid w:val="087B2DD8"/>
    <w:rsid w:val="08836B83"/>
    <w:rsid w:val="089A776B"/>
    <w:rsid w:val="08BF22FE"/>
    <w:rsid w:val="08F60F15"/>
    <w:rsid w:val="09353460"/>
    <w:rsid w:val="094967CC"/>
    <w:rsid w:val="097E4EE7"/>
    <w:rsid w:val="09985E85"/>
    <w:rsid w:val="099E3715"/>
    <w:rsid w:val="09B56A5D"/>
    <w:rsid w:val="09CE00FB"/>
    <w:rsid w:val="0A251488"/>
    <w:rsid w:val="0A33691B"/>
    <w:rsid w:val="0A6241B5"/>
    <w:rsid w:val="0A747D5F"/>
    <w:rsid w:val="0A8E3E7D"/>
    <w:rsid w:val="0A9073B8"/>
    <w:rsid w:val="0A924E29"/>
    <w:rsid w:val="0A9971AE"/>
    <w:rsid w:val="0AA70798"/>
    <w:rsid w:val="0AD11E75"/>
    <w:rsid w:val="0B005A11"/>
    <w:rsid w:val="0B051BFF"/>
    <w:rsid w:val="0B0A5387"/>
    <w:rsid w:val="0B582EB2"/>
    <w:rsid w:val="0B613EA8"/>
    <w:rsid w:val="0B7A55FA"/>
    <w:rsid w:val="0C164121"/>
    <w:rsid w:val="0C214340"/>
    <w:rsid w:val="0C3A75D5"/>
    <w:rsid w:val="0C623224"/>
    <w:rsid w:val="0C7254EE"/>
    <w:rsid w:val="0C7927A9"/>
    <w:rsid w:val="0CBF3154"/>
    <w:rsid w:val="0CC12C98"/>
    <w:rsid w:val="0CDF5C3A"/>
    <w:rsid w:val="0CFF14F4"/>
    <w:rsid w:val="0D16477B"/>
    <w:rsid w:val="0D4362A0"/>
    <w:rsid w:val="0D52243E"/>
    <w:rsid w:val="0D6F7DF2"/>
    <w:rsid w:val="0DA37381"/>
    <w:rsid w:val="0DA73361"/>
    <w:rsid w:val="0DCC2264"/>
    <w:rsid w:val="0DEB17AD"/>
    <w:rsid w:val="0DED380A"/>
    <w:rsid w:val="0DEE1DD1"/>
    <w:rsid w:val="0E1B30D3"/>
    <w:rsid w:val="0E4720D5"/>
    <w:rsid w:val="0E534B5C"/>
    <w:rsid w:val="0E7B0A75"/>
    <w:rsid w:val="0E95021A"/>
    <w:rsid w:val="0EA671F2"/>
    <w:rsid w:val="0ED145DC"/>
    <w:rsid w:val="0EF2243D"/>
    <w:rsid w:val="0F1B4006"/>
    <w:rsid w:val="0F3625FA"/>
    <w:rsid w:val="0F415D1F"/>
    <w:rsid w:val="0F5C3729"/>
    <w:rsid w:val="0F683055"/>
    <w:rsid w:val="0F92607B"/>
    <w:rsid w:val="0FA37298"/>
    <w:rsid w:val="0FC905EC"/>
    <w:rsid w:val="0FCF5115"/>
    <w:rsid w:val="10101691"/>
    <w:rsid w:val="10262C63"/>
    <w:rsid w:val="102A0415"/>
    <w:rsid w:val="1034443E"/>
    <w:rsid w:val="1034610F"/>
    <w:rsid w:val="103A61D6"/>
    <w:rsid w:val="10515328"/>
    <w:rsid w:val="10584E32"/>
    <w:rsid w:val="10BD131F"/>
    <w:rsid w:val="10E94AC2"/>
    <w:rsid w:val="10FC55AF"/>
    <w:rsid w:val="115577FB"/>
    <w:rsid w:val="11A67634"/>
    <w:rsid w:val="11CC21F7"/>
    <w:rsid w:val="11EA75D6"/>
    <w:rsid w:val="11EF0C3C"/>
    <w:rsid w:val="120E495A"/>
    <w:rsid w:val="12215623"/>
    <w:rsid w:val="12282CC2"/>
    <w:rsid w:val="124B075F"/>
    <w:rsid w:val="12563595"/>
    <w:rsid w:val="125F4131"/>
    <w:rsid w:val="12727361"/>
    <w:rsid w:val="12837615"/>
    <w:rsid w:val="128E029C"/>
    <w:rsid w:val="1299685F"/>
    <w:rsid w:val="12A00013"/>
    <w:rsid w:val="12A84AFF"/>
    <w:rsid w:val="12AE1453"/>
    <w:rsid w:val="12DD6351"/>
    <w:rsid w:val="12FB2BF4"/>
    <w:rsid w:val="1305576F"/>
    <w:rsid w:val="132E03AB"/>
    <w:rsid w:val="132F0080"/>
    <w:rsid w:val="133070E9"/>
    <w:rsid w:val="13561AB1"/>
    <w:rsid w:val="135B3EE2"/>
    <w:rsid w:val="13743A83"/>
    <w:rsid w:val="13795AE4"/>
    <w:rsid w:val="13AD2D9F"/>
    <w:rsid w:val="13CC1CCB"/>
    <w:rsid w:val="13FA7715"/>
    <w:rsid w:val="1411396A"/>
    <w:rsid w:val="145127E8"/>
    <w:rsid w:val="148B0359"/>
    <w:rsid w:val="1493715A"/>
    <w:rsid w:val="14951734"/>
    <w:rsid w:val="14CA6A10"/>
    <w:rsid w:val="14DD311C"/>
    <w:rsid w:val="14DF61B0"/>
    <w:rsid w:val="14EF31B0"/>
    <w:rsid w:val="14F96B1F"/>
    <w:rsid w:val="154D4080"/>
    <w:rsid w:val="155212B7"/>
    <w:rsid w:val="157C1490"/>
    <w:rsid w:val="15874A66"/>
    <w:rsid w:val="15A10604"/>
    <w:rsid w:val="15E40526"/>
    <w:rsid w:val="15F335E7"/>
    <w:rsid w:val="16220B8E"/>
    <w:rsid w:val="162C532C"/>
    <w:rsid w:val="16311859"/>
    <w:rsid w:val="164B37B2"/>
    <w:rsid w:val="166C7B85"/>
    <w:rsid w:val="166D1C15"/>
    <w:rsid w:val="167655F4"/>
    <w:rsid w:val="16806E16"/>
    <w:rsid w:val="16A36DBB"/>
    <w:rsid w:val="16C32129"/>
    <w:rsid w:val="17220423"/>
    <w:rsid w:val="17394C80"/>
    <w:rsid w:val="17935082"/>
    <w:rsid w:val="17A172D9"/>
    <w:rsid w:val="18461460"/>
    <w:rsid w:val="18B613D9"/>
    <w:rsid w:val="1932790C"/>
    <w:rsid w:val="193F4FFD"/>
    <w:rsid w:val="196A43CC"/>
    <w:rsid w:val="197519B6"/>
    <w:rsid w:val="199D33FA"/>
    <w:rsid w:val="19CA2CF2"/>
    <w:rsid w:val="19CC6395"/>
    <w:rsid w:val="19D74740"/>
    <w:rsid w:val="1A330FCD"/>
    <w:rsid w:val="1A5E7C99"/>
    <w:rsid w:val="1A7171D0"/>
    <w:rsid w:val="1A721B5A"/>
    <w:rsid w:val="1AE259D8"/>
    <w:rsid w:val="1B375D24"/>
    <w:rsid w:val="1B3E0D62"/>
    <w:rsid w:val="1B4C2AC8"/>
    <w:rsid w:val="1B521D36"/>
    <w:rsid w:val="1B636380"/>
    <w:rsid w:val="1BAB011C"/>
    <w:rsid w:val="1BD16179"/>
    <w:rsid w:val="1BD22B81"/>
    <w:rsid w:val="1BFF6E14"/>
    <w:rsid w:val="1C0302FC"/>
    <w:rsid w:val="1C177B86"/>
    <w:rsid w:val="1C2B2E60"/>
    <w:rsid w:val="1C376D48"/>
    <w:rsid w:val="1C7E4CEF"/>
    <w:rsid w:val="1C846C55"/>
    <w:rsid w:val="1C9C1EE1"/>
    <w:rsid w:val="1CB51F86"/>
    <w:rsid w:val="1CBD3C6A"/>
    <w:rsid w:val="1CF92763"/>
    <w:rsid w:val="1D816AFB"/>
    <w:rsid w:val="1DB65D14"/>
    <w:rsid w:val="1DC151D8"/>
    <w:rsid w:val="1E232AC6"/>
    <w:rsid w:val="1E65064B"/>
    <w:rsid w:val="1E9373FF"/>
    <w:rsid w:val="1EB140F9"/>
    <w:rsid w:val="1EB61A29"/>
    <w:rsid w:val="1EDB3166"/>
    <w:rsid w:val="1EE94308"/>
    <w:rsid w:val="1F001899"/>
    <w:rsid w:val="1F0960BD"/>
    <w:rsid w:val="1F3E766E"/>
    <w:rsid w:val="1F84060E"/>
    <w:rsid w:val="1FD14A97"/>
    <w:rsid w:val="1FE84B96"/>
    <w:rsid w:val="20016901"/>
    <w:rsid w:val="20136601"/>
    <w:rsid w:val="201E06BE"/>
    <w:rsid w:val="20641C8E"/>
    <w:rsid w:val="20A35C0A"/>
    <w:rsid w:val="20A91973"/>
    <w:rsid w:val="20C4005A"/>
    <w:rsid w:val="20C55B80"/>
    <w:rsid w:val="20DD592E"/>
    <w:rsid w:val="21045B3C"/>
    <w:rsid w:val="21733ABE"/>
    <w:rsid w:val="21B81058"/>
    <w:rsid w:val="22006872"/>
    <w:rsid w:val="220427AF"/>
    <w:rsid w:val="22190994"/>
    <w:rsid w:val="22426F3A"/>
    <w:rsid w:val="225E0C03"/>
    <w:rsid w:val="226407A8"/>
    <w:rsid w:val="228D146F"/>
    <w:rsid w:val="22A40677"/>
    <w:rsid w:val="22DB495B"/>
    <w:rsid w:val="236D66C2"/>
    <w:rsid w:val="23700025"/>
    <w:rsid w:val="239109F2"/>
    <w:rsid w:val="23C84DE9"/>
    <w:rsid w:val="23CD191B"/>
    <w:rsid w:val="240A5875"/>
    <w:rsid w:val="240B0BBF"/>
    <w:rsid w:val="240B46DC"/>
    <w:rsid w:val="24205CDB"/>
    <w:rsid w:val="242C1C86"/>
    <w:rsid w:val="2444355F"/>
    <w:rsid w:val="246C1147"/>
    <w:rsid w:val="2490587F"/>
    <w:rsid w:val="24A5107C"/>
    <w:rsid w:val="24A6451D"/>
    <w:rsid w:val="24AD6390"/>
    <w:rsid w:val="24BB14BB"/>
    <w:rsid w:val="24BD72B3"/>
    <w:rsid w:val="24E044E2"/>
    <w:rsid w:val="251672D8"/>
    <w:rsid w:val="253F4153"/>
    <w:rsid w:val="253F5731"/>
    <w:rsid w:val="25744C7A"/>
    <w:rsid w:val="257645FD"/>
    <w:rsid w:val="258B7398"/>
    <w:rsid w:val="25E23DB7"/>
    <w:rsid w:val="26040A20"/>
    <w:rsid w:val="26090A33"/>
    <w:rsid w:val="26445799"/>
    <w:rsid w:val="265846D9"/>
    <w:rsid w:val="26653CD8"/>
    <w:rsid w:val="266C3E9C"/>
    <w:rsid w:val="26770A62"/>
    <w:rsid w:val="26E03714"/>
    <w:rsid w:val="26FF0D53"/>
    <w:rsid w:val="270432AD"/>
    <w:rsid w:val="27257528"/>
    <w:rsid w:val="27487410"/>
    <w:rsid w:val="27621C9A"/>
    <w:rsid w:val="27695881"/>
    <w:rsid w:val="276E0FCB"/>
    <w:rsid w:val="27773D40"/>
    <w:rsid w:val="27912967"/>
    <w:rsid w:val="28350FBC"/>
    <w:rsid w:val="28435085"/>
    <w:rsid w:val="28533077"/>
    <w:rsid w:val="28B57844"/>
    <w:rsid w:val="28D21487"/>
    <w:rsid w:val="291A5F9B"/>
    <w:rsid w:val="291E1343"/>
    <w:rsid w:val="29205A04"/>
    <w:rsid w:val="298129E8"/>
    <w:rsid w:val="29A600E6"/>
    <w:rsid w:val="29AA0752"/>
    <w:rsid w:val="29B844D4"/>
    <w:rsid w:val="29DD1E72"/>
    <w:rsid w:val="29E245DC"/>
    <w:rsid w:val="29F615AD"/>
    <w:rsid w:val="2A352094"/>
    <w:rsid w:val="2A440056"/>
    <w:rsid w:val="2A6B0558"/>
    <w:rsid w:val="2A8A4FE9"/>
    <w:rsid w:val="2A93249E"/>
    <w:rsid w:val="2A9774DF"/>
    <w:rsid w:val="2AB75E76"/>
    <w:rsid w:val="2AC12152"/>
    <w:rsid w:val="2AFE3D4A"/>
    <w:rsid w:val="2B0212A0"/>
    <w:rsid w:val="2BC33FF5"/>
    <w:rsid w:val="2BE0269C"/>
    <w:rsid w:val="2BEA1C9D"/>
    <w:rsid w:val="2BF35EF6"/>
    <w:rsid w:val="2BFA0DD4"/>
    <w:rsid w:val="2BFA13F6"/>
    <w:rsid w:val="2C071743"/>
    <w:rsid w:val="2C20020B"/>
    <w:rsid w:val="2C5E42B6"/>
    <w:rsid w:val="2C735964"/>
    <w:rsid w:val="2CB35D07"/>
    <w:rsid w:val="2CFC38DD"/>
    <w:rsid w:val="2D24324A"/>
    <w:rsid w:val="2D292C11"/>
    <w:rsid w:val="2D317FDE"/>
    <w:rsid w:val="2D3260AC"/>
    <w:rsid w:val="2D36261C"/>
    <w:rsid w:val="2D393B7E"/>
    <w:rsid w:val="2D401683"/>
    <w:rsid w:val="2D506649"/>
    <w:rsid w:val="2D6472C6"/>
    <w:rsid w:val="2D8051C2"/>
    <w:rsid w:val="2DD91A0E"/>
    <w:rsid w:val="2DF947A1"/>
    <w:rsid w:val="2E1D4E98"/>
    <w:rsid w:val="2E616CF8"/>
    <w:rsid w:val="2E751CF8"/>
    <w:rsid w:val="2E924CB8"/>
    <w:rsid w:val="2EA163C2"/>
    <w:rsid w:val="2EAF79DC"/>
    <w:rsid w:val="2EC57DC0"/>
    <w:rsid w:val="2ED77F0B"/>
    <w:rsid w:val="2F48653C"/>
    <w:rsid w:val="2F5F41CB"/>
    <w:rsid w:val="2FB1782A"/>
    <w:rsid w:val="2FE87372"/>
    <w:rsid w:val="30045056"/>
    <w:rsid w:val="302307B0"/>
    <w:rsid w:val="303F5480"/>
    <w:rsid w:val="304940D8"/>
    <w:rsid w:val="304A5411"/>
    <w:rsid w:val="30511E99"/>
    <w:rsid w:val="305263C5"/>
    <w:rsid w:val="30A92A37"/>
    <w:rsid w:val="30AD547E"/>
    <w:rsid w:val="30EB7D39"/>
    <w:rsid w:val="3107046E"/>
    <w:rsid w:val="31143683"/>
    <w:rsid w:val="313D597D"/>
    <w:rsid w:val="315D5BA1"/>
    <w:rsid w:val="319B33E7"/>
    <w:rsid w:val="31F8643F"/>
    <w:rsid w:val="3202674E"/>
    <w:rsid w:val="3228059E"/>
    <w:rsid w:val="323900B3"/>
    <w:rsid w:val="325D3E6B"/>
    <w:rsid w:val="32720A58"/>
    <w:rsid w:val="327457DD"/>
    <w:rsid w:val="32AA7119"/>
    <w:rsid w:val="32B24D74"/>
    <w:rsid w:val="334A0B5D"/>
    <w:rsid w:val="33541EE8"/>
    <w:rsid w:val="33563D25"/>
    <w:rsid w:val="337E6B36"/>
    <w:rsid w:val="338B4A07"/>
    <w:rsid w:val="339758A0"/>
    <w:rsid w:val="33C55D66"/>
    <w:rsid w:val="33FB2C1D"/>
    <w:rsid w:val="340519F5"/>
    <w:rsid w:val="340D0126"/>
    <w:rsid w:val="34130007"/>
    <w:rsid w:val="343C0704"/>
    <w:rsid w:val="343D03AE"/>
    <w:rsid w:val="344805F0"/>
    <w:rsid w:val="344B2FEC"/>
    <w:rsid w:val="34504E6E"/>
    <w:rsid w:val="34504F52"/>
    <w:rsid w:val="347F2F9A"/>
    <w:rsid w:val="34982B09"/>
    <w:rsid w:val="34A31E8A"/>
    <w:rsid w:val="3506624C"/>
    <w:rsid w:val="350D3273"/>
    <w:rsid w:val="35B75933"/>
    <w:rsid w:val="35FF14E7"/>
    <w:rsid w:val="364315C9"/>
    <w:rsid w:val="36495D89"/>
    <w:rsid w:val="364E38CF"/>
    <w:rsid w:val="36D05553"/>
    <w:rsid w:val="36F62ACA"/>
    <w:rsid w:val="36FC11D4"/>
    <w:rsid w:val="371F36BA"/>
    <w:rsid w:val="37521E0A"/>
    <w:rsid w:val="37633580"/>
    <w:rsid w:val="37B83A30"/>
    <w:rsid w:val="37C624B2"/>
    <w:rsid w:val="37EF003D"/>
    <w:rsid w:val="37F04646"/>
    <w:rsid w:val="37F6176B"/>
    <w:rsid w:val="38405BB4"/>
    <w:rsid w:val="38415B71"/>
    <w:rsid w:val="389A200F"/>
    <w:rsid w:val="38AA3B82"/>
    <w:rsid w:val="38AE403A"/>
    <w:rsid w:val="38B34308"/>
    <w:rsid w:val="38CC1F30"/>
    <w:rsid w:val="38D12740"/>
    <w:rsid w:val="38E2163E"/>
    <w:rsid w:val="39064FC8"/>
    <w:rsid w:val="39237B14"/>
    <w:rsid w:val="39341045"/>
    <w:rsid w:val="397D4A54"/>
    <w:rsid w:val="39804503"/>
    <w:rsid w:val="39964EE3"/>
    <w:rsid w:val="39A17B31"/>
    <w:rsid w:val="39B36D70"/>
    <w:rsid w:val="39DF68FE"/>
    <w:rsid w:val="39E20146"/>
    <w:rsid w:val="39E3292F"/>
    <w:rsid w:val="39FD45D0"/>
    <w:rsid w:val="3A2F67B5"/>
    <w:rsid w:val="3A4A1586"/>
    <w:rsid w:val="3A4C15A8"/>
    <w:rsid w:val="3A7F1311"/>
    <w:rsid w:val="3A9912AE"/>
    <w:rsid w:val="3AA761D9"/>
    <w:rsid w:val="3AD47C5D"/>
    <w:rsid w:val="3AD84480"/>
    <w:rsid w:val="3AF9494C"/>
    <w:rsid w:val="3AFA7652"/>
    <w:rsid w:val="3B0C34A5"/>
    <w:rsid w:val="3B1C5A16"/>
    <w:rsid w:val="3B6C5F0D"/>
    <w:rsid w:val="3B8E075C"/>
    <w:rsid w:val="3BA434EF"/>
    <w:rsid w:val="3BB8713A"/>
    <w:rsid w:val="3BCA0DCB"/>
    <w:rsid w:val="3BF26542"/>
    <w:rsid w:val="3C3D4E7B"/>
    <w:rsid w:val="3C732609"/>
    <w:rsid w:val="3C813A50"/>
    <w:rsid w:val="3C855EEF"/>
    <w:rsid w:val="3C893A7A"/>
    <w:rsid w:val="3C983C88"/>
    <w:rsid w:val="3CB31825"/>
    <w:rsid w:val="3CDB37D2"/>
    <w:rsid w:val="3CF61531"/>
    <w:rsid w:val="3D036AC1"/>
    <w:rsid w:val="3D273BBD"/>
    <w:rsid w:val="3D29262C"/>
    <w:rsid w:val="3DA31912"/>
    <w:rsid w:val="3DB64D77"/>
    <w:rsid w:val="3DD40DE4"/>
    <w:rsid w:val="3DD42714"/>
    <w:rsid w:val="3DD72562"/>
    <w:rsid w:val="3DF71EDB"/>
    <w:rsid w:val="3E1B6621"/>
    <w:rsid w:val="3E23240C"/>
    <w:rsid w:val="3E477CE8"/>
    <w:rsid w:val="3E5C77DD"/>
    <w:rsid w:val="3E87668A"/>
    <w:rsid w:val="3E8A361F"/>
    <w:rsid w:val="3E9901BD"/>
    <w:rsid w:val="3E9A23E0"/>
    <w:rsid w:val="3EA03FF8"/>
    <w:rsid w:val="3EA23611"/>
    <w:rsid w:val="3EAF590D"/>
    <w:rsid w:val="3EDA488A"/>
    <w:rsid w:val="3EDE25B2"/>
    <w:rsid w:val="3EEA499C"/>
    <w:rsid w:val="3F055739"/>
    <w:rsid w:val="3F243CD8"/>
    <w:rsid w:val="3F2549F4"/>
    <w:rsid w:val="3F2A5A1C"/>
    <w:rsid w:val="3F6F2524"/>
    <w:rsid w:val="3F937EE7"/>
    <w:rsid w:val="3F992EE1"/>
    <w:rsid w:val="3FB77ED0"/>
    <w:rsid w:val="3FCA164C"/>
    <w:rsid w:val="3FD849C1"/>
    <w:rsid w:val="3FE57A2B"/>
    <w:rsid w:val="3FF11EBC"/>
    <w:rsid w:val="40132484"/>
    <w:rsid w:val="401D049C"/>
    <w:rsid w:val="401E5ED5"/>
    <w:rsid w:val="40DA454B"/>
    <w:rsid w:val="40E83BC4"/>
    <w:rsid w:val="411E5136"/>
    <w:rsid w:val="41207521"/>
    <w:rsid w:val="41523053"/>
    <w:rsid w:val="416420CB"/>
    <w:rsid w:val="41762CA4"/>
    <w:rsid w:val="417D7544"/>
    <w:rsid w:val="418E76A7"/>
    <w:rsid w:val="41924837"/>
    <w:rsid w:val="41B27AFC"/>
    <w:rsid w:val="41EF6A99"/>
    <w:rsid w:val="420B1267"/>
    <w:rsid w:val="422814B6"/>
    <w:rsid w:val="42330854"/>
    <w:rsid w:val="424F05D8"/>
    <w:rsid w:val="428436B4"/>
    <w:rsid w:val="428A31E3"/>
    <w:rsid w:val="429747A3"/>
    <w:rsid w:val="429C2D7B"/>
    <w:rsid w:val="42C00BF8"/>
    <w:rsid w:val="42C8728E"/>
    <w:rsid w:val="42F467D6"/>
    <w:rsid w:val="42F71A84"/>
    <w:rsid w:val="43323E2B"/>
    <w:rsid w:val="4332401F"/>
    <w:rsid w:val="43567416"/>
    <w:rsid w:val="435C4EEE"/>
    <w:rsid w:val="437340BA"/>
    <w:rsid w:val="437B5E58"/>
    <w:rsid w:val="43896F34"/>
    <w:rsid w:val="438B4F65"/>
    <w:rsid w:val="43FB4D1A"/>
    <w:rsid w:val="43FF3D17"/>
    <w:rsid w:val="44044184"/>
    <w:rsid w:val="440B663D"/>
    <w:rsid w:val="440E76BA"/>
    <w:rsid w:val="4428085D"/>
    <w:rsid w:val="44476DA7"/>
    <w:rsid w:val="44695621"/>
    <w:rsid w:val="447E39D4"/>
    <w:rsid w:val="448978FE"/>
    <w:rsid w:val="44BE16B4"/>
    <w:rsid w:val="44CD5DD8"/>
    <w:rsid w:val="44D0697F"/>
    <w:rsid w:val="44E40840"/>
    <w:rsid w:val="44F65820"/>
    <w:rsid w:val="45161D4D"/>
    <w:rsid w:val="45342CD3"/>
    <w:rsid w:val="453A6D3E"/>
    <w:rsid w:val="45633A36"/>
    <w:rsid w:val="457C3573"/>
    <w:rsid w:val="458B0D45"/>
    <w:rsid w:val="45A46132"/>
    <w:rsid w:val="45B611C3"/>
    <w:rsid w:val="45C0706F"/>
    <w:rsid w:val="45CC0CFA"/>
    <w:rsid w:val="45D77EA2"/>
    <w:rsid w:val="461C6082"/>
    <w:rsid w:val="462A4F98"/>
    <w:rsid w:val="463E5CF6"/>
    <w:rsid w:val="46420831"/>
    <w:rsid w:val="4667066F"/>
    <w:rsid w:val="46672202"/>
    <w:rsid w:val="46C60BDF"/>
    <w:rsid w:val="46D348F3"/>
    <w:rsid w:val="46E15B97"/>
    <w:rsid w:val="4735136F"/>
    <w:rsid w:val="47674C6E"/>
    <w:rsid w:val="47727F60"/>
    <w:rsid w:val="478F4D99"/>
    <w:rsid w:val="47B9364B"/>
    <w:rsid w:val="47BA3333"/>
    <w:rsid w:val="48215197"/>
    <w:rsid w:val="484D2CEB"/>
    <w:rsid w:val="48830FD0"/>
    <w:rsid w:val="488672E2"/>
    <w:rsid w:val="488E7764"/>
    <w:rsid w:val="48D25A76"/>
    <w:rsid w:val="48DF7523"/>
    <w:rsid w:val="495D403F"/>
    <w:rsid w:val="49AD523B"/>
    <w:rsid w:val="49E86997"/>
    <w:rsid w:val="49FF70A6"/>
    <w:rsid w:val="4A02232C"/>
    <w:rsid w:val="4A29150F"/>
    <w:rsid w:val="4A4D1C7A"/>
    <w:rsid w:val="4A77585A"/>
    <w:rsid w:val="4AD85A03"/>
    <w:rsid w:val="4AF367DE"/>
    <w:rsid w:val="4AF74E83"/>
    <w:rsid w:val="4B052CF9"/>
    <w:rsid w:val="4B116E79"/>
    <w:rsid w:val="4B364175"/>
    <w:rsid w:val="4B475260"/>
    <w:rsid w:val="4BA9571D"/>
    <w:rsid w:val="4C2057FE"/>
    <w:rsid w:val="4C233188"/>
    <w:rsid w:val="4C327CBE"/>
    <w:rsid w:val="4C4D4C2F"/>
    <w:rsid w:val="4C7111EF"/>
    <w:rsid w:val="4C9B5E7E"/>
    <w:rsid w:val="4CA7772A"/>
    <w:rsid w:val="4CB4117B"/>
    <w:rsid w:val="4D1E7FAE"/>
    <w:rsid w:val="4D2172D3"/>
    <w:rsid w:val="4D2B15FF"/>
    <w:rsid w:val="4D2E33A1"/>
    <w:rsid w:val="4D385EA7"/>
    <w:rsid w:val="4D441C10"/>
    <w:rsid w:val="4D491194"/>
    <w:rsid w:val="4D543767"/>
    <w:rsid w:val="4D7F192D"/>
    <w:rsid w:val="4DA2267D"/>
    <w:rsid w:val="4DAC7988"/>
    <w:rsid w:val="4DC9636E"/>
    <w:rsid w:val="4DCE08D3"/>
    <w:rsid w:val="4DDE76C7"/>
    <w:rsid w:val="4DEF2559"/>
    <w:rsid w:val="4E04265B"/>
    <w:rsid w:val="4E222A28"/>
    <w:rsid w:val="4E361CE8"/>
    <w:rsid w:val="4E4A1274"/>
    <w:rsid w:val="4E4C5B3A"/>
    <w:rsid w:val="4E531D7B"/>
    <w:rsid w:val="4EBF6917"/>
    <w:rsid w:val="4EE2048A"/>
    <w:rsid w:val="4F133266"/>
    <w:rsid w:val="4F1C572C"/>
    <w:rsid w:val="4F353E8B"/>
    <w:rsid w:val="4F8E79BC"/>
    <w:rsid w:val="4FA02C2E"/>
    <w:rsid w:val="4FAC20A6"/>
    <w:rsid w:val="4FB917B1"/>
    <w:rsid w:val="4FBA04DF"/>
    <w:rsid w:val="4FC26722"/>
    <w:rsid w:val="4FDB19E0"/>
    <w:rsid w:val="4FDE2637"/>
    <w:rsid w:val="4FE0379B"/>
    <w:rsid w:val="50410780"/>
    <w:rsid w:val="50601675"/>
    <w:rsid w:val="5099030C"/>
    <w:rsid w:val="50B465F7"/>
    <w:rsid w:val="50D51F98"/>
    <w:rsid w:val="50D72CBD"/>
    <w:rsid w:val="50EC76D7"/>
    <w:rsid w:val="510144CF"/>
    <w:rsid w:val="51127F0B"/>
    <w:rsid w:val="5146342C"/>
    <w:rsid w:val="516B3640"/>
    <w:rsid w:val="51AE705F"/>
    <w:rsid w:val="51D22A97"/>
    <w:rsid w:val="51F7178E"/>
    <w:rsid w:val="520515AC"/>
    <w:rsid w:val="520B28F1"/>
    <w:rsid w:val="522270E1"/>
    <w:rsid w:val="527418F5"/>
    <w:rsid w:val="52AA7287"/>
    <w:rsid w:val="52D360DA"/>
    <w:rsid w:val="52D63895"/>
    <w:rsid w:val="52DA353D"/>
    <w:rsid w:val="52FF5A63"/>
    <w:rsid w:val="53011220"/>
    <w:rsid w:val="53110F70"/>
    <w:rsid w:val="5311473C"/>
    <w:rsid w:val="531F1534"/>
    <w:rsid w:val="534E3693"/>
    <w:rsid w:val="53981FA0"/>
    <w:rsid w:val="53D201CB"/>
    <w:rsid w:val="540375ED"/>
    <w:rsid w:val="54086857"/>
    <w:rsid w:val="540E6417"/>
    <w:rsid w:val="54820D9F"/>
    <w:rsid w:val="54C57913"/>
    <w:rsid w:val="54C62912"/>
    <w:rsid w:val="54D14597"/>
    <w:rsid w:val="54DE6AE7"/>
    <w:rsid w:val="55110DB9"/>
    <w:rsid w:val="55124F97"/>
    <w:rsid w:val="55594141"/>
    <w:rsid w:val="558550D1"/>
    <w:rsid w:val="55D33C2E"/>
    <w:rsid w:val="55DE63D4"/>
    <w:rsid w:val="55E77B87"/>
    <w:rsid w:val="56032455"/>
    <w:rsid w:val="562619C4"/>
    <w:rsid w:val="563A5D5C"/>
    <w:rsid w:val="564773B7"/>
    <w:rsid w:val="56517885"/>
    <w:rsid w:val="566B3726"/>
    <w:rsid w:val="567C3575"/>
    <w:rsid w:val="567F5489"/>
    <w:rsid w:val="56E040FA"/>
    <w:rsid w:val="56E13ACC"/>
    <w:rsid w:val="56F45E48"/>
    <w:rsid w:val="5712215A"/>
    <w:rsid w:val="572B221E"/>
    <w:rsid w:val="57537E95"/>
    <w:rsid w:val="5762426F"/>
    <w:rsid w:val="5785417F"/>
    <w:rsid w:val="57C27675"/>
    <w:rsid w:val="57D73D1C"/>
    <w:rsid w:val="57FB0469"/>
    <w:rsid w:val="58486FF1"/>
    <w:rsid w:val="5891327C"/>
    <w:rsid w:val="589A3C73"/>
    <w:rsid w:val="58B245EA"/>
    <w:rsid w:val="58BA416A"/>
    <w:rsid w:val="58BC1115"/>
    <w:rsid w:val="58D80F66"/>
    <w:rsid w:val="58DE2AF2"/>
    <w:rsid w:val="58EB70CD"/>
    <w:rsid w:val="58FC45BC"/>
    <w:rsid w:val="593A3E9C"/>
    <w:rsid w:val="594F2FC3"/>
    <w:rsid w:val="596521DC"/>
    <w:rsid w:val="597115C4"/>
    <w:rsid w:val="59922929"/>
    <w:rsid w:val="599F035F"/>
    <w:rsid w:val="59DD28B6"/>
    <w:rsid w:val="59E4075B"/>
    <w:rsid w:val="59F93C12"/>
    <w:rsid w:val="5A107EE5"/>
    <w:rsid w:val="5A1F3C3B"/>
    <w:rsid w:val="5A1F70A4"/>
    <w:rsid w:val="5A5D1CEA"/>
    <w:rsid w:val="5A742180"/>
    <w:rsid w:val="5ABF62C1"/>
    <w:rsid w:val="5AE76118"/>
    <w:rsid w:val="5AE7771C"/>
    <w:rsid w:val="5B2D469C"/>
    <w:rsid w:val="5B4145B8"/>
    <w:rsid w:val="5B4900CE"/>
    <w:rsid w:val="5B751975"/>
    <w:rsid w:val="5B793CCA"/>
    <w:rsid w:val="5B7C0A52"/>
    <w:rsid w:val="5BA02E96"/>
    <w:rsid w:val="5BCD09F3"/>
    <w:rsid w:val="5BFF6A6C"/>
    <w:rsid w:val="5C322957"/>
    <w:rsid w:val="5CD03240"/>
    <w:rsid w:val="5CE93616"/>
    <w:rsid w:val="5CF82BF9"/>
    <w:rsid w:val="5CFC61A3"/>
    <w:rsid w:val="5D3970FE"/>
    <w:rsid w:val="5D3A6538"/>
    <w:rsid w:val="5D542756"/>
    <w:rsid w:val="5D54558E"/>
    <w:rsid w:val="5D757098"/>
    <w:rsid w:val="5DAB0C85"/>
    <w:rsid w:val="5DB2758B"/>
    <w:rsid w:val="5DE84F0A"/>
    <w:rsid w:val="5DF879DB"/>
    <w:rsid w:val="5DFB62A0"/>
    <w:rsid w:val="5E1D67F1"/>
    <w:rsid w:val="5E34682E"/>
    <w:rsid w:val="5E440753"/>
    <w:rsid w:val="5E6D42B8"/>
    <w:rsid w:val="5E737664"/>
    <w:rsid w:val="5E792148"/>
    <w:rsid w:val="5E976BDB"/>
    <w:rsid w:val="5EC953EE"/>
    <w:rsid w:val="5EF62F9E"/>
    <w:rsid w:val="5F042659"/>
    <w:rsid w:val="5F21691D"/>
    <w:rsid w:val="5F310A0D"/>
    <w:rsid w:val="5F4D6E91"/>
    <w:rsid w:val="5F6F0A64"/>
    <w:rsid w:val="5F813E03"/>
    <w:rsid w:val="5F872615"/>
    <w:rsid w:val="5F8A641A"/>
    <w:rsid w:val="5F9D0052"/>
    <w:rsid w:val="5FB6110D"/>
    <w:rsid w:val="5FD76D46"/>
    <w:rsid w:val="60405F20"/>
    <w:rsid w:val="60A762BC"/>
    <w:rsid w:val="60C35CE5"/>
    <w:rsid w:val="60CF6AD4"/>
    <w:rsid w:val="60D7486C"/>
    <w:rsid w:val="60EC6B30"/>
    <w:rsid w:val="60FC2516"/>
    <w:rsid w:val="611B444C"/>
    <w:rsid w:val="6155537D"/>
    <w:rsid w:val="615D0EE2"/>
    <w:rsid w:val="616D6B05"/>
    <w:rsid w:val="61760F1C"/>
    <w:rsid w:val="618726E4"/>
    <w:rsid w:val="61976EC5"/>
    <w:rsid w:val="619F774C"/>
    <w:rsid w:val="61A52B04"/>
    <w:rsid w:val="61A56259"/>
    <w:rsid w:val="61B73F5E"/>
    <w:rsid w:val="61C67213"/>
    <w:rsid w:val="61D510F8"/>
    <w:rsid w:val="61E658C9"/>
    <w:rsid w:val="62041018"/>
    <w:rsid w:val="620F517F"/>
    <w:rsid w:val="624C531C"/>
    <w:rsid w:val="62582E23"/>
    <w:rsid w:val="625A61FD"/>
    <w:rsid w:val="625F22E7"/>
    <w:rsid w:val="62A001BA"/>
    <w:rsid w:val="62A25F1C"/>
    <w:rsid w:val="62AD0D82"/>
    <w:rsid w:val="62B94137"/>
    <w:rsid w:val="62CF3265"/>
    <w:rsid w:val="62CF6FB3"/>
    <w:rsid w:val="62F53130"/>
    <w:rsid w:val="631A2EE5"/>
    <w:rsid w:val="63224191"/>
    <w:rsid w:val="633D2A68"/>
    <w:rsid w:val="63443DB1"/>
    <w:rsid w:val="63597522"/>
    <w:rsid w:val="635F6FDF"/>
    <w:rsid w:val="63936A0A"/>
    <w:rsid w:val="63A262C5"/>
    <w:rsid w:val="63A975DE"/>
    <w:rsid w:val="63AD43A2"/>
    <w:rsid w:val="63B17208"/>
    <w:rsid w:val="63BF63CB"/>
    <w:rsid w:val="63D43305"/>
    <w:rsid w:val="640E0E2C"/>
    <w:rsid w:val="6415284A"/>
    <w:rsid w:val="641B1ADF"/>
    <w:rsid w:val="64260262"/>
    <w:rsid w:val="644A5DD2"/>
    <w:rsid w:val="644E4226"/>
    <w:rsid w:val="645A795A"/>
    <w:rsid w:val="646970F1"/>
    <w:rsid w:val="64C23E7D"/>
    <w:rsid w:val="64C95044"/>
    <w:rsid w:val="64DF11BA"/>
    <w:rsid w:val="64F37029"/>
    <w:rsid w:val="65163F20"/>
    <w:rsid w:val="65165F77"/>
    <w:rsid w:val="651B48B2"/>
    <w:rsid w:val="651F5266"/>
    <w:rsid w:val="653C2A7A"/>
    <w:rsid w:val="65676AEE"/>
    <w:rsid w:val="656F759F"/>
    <w:rsid w:val="65705687"/>
    <w:rsid w:val="658E65C3"/>
    <w:rsid w:val="659A251C"/>
    <w:rsid w:val="65A00B16"/>
    <w:rsid w:val="65B97414"/>
    <w:rsid w:val="65CC025D"/>
    <w:rsid w:val="65EE18C6"/>
    <w:rsid w:val="65F90A25"/>
    <w:rsid w:val="66045D48"/>
    <w:rsid w:val="66076EF2"/>
    <w:rsid w:val="660B027B"/>
    <w:rsid w:val="66287D10"/>
    <w:rsid w:val="665B5F4A"/>
    <w:rsid w:val="665D15F8"/>
    <w:rsid w:val="66741B73"/>
    <w:rsid w:val="668D72D5"/>
    <w:rsid w:val="66AC386B"/>
    <w:rsid w:val="66BE1B7B"/>
    <w:rsid w:val="671F7189"/>
    <w:rsid w:val="675D3E36"/>
    <w:rsid w:val="677D5E3A"/>
    <w:rsid w:val="679E0EAE"/>
    <w:rsid w:val="68556B47"/>
    <w:rsid w:val="68736729"/>
    <w:rsid w:val="68803E91"/>
    <w:rsid w:val="68924BEB"/>
    <w:rsid w:val="68A510AD"/>
    <w:rsid w:val="68D02D7A"/>
    <w:rsid w:val="68E36B2A"/>
    <w:rsid w:val="692C67CC"/>
    <w:rsid w:val="6930209D"/>
    <w:rsid w:val="6942430D"/>
    <w:rsid w:val="69823BDB"/>
    <w:rsid w:val="6984712B"/>
    <w:rsid w:val="698524D9"/>
    <w:rsid w:val="69EC7051"/>
    <w:rsid w:val="6A0A17DA"/>
    <w:rsid w:val="6A3F54A1"/>
    <w:rsid w:val="6A4C63BB"/>
    <w:rsid w:val="6A7E4E33"/>
    <w:rsid w:val="6A814B1E"/>
    <w:rsid w:val="6AA81420"/>
    <w:rsid w:val="6AB051EE"/>
    <w:rsid w:val="6AB62B0F"/>
    <w:rsid w:val="6AD87607"/>
    <w:rsid w:val="6AF02DC7"/>
    <w:rsid w:val="6AFE65DF"/>
    <w:rsid w:val="6B01028E"/>
    <w:rsid w:val="6B2A1926"/>
    <w:rsid w:val="6B312894"/>
    <w:rsid w:val="6B33277E"/>
    <w:rsid w:val="6B60492B"/>
    <w:rsid w:val="6B6D6B85"/>
    <w:rsid w:val="6B7C11D2"/>
    <w:rsid w:val="6B8C3E2B"/>
    <w:rsid w:val="6BAA2589"/>
    <w:rsid w:val="6BC52296"/>
    <w:rsid w:val="6BF57E31"/>
    <w:rsid w:val="6BFF6EDC"/>
    <w:rsid w:val="6C0355CB"/>
    <w:rsid w:val="6C163AB2"/>
    <w:rsid w:val="6C3E7F85"/>
    <w:rsid w:val="6C3F2F5A"/>
    <w:rsid w:val="6C542CCA"/>
    <w:rsid w:val="6CA239B6"/>
    <w:rsid w:val="6CFE6D08"/>
    <w:rsid w:val="6D010E1A"/>
    <w:rsid w:val="6D5E670D"/>
    <w:rsid w:val="6D794FD1"/>
    <w:rsid w:val="6D924A4B"/>
    <w:rsid w:val="6D932A83"/>
    <w:rsid w:val="6D977621"/>
    <w:rsid w:val="6DBB590E"/>
    <w:rsid w:val="6E037E3F"/>
    <w:rsid w:val="6E142DB2"/>
    <w:rsid w:val="6E2E7E27"/>
    <w:rsid w:val="6E6021FE"/>
    <w:rsid w:val="6E641AA2"/>
    <w:rsid w:val="6E7C6F04"/>
    <w:rsid w:val="6E8C076F"/>
    <w:rsid w:val="6E9A7825"/>
    <w:rsid w:val="6EC860A3"/>
    <w:rsid w:val="6F30030A"/>
    <w:rsid w:val="6F382198"/>
    <w:rsid w:val="6F6850F6"/>
    <w:rsid w:val="6F8C0603"/>
    <w:rsid w:val="6F912C07"/>
    <w:rsid w:val="6FD91AF2"/>
    <w:rsid w:val="6FF55737"/>
    <w:rsid w:val="702E03C9"/>
    <w:rsid w:val="703357AA"/>
    <w:rsid w:val="704545D3"/>
    <w:rsid w:val="706913D7"/>
    <w:rsid w:val="707F2C23"/>
    <w:rsid w:val="708017B4"/>
    <w:rsid w:val="70A312F0"/>
    <w:rsid w:val="70E57E74"/>
    <w:rsid w:val="71364564"/>
    <w:rsid w:val="71532AE9"/>
    <w:rsid w:val="71631F33"/>
    <w:rsid w:val="719665B2"/>
    <w:rsid w:val="71AA61EC"/>
    <w:rsid w:val="71E774A5"/>
    <w:rsid w:val="722B0E00"/>
    <w:rsid w:val="72961AC7"/>
    <w:rsid w:val="72C00BE7"/>
    <w:rsid w:val="72C15774"/>
    <w:rsid w:val="72D4751A"/>
    <w:rsid w:val="72EF6740"/>
    <w:rsid w:val="72FD06B2"/>
    <w:rsid w:val="730746E9"/>
    <w:rsid w:val="731D7E9F"/>
    <w:rsid w:val="7328390F"/>
    <w:rsid w:val="732862B7"/>
    <w:rsid w:val="7338355D"/>
    <w:rsid w:val="733C2B17"/>
    <w:rsid w:val="73636E22"/>
    <w:rsid w:val="73662245"/>
    <w:rsid w:val="73842D8A"/>
    <w:rsid w:val="739E7864"/>
    <w:rsid w:val="73BE1CB4"/>
    <w:rsid w:val="73CF2CF3"/>
    <w:rsid w:val="73DE1B7A"/>
    <w:rsid w:val="73EC6E31"/>
    <w:rsid w:val="73F858F8"/>
    <w:rsid w:val="74081CB4"/>
    <w:rsid w:val="740B51B4"/>
    <w:rsid w:val="7420735E"/>
    <w:rsid w:val="74286537"/>
    <w:rsid w:val="745A000B"/>
    <w:rsid w:val="74862D77"/>
    <w:rsid w:val="749F3E19"/>
    <w:rsid w:val="74A4167F"/>
    <w:rsid w:val="74A911A4"/>
    <w:rsid w:val="74EC41F6"/>
    <w:rsid w:val="74F70E88"/>
    <w:rsid w:val="74FC053B"/>
    <w:rsid w:val="750937CE"/>
    <w:rsid w:val="75096FF4"/>
    <w:rsid w:val="752006EE"/>
    <w:rsid w:val="75444F90"/>
    <w:rsid w:val="75487E1B"/>
    <w:rsid w:val="755B7094"/>
    <w:rsid w:val="7561323F"/>
    <w:rsid w:val="756B1700"/>
    <w:rsid w:val="75B568C3"/>
    <w:rsid w:val="75C86247"/>
    <w:rsid w:val="75F23C0F"/>
    <w:rsid w:val="760426F3"/>
    <w:rsid w:val="76160AEE"/>
    <w:rsid w:val="761E44DB"/>
    <w:rsid w:val="76227080"/>
    <w:rsid w:val="76430A74"/>
    <w:rsid w:val="76596C6D"/>
    <w:rsid w:val="765E106D"/>
    <w:rsid w:val="766838FC"/>
    <w:rsid w:val="7678013D"/>
    <w:rsid w:val="768A5453"/>
    <w:rsid w:val="769E7691"/>
    <w:rsid w:val="76AE71C7"/>
    <w:rsid w:val="76F81981"/>
    <w:rsid w:val="7735228D"/>
    <w:rsid w:val="773B0FC9"/>
    <w:rsid w:val="773D1A56"/>
    <w:rsid w:val="774C0484"/>
    <w:rsid w:val="77766529"/>
    <w:rsid w:val="7799264D"/>
    <w:rsid w:val="77A626B6"/>
    <w:rsid w:val="77B879E3"/>
    <w:rsid w:val="77D773D1"/>
    <w:rsid w:val="77DE0B76"/>
    <w:rsid w:val="78104AA8"/>
    <w:rsid w:val="781F08A8"/>
    <w:rsid w:val="784B5D7F"/>
    <w:rsid w:val="785469DC"/>
    <w:rsid w:val="78591DED"/>
    <w:rsid w:val="788504E9"/>
    <w:rsid w:val="78941485"/>
    <w:rsid w:val="78C0333E"/>
    <w:rsid w:val="791E284C"/>
    <w:rsid w:val="79693B8F"/>
    <w:rsid w:val="79D00575"/>
    <w:rsid w:val="79D34F36"/>
    <w:rsid w:val="79D82893"/>
    <w:rsid w:val="79D87A64"/>
    <w:rsid w:val="7A026DCA"/>
    <w:rsid w:val="7A2565EA"/>
    <w:rsid w:val="7A375923"/>
    <w:rsid w:val="7A3C0AD5"/>
    <w:rsid w:val="7A88301C"/>
    <w:rsid w:val="7ADB139D"/>
    <w:rsid w:val="7ADF7F98"/>
    <w:rsid w:val="7B4E6AF4"/>
    <w:rsid w:val="7B7E79B4"/>
    <w:rsid w:val="7B847AA9"/>
    <w:rsid w:val="7B952855"/>
    <w:rsid w:val="7BA44098"/>
    <w:rsid w:val="7BC375ED"/>
    <w:rsid w:val="7BC86124"/>
    <w:rsid w:val="7BD217F3"/>
    <w:rsid w:val="7BDF72DA"/>
    <w:rsid w:val="7C1647A1"/>
    <w:rsid w:val="7C2C26BC"/>
    <w:rsid w:val="7C516888"/>
    <w:rsid w:val="7CAF3FE9"/>
    <w:rsid w:val="7CDF0701"/>
    <w:rsid w:val="7D3811EA"/>
    <w:rsid w:val="7D3F4EEF"/>
    <w:rsid w:val="7D686C61"/>
    <w:rsid w:val="7DD03789"/>
    <w:rsid w:val="7DDA63C2"/>
    <w:rsid w:val="7DF62070"/>
    <w:rsid w:val="7E2E4168"/>
    <w:rsid w:val="7E363BA3"/>
    <w:rsid w:val="7E653D11"/>
    <w:rsid w:val="7E682BB9"/>
    <w:rsid w:val="7E6C0BC7"/>
    <w:rsid w:val="7E7632D7"/>
    <w:rsid w:val="7E8F7DAD"/>
    <w:rsid w:val="7EA93178"/>
    <w:rsid w:val="7EB84AE3"/>
    <w:rsid w:val="7F051EA1"/>
    <w:rsid w:val="7F187CE6"/>
    <w:rsid w:val="7F321DAD"/>
    <w:rsid w:val="7F39087E"/>
    <w:rsid w:val="7F3E7AC9"/>
    <w:rsid w:val="7F4642E4"/>
    <w:rsid w:val="7F88088E"/>
    <w:rsid w:val="7F8846CB"/>
    <w:rsid w:val="7FD14D62"/>
    <w:rsid w:val="7FEB05C7"/>
    <w:rsid w:val="7FFE1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autoRedefine/>
    <w:qFormat/>
    <w:uiPriority w:val="99"/>
    <w:pPr>
      <w:keepNext/>
      <w:overflowPunct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autoRedefine/>
    <w:qFormat/>
    <w:uiPriority w:val="0"/>
    <w:pPr>
      <w:keepNext/>
      <w:keepLines/>
      <w:adjustRightInd w:val="0"/>
      <w:spacing w:line="348" w:lineRule="auto"/>
      <w:textAlignment w:val="baseline"/>
      <w:outlineLvl w:val="2"/>
    </w:pPr>
    <w:rPr>
      <w:kern w:val="0"/>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200" w:firstLineChars="200"/>
    </w:pPr>
    <w:rPr>
      <w:rFonts w:ascii="Calibri" w:hAnsi="Calibri"/>
      <w:kern w:val="0"/>
      <w:sz w:val="28"/>
    </w:rPr>
  </w:style>
  <w:style w:type="paragraph" w:styleId="5">
    <w:name w:val="Document Map"/>
    <w:basedOn w:val="1"/>
    <w:link w:val="48"/>
    <w:autoRedefine/>
    <w:qFormat/>
    <w:uiPriority w:val="0"/>
    <w:rPr>
      <w:rFonts w:ascii="宋体"/>
      <w:sz w:val="18"/>
      <w:szCs w:val="18"/>
    </w:rPr>
  </w:style>
  <w:style w:type="paragraph" w:styleId="6">
    <w:name w:val="toa heading"/>
    <w:basedOn w:val="1"/>
    <w:next w:val="1"/>
    <w:qFormat/>
    <w:uiPriority w:val="99"/>
    <w:pPr>
      <w:snapToGrid/>
      <w:spacing w:before="120"/>
    </w:pPr>
    <w:rPr>
      <w:rFonts w:hAnsi="Arial"/>
      <w:sz w:val="24"/>
      <w:szCs w:val="24"/>
    </w:rPr>
  </w:style>
  <w:style w:type="paragraph" w:styleId="7">
    <w:name w:val="annotation text"/>
    <w:basedOn w:val="1"/>
    <w:link w:val="46"/>
    <w:autoRedefine/>
    <w:qFormat/>
    <w:uiPriority w:val="0"/>
    <w:pPr>
      <w:jc w:val="left"/>
    </w:pPr>
  </w:style>
  <w:style w:type="paragraph" w:styleId="8">
    <w:name w:val="Body Text"/>
    <w:basedOn w:val="1"/>
    <w:autoRedefine/>
    <w:qFormat/>
    <w:uiPriority w:val="0"/>
    <w:pPr>
      <w:widowControl/>
      <w:spacing w:before="60" w:after="160" w:line="360" w:lineRule="auto"/>
      <w:ind w:right="113"/>
    </w:pPr>
    <w:rPr>
      <w:kern w:val="0"/>
      <w:sz w:val="18"/>
      <w:szCs w:val="20"/>
    </w:rPr>
  </w:style>
  <w:style w:type="paragraph" w:styleId="9">
    <w:name w:val="Body Text Indent"/>
    <w:basedOn w:val="1"/>
    <w:link w:val="45"/>
    <w:autoRedefine/>
    <w:qFormat/>
    <w:uiPriority w:val="0"/>
    <w:pPr>
      <w:spacing w:after="120"/>
      <w:ind w:left="420" w:leftChars="200"/>
    </w:pPr>
    <w:rPr>
      <w:kern w:val="0"/>
      <w:sz w:val="24"/>
      <w:szCs w:val="20"/>
    </w:rPr>
  </w:style>
  <w:style w:type="paragraph" w:styleId="10">
    <w:name w:val="Plain Text"/>
    <w:basedOn w:val="1"/>
    <w:link w:val="38"/>
    <w:autoRedefine/>
    <w:qFormat/>
    <w:uiPriority w:val="0"/>
    <w:rPr>
      <w:rFonts w:ascii="宋体" w:hAnsi="Courier New"/>
      <w:kern w:val="0"/>
      <w:sz w:val="20"/>
      <w:szCs w:val="24"/>
    </w:rPr>
  </w:style>
  <w:style w:type="paragraph" w:styleId="11">
    <w:name w:val="List Bullet 5"/>
    <w:basedOn w:val="1"/>
    <w:autoRedefine/>
    <w:qFormat/>
    <w:uiPriority w:val="0"/>
    <w:pPr>
      <w:numPr>
        <w:ilvl w:val="0"/>
        <w:numId w:val="1"/>
      </w:numPr>
    </w:pPr>
  </w:style>
  <w:style w:type="paragraph" w:styleId="12">
    <w:name w:val="Body Text Indent 2"/>
    <w:basedOn w:val="1"/>
    <w:autoRedefine/>
    <w:semiHidden/>
    <w:unhideWhenUsed/>
    <w:qFormat/>
    <w:uiPriority w:val="99"/>
    <w:pPr>
      <w:spacing w:after="120" w:line="480" w:lineRule="auto"/>
      <w:ind w:left="420" w:leftChars="200"/>
    </w:pPr>
  </w:style>
  <w:style w:type="paragraph" w:styleId="13">
    <w:name w:val="Balloon Text"/>
    <w:basedOn w:val="1"/>
    <w:link w:val="49"/>
    <w:autoRedefine/>
    <w:qFormat/>
    <w:uiPriority w:val="0"/>
    <w:rPr>
      <w:sz w:val="18"/>
      <w:szCs w:val="18"/>
    </w:rPr>
  </w:style>
  <w:style w:type="paragraph" w:styleId="14">
    <w:name w:val="footer"/>
    <w:basedOn w:val="1"/>
    <w:autoRedefine/>
    <w:qFormat/>
    <w:uiPriority w:val="99"/>
    <w:pPr>
      <w:tabs>
        <w:tab w:val="center" w:pos="4153"/>
        <w:tab w:val="right" w:pos="8306"/>
      </w:tabs>
      <w:jc w:val="left"/>
    </w:pPr>
    <w:rPr>
      <w:kern w:val="0"/>
      <w:sz w:val="18"/>
      <w:szCs w:val="20"/>
    </w:rPr>
  </w:style>
  <w:style w:type="paragraph" w:styleId="15">
    <w:name w:val="header"/>
    <w:basedOn w:val="1"/>
    <w:link w:val="30"/>
    <w:autoRedefine/>
    <w:qFormat/>
    <w:uiPriority w:val="0"/>
    <w:pPr>
      <w:pBdr>
        <w:bottom w:val="single" w:color="auto" w:sz="6" w:space="1"/>
      </w:pBdr>
      <w:tabs>
        <w:tab w:val="center" w:pos="4153"/>
        <w:tab w:val="right" w:pos="8306"/>
      </w:tabs>
      <w:jc w:val="center"/>
    </w:pPr>
    <w:rPr>
      <w:sz w:val="18"/>
      <w:szCs w:val="18"/>
    </w:rPr>
  </w:style>
  <w:style w:type="paragraph" w:styleId="16">
    <w:name w:val="Subtitle"/>
    <w:basedOn w:val="1"/>
    <w:next w:val="1"/>
    <w:autoRedefine/>
    <w:qFormat/>
    <w:uiPriority w:val="11"/>
    <w:pPr>
      <w:spacing w:line="300" w:lineRule="exact"/>
      <w:jc w:val="center"/>
    </w:pPr>
    <w:rPr>
      <w:rFonts w:ascii="仿宋_GB2312" w:hAnsi="宋体" w:eastAsia="仿宋_GB2312"/>
      <w:color w:val="000000"/>
      <w:lang w:val="zh-CN"/>
    </w:rPr>
  </w:style>
  <w:style w:type="paragraph" w:styleId="17">
    <w:name w:val="toc 2"/>
    <w:basedOn w:val="1"/>
    <w:next w:val="1"/>
    <w:autoRedefine/>
    <w:qFormat/>
    <w:uiPriority w:val="0"/>
    <w:pPr>
      <w:spacing w:line="360" w:lineRule="exact"/>
      <w:ind w:left="420" w:leftChars="200"/>
    </w:pPr>
  </w:style>
  <w:style w:type="paragraph" w:styleId="18">
    <w:name w:val="Body Text 2"/>
    <w:basedOn w:val="1"/>
    <w:link w:val="37"/>
    <w:autoRedefine/>
    <w:qFormat/>
    <w:uiPriority w:val="0"/>
    <w:pPr>
      <w:spacing w:after="120" w:line="480" w:lineRule="auto"/>
    </w:pPr>
  </w:style>
  <w:style w:type="paragraph" w:styleId="19">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0">
    <w:name w:val="Title"/>
    <w:basedOn w:val="1"/>
    <w:next w:val="1"/>
    <w:link w:val="36"/>
    <w:autoRedefine/>
    <w:qFormat/>
    <w:uiPriority w:val="0"/>
    <w:pPr>
      <w:spacing w:before="240" w:after="60"/>
      <w:jc w:val="center"/>
      <w:outlineLvl w:val="0"/>
    </w:pPr>
    <w:rPr>
      <w:rFonts w:asciiTheme="majorHAnsi" w:hAnsiTheme="majorHAnsi" w:eastAsiaTheme="majorEastAsia" w:cstheme="majorBidi"/>
      <w:b/>
      <w:bCs/>
      <w:sz w:val="32"/>
      <w:szCs w:val="32"/>
    </w:rPr>
  </w:style>
  <w:style w:type="paragraph" w:styleId="21">
    <w:name w:val="annotation subject"/>
    <w:basedOn w:val="7"/>
    <w:next w:val="7"/>
    <w:link w:val="47"/>
    <w:autoRedefine/>
    <w:qFormat/>
    <w:uiPriority w:val="0"/>
    <w:rPr>
      <w:b/>
      <w:bCs/>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b/>
      <w:bCs/>
    </w:rPr>
  </w:style>
  <w:style w:type="character" w:styleId="26">
    <w:name w:val="page number"/>
    <w:autoRedefine/>
    <w:qFormat/>
    <w:uiPriority w:val="0"/>
  </w:style>
  <w:style w:type="character" w:styleId="27">
    <w:name w:val="Emphasis"/>
    <w:autoRedefine/>
    <w:qFormat/>
    <w:uiPriority w:val="20"/>
    <w:rPr>
      <w:i/>
    </w:rPr>
  </w:style>
  <w:style w:type="character" w:styleId="28">
    <w:name w:val="Hyperlink"/>
    <w:basedOn w:val="24"/>
    <w:autoRedefine/>
    <w:qFormat/>
    <w:uiPriority w:val="0"/>
    <w:rPr>
      <w:color w:val="0000FF"/>
      <w:u w:val="single"/>
    </w:rPr>
  </w:style>
  <w:style w:type="character" w:styleId="29">
    <w:name w:val="annotation reference"/>
    <w:basedOn w:val="24"/>
    <w:autoRedefine/>
    <w:qFormat/>
    <w:uiPriority w:val="0"/>
    <w:rPr>
      <w:sz w:val="21"/>
      <w:szCs w:val="21"/>
    </w:rPr>
  </w:style>
  <w:style w:type="character" w:customStyle="1" w:styleId="30">
    <w:name w:val="页眉 Char"/>
    <w:basedOn w:val="24"/>
    <w:link w:val="15"/>
    <w:autoRedefine/>
    <w:qFormat/>
    <w:uiPriority w:val="0"/>
    <w:rPr>
      <w:rFonts w:ascii="Times New Roman" w:hAnsi="Times New Roman" w:eastAsia="宋体" w:cs="Times New Roman"/>
      <w:kern w:val="2"/>
      <w:sz w:val="18"/>
      <w:szCs w:val="18"/>
    </w:rPr>
  </w:style>
  <w:style w:type="paragraph" w:styleId="31">
    <w:name w:val="List Paragraph"/>
    <w:basedOn w:val="1"/>
    <w:autoRedefine/>
    <w:qFormat/>
    <w:uiPriority w:val="99"/>
    <w:pPr>
      <w:ind w:firstLine="420" w:firstLineChars="200"/>
    </w:pPr>
  </w:style>
  <w:style w:type="paragraph" w:customStyle="1" w:styleId="32">
    <w:name w:val="Default"/>
    <w:basedOn w:val="33"/>
    <w:autoRedefine/>
    <w:qFormat/>
    <w:uiPriority w:val="0"/>
    <w:pPr>
      <w:autoSpaceDE w:val="0"/>
      <w:autoSpaceDN w:val="0"/>
      <w:adjustRightInd w:val="0"/>
    </w:pPr>
    <w:rPr>
      <w:rFonts w:hAnsi="Times New Roman" w:cs="宋体"/>
      <w:color w:val="000000"/>
      <w:sz w:val="24"/>
    </w:rPr>
  </w:style>
  <w:style w:type="paragraph" w:customStyle="1" w:styleId="33">
    <w:name w:val="标题 段落4级"/>
    <w:autoRedefine/>
    <w:qFormat/>
    <w:uiPriority w:val="0"/>
    <w:pPr>
      <w:spacing w:line="500" w:lineRule="exact"/>
      <w:outlineLvl w:val="3"/>
    </w:pPr>
    <w:rPr>
      <w:rFonts w:ascii="Calibri" w:hAnsi="Calibri" w:eastAsia="仿宋_GB2312" w:cs="Calibri"/>
      <w:b/>
      <w:kern w:val="2"/>
      <w:sz w:val="28"/>
      <w:szCs w:val="24"/>
      <w:lang w:val="en-US" w:eastAsia="zh-CN" w:bidi="ar-SA"/>
    </w:rPr>
  </w:style>
  <w:style w:type="paragraph" w:customStyle="1" w:styleId="34">
    <w:name w:val="纯文本1"/>
    <w:basedOn w:val="1"/>
    <w:autoRedefine/>
    <w:qFormat/>
    <w:uiPriority w:val="0"/>
    <w:rPr>
      <w:rFonts w:ascii="宋体" w:hAnsi="Courier New"/>
    </w:rPr>
  </w:style>
  <w:style w:type="paragraph" w:customStyle="1" w:styleId="35">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36">
    <w:name w:val="标题 Char"/>
    <w:basedOn w:val="24"/>
    <w:link w:val="20"/>
    <w:autoRedefine/>
    <w:qFormat/>
    <w:uiPriority w:val="0"/>
    <w:rPr>
      <w:rFonts w:asciiTheme="majorHAnsi" w:hAnsiTheme="majorHAnsi" w:eastAsiaTheme="majorEastAsia" w:cstheme="majorBidi"/>
      <w:b/>
      <w:bCs/>
      <w:kern w:val="2"/>
      <w:sz w:val="32"/>
      <w:szCs w:val="32"/>
    </w:rPr>
  </w:style>
  <w:style w:type="character" w:customStyle="1" w:styleId="37">
    <w:name w:val="正文文本 2 Char"/>
    <w:basedOn w:val="24"/>
    <w:link w:val="18"/>
    <w:autoRedefine/>
    <w:qFormat/>
    <w:uiPriority w:val="0"/>
    <w:rPr>
      <w:kern w:val="2"/>
      <w:sz w:val="21"/>
      <w:szCs w:val="21"/>
    </w:rPr>
  </w:style>
  <w:style w:type="character" w:customStyle="1" w:styleId="38">
    <w:name w:val="纯文本 Char"/>
    <w:basedOn w:val="24"/>
    <w:link w:val="10"/>
    <w:autoRedefine/>
    <w:qFormat/>
    <w:uiPriority w:val="0"/>
    <w:rPr>
      <w:rFonts w:ascii="宋体" w:hAnsi="Courier New"/>
      <w:szCs w:val="24"/>
    </w:rPr>
  </w:style>
  <w:style w:type="paragraph" w:customStyle="1" w:styleId="39">
    <w:name w:val="图表文字"/>
    <w:basedOn w:val="1"/>
    <w:autoRedefine/>
    <w:qFormat/>
    <w:uiPriority w:val="0"/>
    <w:pPr>
      <w:jc w:val="center"/>
    </w:pPr>
    <w:rPr>
      <w:rFonts w:ascii="仿宋_GB2312" w:hAnsi="Calibri" w:eastAsia="仿宋_GB2312"/>
      <w:kern w:val="0"/>
      <w:sz w:val="20"/>
      <w:szCs w:val="24"/>
    </w:rPr>
  </w:style>
  <w:style w:type="paragraph" w:customStyle="1" w:styleId="40">
    <w:name w:val="列出段落1"/>
    <w:basedOn w:val="1"/>
    <w:autoRedefine/>
    <w:qFormat/>
    <w:uiPriority w:val="34"/>
    <w:pPr>
      <w:adjustRightInd w:val="0"/>
      <w:ind w:firstLine="420" w:firstLineChars="200"/>
    </w:pPr>
    <w:rPr>
      <w:szCs w:val="24"/>
    </w:rPr>
  </w:style>
  <w:style w:type="character" w:customStyle="1" w:styleId="41">
    <w:name w:val="表格 Char"/>
    <w:link w:val="42"/>
    <w:autoRedefine/>
    <w:qFormat/>
    <w:locked/>
    <w:uiPriority w:val="0"/>
    <w:rPr>
      <w:rFonts w:ascii="宋体"/>
      <w:sz w:val="21"/>
    </w:rPr>
  </w:style>
  <w:style w:type="paragraph" w:customStyle="1" w:styleId="42">
    <w:name w:val="表格"/>
    <w:basedOn w:val="1"/>
    <w:next w:val="1"/>
    <w:link w:val="41"/>
    <w:autoRedefine/>
    <w:qFormat/>
    <w:uiPriority w:val="0"/>
    <w:pPr>
      <w:adjustRightInd w:val="0"/>
      <w:spacing w:beforeLines="10" w:afterLines="10" w:line="259" w:lineRule="auto"/>
      <w:jc w:val="center"/>
    </w:pPr>
    <w:rPr>
      <w:rFonts w:ascii="宋体"/>
      <w:kern w:val="0"/>
      <w:szCs w:val="20"/>
    </w:rPr>
  </w:style>
  <w:style w:type="paragraph" w:customStyle="1" w:styleId="43">
    <w:name w:val="插入表格文字格式"/>
    <w:basedOn w:val="1"/>
    <w:autoRedefine/>
    <w:qFormat/>
    <w:uiPriority w:val="99"/>
    <w:pPr>
      <w:tabs>
        <w:tab w:val="left" w:pos="360"/>
      </w:tabs>
      <w:adjustRightInd w:val="0"/>
      <w:jc w:val="center"/>
    </w:pPr>
    <w:rPr>
      <w:kern w:val="0"/>
    </w:rPr>
  </w:style>
  <w:style w:type="paragraph" w:customStyle="1" w:styleId="44">
    <w:name w:val="表格表头格式"/>
    <w:basedOn w:val="1"/>
    <w:autoRedefine/>
    <w:qFormat/>
    <w:uiPriority w:val="99"/>
    <w:pPr>
      <w:widowControl/>
      <w:tabs>
        <w:tab w:val="left" w:pos="-1008"/>
        <w:tab w:val="left" w:pos="4873"/>
      </w:tabs>
      <w:adjustRightInd w:val="0"/>
      <w:spacing w:line="500" w:lineRule="exact"/>
      <w:jc w:val="center"/>
      <w:textAlignment w:val="baseline"/>
    </w:pPr>
    <w:rPr>
      <w:b/>
      <w:bCs/>
      <w:kern w:val="0"/>
      <w:sz w:val="28"/>
    </w:rPr>
  </w:style>
  <w:style w:type="character" w:customStyle="1" w:styleId="45">
    <w:name w:val="正文文本缩进 Char"/>
    <w:link w:val="9"/>
    <w:autoRedefine/>
    <w:qFormat/>
    <w:locked/>
    <w:uiPriority w:val="0"/>
    <w:rPr>
      <w:sz w:val="24"/>
    </w:rPr>
  </w:style>
  <w:style w:type="character" w:customStyle="1" w:styleId="46">
    <w:name w:val="批注文字 Char"/>
    <w:basedOn w:val="24"/>
    <w:link w:val="7"/>
    <w:autoRedefine/>
    <w:qFormat/>
    <w:uiPriority w:val="0"/>
    <w:rPr>
      <w:kern w:val="2"/>
      <w:sz w:val="21"/>
      <w:szCs w:val="21"/>
    </w:rPr>
  </w:style>
  <w:style w:type="character" w:customStyle="1" w:styleId="47">
    <w:name w:val="批注主题 Char"/>
    <w:basedOn w:val="46"/>
    <w:link w:val="21"/>
    <w:autoRedefine/>
    <w:qFormat/>
    <w:uiPriority w:val="0"/>
    <w:rPr>
      <w:b/>
      <w:bCs/>
      <w:kern w:val="2"/>
      <w:sz w:val="21"/>
      <w:szCs w:val="21"/>
    </w:rPr>
  </w:style>
  <w:style w:type="character" w:customStyle="1" w:styleId="48">
    <w:name w:val="文档结构图 Char"/>
    <w:basedOn w:val="24"/>
    <w:link w:val="5"/>
    <w:autoRedefine/>
    <w:qFormat/>
    <w:uiPriority w:val="0"/>
    <w:rPr>
      <w:rFonts w:ascii="宋体"/>
      <w:kern w:val="2"/>
      <w:sz w:val="18"/>
      <w:szCs w:val="18"/>
    </w:rPr>
  </w:style>
  <w:style w:type="character" w:customStyle="1" w:styleId="49">
    <w:name w:val="批注框文本 Char"/>
    <w:basedOn w:val="24"/>
    <w:link w:val="13"/>
    <w:autoRedefine/>
    <w:qFormat/>
    <w:uiPriority w:val="0"/>
    <w:rPr>
      <w:kern w:val="2"/>
      <w:sz w:val="18"/>
      <w:szCs w:val="18"/>
    </w:rPr>
  </w:style>
  <w:style w:type="table" w:customStyle="1" w:styleId="50">
    <w:name w:val="Table Normal"/>
    <w:autoRedefine/>
    <w:unhideWhenUsed/>
    <w:qFormat/>
    <w:uiPriority w:val="0"/>
    <w:tblPr>
      <w:tblCellMar>
        <w:top w:w="0" w:type="dxa"/>
        <w:left w:w="0" w:type="dxa"/>
        <w:bottom w:w="0" w:type="dxa"/>
        <w:right w:w="0" w:type="dxa"/>
      </w:tblCellMar>
    </w:tblPr>
  </w:style>
  <w:style w:type="paragraph" w:customStyle="1" w:styleId="51">
    <w:name w:val="Table Text"/>
    <w:basedOn w:val="1"/>
    <w:autoRedefine/>
    <w:semiHidden/>
    <w:qFormat/>
    <w:uiPriority w:val="0"/>
    <w:rPr>
      <w:rFonts w:ascii="宋体" w:hAnsi="宋体" w:cs="宋体"/>
      <w:sz w:val="24"/>
      <w:szCs w:val="24"/>
      <w:lang w:eastAsia="en-US"/>
    </w:rPr>
  </w:style>
  <w:style w:type="paragraph" w:customStyle="1" w:styleId="52">
    <w:name w:val="Table Paragraph"/>
    <w:basedOn w:val="1"/>
    <w:autoRedefine/>
    <w:qFormat/>
    <w:uiPriority w:val="1"/>
  </w:style>
  <w:style w:type="character" w:customStyle="1" w:styleId="53">
    <w:name w:val="font21"/>
    <w:basedOn w:val="24"/>
    <w:autoRedefine/>
    <w:qFormat/>
    <w:uiPriority w:val="0"/>
    <w:rPr>
      <w:rFonts w:hint="default" w:ascii="Times New Roman" w:hAnsi="Times New Roman" w:cs="Times New Roman"/>
      <w:color w:val="000000"/>
      <w:sz w:val="21"/>
      <w:szCs w:val="21"/>
      <w:u w:val="none"/>
    </w:rPr>
  </w:style>
  <w:style w:type="character" w:customStyle="1" w:styleId="54">
    <w:name w:val="font31"/>
    <w:basedOn w:val="24"/>
    <w:qFormat/>
    <w:uiPriority w:val="0"/>
    <w:rPr>
      <w:rFonts w:hint="eastAsia" w:ascii="宋体" w:hAnsi="宋体" w:eastAsia="宋体" w:cs="宋体"/>
      <w:color w:val="000000"/>
      <w:sz w:val="24"/>
      <w:szCs w:val="24"/>
      <w:u w:val="none"/>
    </w:rPr>
  </w:style>
  <w:style w:type="paragraph" w:customStyle="1" w:styleId="55">
    <w:name w:val="Char Char1"/>
    <w:qFormat/>
    <w:uiPriority w:val="0"/>
    <w:pPr>
      <w:widowControl w:val="0"/>
      <w:spacing w:line="360" w:lineRule="auto"/>
      <w:ind w:firstLine="200" w:firstLineChars="200"/>
      <w:jc w:val="both"/>
    </w:pPr>
    <w:rPr>
      <w:rFonts w:ascii="宋体" w:hAnsi="宋体" w:eastAsia="宋体" w:cs="Times New Roman"/>
      <w:sz w:val="24"/>
      <w:szCs w:val="24"/>
      <w:lang w:val="en-US" w:eastAsia="zh-CN" w:bidi="ar-SA"/>
    </w:rPr>
  </w:style>
  <w:style w:type="character" w:customStyle="1" w:styleId="56">
    <w:name w:val="创业正文 Char"/>
    <w:link w:val="57"/>
    <w:qFormat/>
    <w:uiPriority w:val="99"/>
    <w:rPr>
      <w:rFonts w:ascii="Times New Roman" w:hAnsi="Times New Roman"/>
      <w:bCs/>
      <w:sz w:val="24"/>
      <w:szCs w:val="28"/>
      <w:lang w:val="zh-CN"/>
    </w:rPr>
  </w:style>
  <w:style w:type="paragraph" w:customStyle="1" w:styleId="57">
    <w:name w:val="创业正文"/>
    <w:basedOn w:val="1"/>
    <w:link w:val="56"/>
    <w:qFormat/>
    <w:uiPriority w:val="99"/>
    <w:pPr>
      <w:widowControl/>
      <w:autoSpaceDE w:val="0"/>
      <w:autoSpaceDN w:val="0"/>
      <w:adjustRightInd w:val="0"/>
      <w:spacing w:line="480" w:lineRule="exact"/>
      <w:ind w:firstLine="480" w:firstLineChars="200"/>
      <w:jc w:val="left"/>
    </w:pPr>
    <w:rPr>
      <w:bCs/>
      <w:sz w:val="24"/>
      <w:szCs w:val="28"/>
      <w:lang w:val="zh-CN"/>
    </w:rPr>
  </w:style>
  <w:style w:type="paragraph" w:customStyle="1" w:styleId="58">
    <w:name w:val="1表格"/>
    <w:basedOn w:val="1"/>
    <w:qFormat/>
    <w:uiPriority w:val="0"/>
    <w:pPr>
      <w:spacing w:line="160" w:lineRule="atLeast"/>
      <w:jc w:val="center"/>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wmf"/><Relationship Id="rId30" Type="http://schemas.openxmlformats.org/officeDocument/2006/relationships/oleObject" Target="embeddings/oleObject6.bin"/><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100</Pages>
  <Words>23995</Words>
  <Characters>25511</Characters>
  <Lines>714</Lines>
  <Paragraphs>201</Paragraphs>
  <TotalTime>15</TotalTime>
  <ScaleCrop>false</ScaleCrop>
  <LinksUpToDate>false</LinksUpToDate>
  <CharactersWithSpaces>25530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2022-04-18T12:46:00Z</dcterms:created>
  <dc:creator>不到160不改名</dc:creator>
  <cp:lastModifiedBy>球球</cp:lastModifiedBy>
  <cp:lastPrinted>2025-02-07T07:29:00Z</cp:lastPrinted>
  <dcterms:modified xsi:type="dcterms:W3CDTF">2025-03-10T06:42:44Z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8569DB1474D8477C9C39B0CBD08F868E_13</vt:lpwstr>
  </property>
  <property fmtid="{D5CDD505-2E9C-101B-9397-08002B2CF9AE}" pid="4" name="KSOTemplateDocerSaveRecord">
    <vt:lpwstr>eyJoZGlkIjoiYWZhMzA0MTE2MGQ3ODcwOTgyMWY3NzY0ZDhkYzQxODciLCJ1c2VySWQiOiIzODk2NzQyOTcifQ==</vt:lpwstr>
  </property>
</Properties>
</file>