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38127B">
      <w:pPr>
        <w:pStyle w:val="22"/>
        <w:keepNext w:val="0"/>
        <w:keepLines w:val="0"/>
        <w:pageBreakBefore/>
        <w:widowControl/>
        <w:kinsoku/>
        <w:wordWrap/>
        <w:overflowPunct/>
        <w:topLinePunct w:val="0"/>
        <w:autoSpaceDE/>
        <w:autoSpaceDN/>
        <w:bidi w:val="0"/>
        <w:adjustRightInd/>
        <w:snapToGrid/>
        <w:spacing w:before="0" w:beforeAutospacing="0" w:after="0" w:afterAutospacing="0"/>
        <w:contextualSpacing/>
        <w:jc w:val="center"/>
        <w:textAlignment w:val="auto"/>
        <w:outlineLvl w:val="0"/>
        <w:rPr>
          <w:rFonts w:hint="default" w:ascii="Times New Roman" w:hAnsi="Times New Roman" w:eastAsia="黑体" w:cs="Times New Roman"/>
          <w:snapToGrid w:val="0"/>
          <w:color w:val="auto"/>
          <w:sz w:val="30"/>
          <w:szCs w:val="30"/>
        </w:rPr>
      </w:pPr>
      <w:bookmarkStart w:id="0" w:name="_Toc20238"/>
      <w:r>
        <w:rPr>
          <w:rFonts w:hint="default" w:ascii="Times New Roman" w:hAnsi="Times New Roman" w:eastAsia="黑体" w:cs="Times New Roman"/>
          <w:snapToGrid w:val="0"/>
          <w:color w:val="auto"/>
          <w:sz w:val="30"/>
          <w:szCs w:val="30"/>
        </w:rPr>
        <w:drawing>
          <wp:inline distT="0" distB="0" distL="114300" distR="114300">
            <wp:extent cx="5755640" cy="8145780"/>
            <wp:effectExtent l="0" t="0" r="5080" b="7620"/>
            <wp:docPr id="24" name="图片 24" descr="盖章封面+资质 (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盖章封面+资质 (2)_00"/>
                    <pic:cNvPicPr>
                      <a:picLocks noChangeAspect="1"/>
                    </pic:cNvPicPr>
                  </pic:nvPicPr>
                  <pic:blipFill>
                    <a:blip r:embed="rId12"/>
                    <a:stretch>
                      <a:fillRect/>
                    </a:stretch>
                  </pic:blipFill>
                  <pic:spPr>
                    <a:xfrm>
                      <a:off x="0" y="0"/>
                      <a:ext cx="5755640" cy="8145780"/>
                    </a:xfrm>
                    <a:prstGeom prst="rect">
                      <a:avLst/>
                    </a:prstGeom>
                  </pic:spPr>
                </pic:pic>
              </a:graphicData>
            </a:graphic>
          </wp:inline>
        </w:drawing>
      </w:r>
    </w:p>
    <w:p w14:paraId="2C994EEA">
      <w:pPr>
        <w:pStyle w:val="22"/>
        <w:keepNext w:val="0"/>
        <w:keepLines w:val="0"/>
        <w:pageBreakBefore/>
        <w:widowControl/>
        <w:kinsoku/>
        <w:wordWrap/>
        <w:overflowPunct/>
        <w:topLinePunct w:val="0"/>
        <w:autoSpaceDE/>
        <w:autoSpaceDN/>
        <w:bidi w:val="0"/>
        <w:adjustRightInd/>
        <w:snapToGrid/>
        <w:spacing w:before="0" w:beforeAutospacing="0" w:after="0" w:afterAutospacing="0"/>
        <w:contextualSpacing/>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drawing>
          <wp:inline distT="0" distB="0" distL="114300" distR="114300">
            <wp:extent cx="5755005" cy="8121015"/>
            <wp:effectExtent l="0" t="0" r="5715" b="1905"/>
            <wp:docPr id="21" name="图片 21" descr="盖章封面+资质 (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盖章封面+资质 (2)_01"/>
                    <pic:cNvPicPr>
                      <a:picLocks noChangeAspect="1"/>
                    </pic:cNvPicPr>
                  </pic:nvPicPr>
                  <pic:blipFill>
                    <a:blip r:embed="rId13"/>
                    <a:stretch>
                      <a:fillRect/>
                    </a:stretch>
                  </pic:blipFill>
                  <pic:spPr>
                    <a:xfrm>
                      <a:off x="0" y="0"/>
                      <a:ext cx="5755005" cy="8121015"/>
                    </a:xfrm>
                    <a:prstGeom prst="rect">
                      <a:avLst/>
                    </a:prstGeom>
                  </pic:spPr>
                </pic:pic>
              </a:graphicData>
            </a:graphic>
          </wp:inline>
        </w:drawing>
      </w:r>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t>一、建设项目基本情况</w:t>
      </w:r>
      <w:bookmarkEnd w:id="0"/>
    </w:p>
    <w:tbl>
      <w:tblPr>
        <w:tblStyle w:val="27"/>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9"/>
        <w:gridCol w:w="1115"/>
        <w:gridCol w:w="1913"/>
        <w:gridCol w:w="1932"/>
        <w:gridCol w:w="3325"/>
      </w:tblGrid>
      <w:tr w14:paraId="75EF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8CFF32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7170" w:type="dxa"/>
            <w:gridSpan w:val="3"/>
            <w:vAlign w:val="center"/>
          </w:tcPr>
          <w:p w14:paraId="19D260D1">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新建年产1万只风机叶轮、1500套风机外壳和1000台风机项目</w:t>
            </w:r>
          </w:p>
        </w:tc>
      </w:tr>
      <w:tr w14:paraId="3F24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58834B81">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项目代码</w:t>
            </w:r>
          </w:p>
        </w:tc>
        <w:tc>
          <w:tcPr>
            <w:tcW w:w="7170" w:type="dxa"/>
            <w:gridSpan w:val="3"/>
            <w:vAlign w:val="center"/>
          </w:tcPr>
          <w:p w14:paraId="22FBB4A1">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eastAsia="zh-CN"/>
              </w:rPr>
              <w:t>2410-320413-04-01-326489</w:t>
            </w:r>
          </w:p>
        </w:tc>
      </w:tr>
      <w:tr w14:paraId="4814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588FEDF9">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建设单位联系人</w:t>
            </w:r>
          </w:p>
        </w:tc>
        <w:tc>
          <w:tcPr>
            <w:tcW w:w="1913" w:type="dxa"/>
            <w:vAlign w:val="center"/>
          </w:tcPr>
          <w:p w14:paraId="42EF07CA">
            <w:pPr>
              <w:adjustRightInd w:val="0"/>
              <w:snapToGrid w:val="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王</w:t>
            </w:r>
            <w:r>
              <w:rPr>
                <w:rFonts w:hint="eastAsia" w:cs="Times New Roman"/>
                <w:color w:val="auto"/>
                <w:sz w:val="24"/>
                <w:lang w:val="en-US" w:eastAsia="zh-CN"/>
              </w:rPr>
              <w:t>**</w:t>
            </w:r>
          </w:p>
        </w:tc>
        <w:tc>
          <w:tcPr>
            <w:tcW w:w="1932" w:type="dxa"/>
            <w:vAlign w:val="center"/>
          </w:tcPr>
          <w:p w14:paraId="5CDA0FF5">
            <w:pPr>
              <w:adjustRightInd w:val="0"/>
              <w:snapToGrid w:val="0"/>
              <w:jc w:val="center"/>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联系方式</w:t>
            </w:r>
          </w:p>
        </w:tc>
        <w:tc>
          <w:tcPr>
            <w:tcW w:w="3325" w:type="dxa"/>
            <w:vAlign w:val="center"/>
          </w:tcPr>
          <w:p w14:paraId="2879F8F3">
            <w:pPr>
              <w:adjustRightInd w:val="0"/>
              <w:snapToGrid w:val="0"/>
              <w:jc w:val="center"/>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136</w:t>
            </w:r>
            <w:r>
              <w:rPr>
                <w:rFonts w:hint="eastAsia" w:cs="Times New Roman"/>
                <w:color w:val="auto"/>
                <w:sz w:val="24"/>
                <w:lang w:val="en-US" w:eastAsia="zh-CN"/>
              </w:rPr>
              <w:t>****</w:t>
            </w:r>
            <w:r>
              <w:rPr>
                <w:rFonts w:hint="default" w:ascii="Times New Roman" w:hAnsi="Times New Roman" w:cs="Times New Roman"/>
                <w:color w:val="auto"/>
                <w:sz w:val="24"/>
                <w:lang w:val="en-US" w:eastAsia="zh-CN"/>
              </w:rPr>
              <w:t>5992</w:t>
            </w:r>
          </w:p>
        </w:tc>
      </w:tr>
      <w:tr w14:paraId="0184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702767CB">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7170" w:type="dxa"/>
            <w:gridSpan w:val="3"/>
            <w:vAlign w:val="center"/>
          </w:tcPr>
          <w:p w14:paraId="5F50EBC1">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常州市金坛区良常中路249号32号</w:t>
            </w:r>
          </w:p>
        </w:tc>
      </w:tr>
      <w:tr w14:paraId="32E5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D3F2958">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地理坐标</w:t>
            </w:r>
          </w:p>
        </w:tc>
        <w:tc>
          <w:tcPr>
            <w:tcW w:w="7170" w:type="dxa"/>
            <w:gridSpan w:val="3"/>
            <w:vAlign w:val="center"/>
          </w:tcPr>
          <w:p w14:paraId="5B5B7DA9">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u w:val="single"/>
              </w:rPr>
              <w:t>119</w:t>
            </w:r>
            <w:r>
              <w:rPr>
                <w:rFonts w:hint="default" w:ascii="Times New Roman" w:hAnsi="Times New Roman" w:eastAsia="宋体" w:cs="Times New Roman"/>
                <w:color w:val="auto"/>
                <w:sz w:val="24"/>
                <w:highlight w:val="none"/>
              </w:rPr>
              <w:t>度</w:t>
            </w:r>
            <w:r>
              <w:rPr>
                <w:rFonts w:hint="default" w:ascii="Times New Roman" w:hAnsi="Times New Roman" w:cs="Times New Roman"/>
                <w:color w:val="auto"/>
                <w:sz w:val="24"/>
                <w:highlight w:val="none"/>
                <w:u w:val="single"/>
                <w:lang w:val="en-US" w:eastAsia="zh-CN"/>
              </w:rPr>
              <w:t>33</w:t>
            </w:r>
            <w:r>
              <w:rPr>
                <w:rFonts w:hint="default" w:ascii="Times New Roman" w:hAnsi="Times New Roman" w:eastAsia="宋体" w:cs="Times New Roman"/>
                <w:color w:val="auto"/>
                <w:sz w:val="24"/>
                <w:highlight w:val="none"/>
              </w:rPr>
              <w:t>分</w:t>
            </w:r>
            <w:r>
              <w:rPr>
                <w:rFonts w:hint="default" w:ascii="Times New Roman" w:hAnsi="Times New Roman" w:cs="Times New Roman"/>
                <w:color w:val="auto"/>
                <w:sz w:val="24"/>
                <w:highlight w:val="none"/>
                <w:u w:val="single"/>
                <w:lang w:val="en-US" w:eastAsia="zh-CN"/>
              </w:rPr>
              <w:t>38.024</w:t>
            </w:r>
            <w:r>
              <w:rPr>
                <w:rFonts w:hint="default" w:ascii="Times New Roman" w:hAnsi="Times New Roman" w:eastAsia="宋体" w:cs="Times New Roman"/>
                <w:color w:val="auto"/>
                <w:sz w:val="24"/>
                <w:highlight w:val="none"/>
              </w:rPr>
              <w:t>秒，</w:t>
            </w:r>
            <w:r>
              <w:rPr>
                <w:rFonts w:hint="default" w:ascii="Times New Roman" w:hAnsi="Times New Roman" w:eastAsia="宋体" w:cs="Times New Roman"/>
                <w:color w:val="auto"/>
                <w:sz w:val="24"/>
                <w:highlight w:val="none"/>
                <w:u w:val="single"/>
              </w:rPr>
              <w:t>31</w:t>
            </w:r>
            <w:r>
              <w:rPr>
                <w:rFonts w:hint="default" w:ascii="Times New Roman" w:hAnsi="Times New Roman" w:eastAsia="宋体" w:cs="Times New Roman"/>
                <w:color w:val="auto"/>
                <w:sz w:val="24"/>
                <w:highlight w:val="none"/>
              </w:rPr>
              <w:t>度</w:t>
            </w:r>
            <w:r>
              <w:rPr>
                <w:rFonts w:hint="default" w:ascii="Times New Roman" w:hAnsi="Times New Roman" w:eastAsia="宋体" w:cs="Times New Roman"/>
                <w:color w:val="auto"/>
                <w:sz w:val="24"/>
                <w:highlight w:val="none"/>
                <w:u w:val="single"/>
              </w:rPr>
              <w:t>4</w:t>
            </w:r>
            <w:r>
              <w:rPr>
                <w:rFonts w:hint="default" w:ascii="Times New Roman" w:hAnsi="Times New Roman" w:cs="Times New Roman"/>
                <w:color w:val="auto"/>
                <w:sz w:val="24"/>
                <w:highlight w:val="none"/>
                <w:u w:val="single"/>
                <w:lang w:val="en-US" w:eastAsia="zh-CN"/>
              </w:rPr>
              <w:t>5</w:t>
            </w:r>
            <w:r>
              <w:rPr>
                <w:rFonts w:hint="default" w:ascii="Times New Roman" w:hAnsi="Times New Roman" w:eastAsia="宋体" w:cs="Times New Roman"/>
                <w:color w:val="auto"/>
                <w:sz w:val="24"/>
                <w:highlight w:val="none"/>
              </w:rPr>
              <w:t>分</w:t>
            </w:r>
            <w:r>
              <w:rPr>
                <w:rFonts w:hint="default" w:ascii="Times New Roman" w:hAnsi="Times New Roman" w:cs="Times New Roman"/>
                <w:color w:val="auto"/>
                <w:sz w:val="24"/>
                <w:highlight w:val="none"/>
                <w:u w:val="single"/>
                <w:lang w:val="en-US" w:eastAsia="zh-CN"/>
              </w:rPr>
              <w:t>44.802</w:t>
            </w:r>
            <w:r>
              <w:rPr>
                <w:rFonts w:hint="default" w:ascii="Times New Roman" w:hAnsi="Times New Roman" w:eastAsia="宋体" w:cs="Times New Roman"/>
                <w:color w:val="auto"/>
                <w:sz w:val="24"/>
                <w:highlight w:val="none"/>
              </w:rPr>
              <w:t>秒）</w:t>
            </w:r>
          </w:p>
        </w:tc>
      </w:tr>
      <w:tr w14:paraId="0715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14:paraId="03297A7D">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国民经济</w:t>
            </w:r>
          </w:p>
          <w:p w14:paraId="772FF356">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1913" w:type="dxa"/>
            <w:vAlign w:val="center"/>
          </w:tcPr>
          <w:p w14:paraId="316706F2">
            <w:pPr>
              <w:adjustRightInd w:val="0"/>
              <w:snapToGrid w:val="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C2929塑料零件及其他塑料制品制造</w:t>
            </w:r>
          </w:p>
        </w:tc>
        <w:tc>
          <w:tcPr>
            <w:tcW w:w="1932" w:type="dxa"/>
            <w:vAlign w:val="center"/>
          </w:tcPr>
          <w:p w14:paraId="6E05A24B">
            <w:pPr>
              <w:adjustRightInd w:val="0"/>
              <w:snapToGrid w:val="0"/>
              <w:jc w:val="center"/>
              <w:rPr>
                <w:rFonts w:hint="default" w:ascii="Times New Roman" w:hAnsi="Times New Roman" w:eastAsia="宋体" w:cs="Times New Roman"/>
                <w:color w:val="auto"/>
                <w:sz w:val="24"/>
              </w:rPr>
            </w:pPr>
            <w:bookmarkStart w:id="1" w:name="_Hlk49843745"/>
            <w:r>
              <w:rPr>
                <w:rFonts w:hint="default" w:ascii="Times New Roman" w:hAnsi="Times New Roman" w:eastAsia="宋体" w:cs="Times New Roman"/>
                <w:color w:val="auto"/>
                <w:sz w:val="24"/>
              </w:rPr>
              <w:t>建设项目</w:t>
            </w:r>
          </w:p>
          <w:p w14:paraId="2F439133">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bookmarkEnd w:id="1"/>
          </w:p>
        </w:tc>
        <w:tc>
          <w:tcPr>
            <w:tcW w:w="3325" w:type="dxa"/>
            <w:vAlign w:val="center"/>
          </w:tcPr>
          <w:p w14:paraId="4070056B">
            <w:pPr>
              <w:keepNext w:val="0"/>
              <w:keepLines w:val="0"/>
              <w:widowControl/>
              <w:suppressLineNumbers w:val="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lang w:val="en-US" w:eastAsia="zh-CN"/>
              </w:rPr>
              <w:t>二十六、橡胶和塑料制品业-53塑料制品业292</w:t>
            </w:r>
          </w:p>
        </w:tc>
      </w:tr>
      <w:tr w14:paraId="1190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14:paraId="68354E89">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tc>
        <w:tc>
          <w:tcPr>
            <w:tcW w:w="1913" w:type="dxa"/>
            <w:vAlign w:val="center"/>
          </w:tcPr>
          <w:p w14:paraId="7ED6CD8F">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√新建（迁建）</w:t>
            </w:r>
          </w:p>
          <w:p w14:paraId="51134518">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改建</w:t>
            </w:r>
          </w:p>
          <w:p w14:paraId="692C84BB">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扩建</w:t>
            </w:r>
          </w:p>
          <w:p w14:paraId="40BD3F92">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技术改造</w:t>
            </w:r>
          </w:p>
        </w:tc>
        <w:tc>
          <w:tcPr>
            <w:tcW w:w="1932" w:type="dxa"/>
            <w:vAlign w:val="center"/>
          </w:tcPr>
          <w:p w14:paraId="4A214C4D">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190CA623">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申报情形</w:t>
            </w:r>
          </w:p>
        </w:tc>
        <w:tc>
          <w:tcPr>
            <w:tcW w:w="3325" w:type="dxa"/>
            <w:vAlign w:val="center"/>
          </w:tcPr>
          <w:p w14:paraId="316C1BDA">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√首次申报项目</w:t>
            </w:r>
          </w:p>
          <w:p w14:paraId="75A5C3AC">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不予批准后再次申报项目</w:t>
            </w:r>
          </w:p>
          <w:p w14:paraId="7D667DB8">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超五年重新审核项目</w:t>
            </w:r>
          </w:p>
          <w:p w14:paraId="66941BCD">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重大变动重新报批项目</w:t>
            </w:r>
          </w:p>
        </w:tc>
      </w:tr>
      <w:tr w14:paraId="4071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14:paraId="57F7B12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项目审批部门</w:t>
            </w:r>
          </w:p>
        </w:tc>
        <w:tc>
          <w:tcPr>
            <w:tcW w:w="1913" w:type="dxa"/>
            <w:vAlign w:val="center"/>
          </w:tcPr>
          <w:p w14:paraId="13D4A2AD">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常州市金坛区发展和改革局</w:t>
            </w:r>
          </w:p>
        </w:tc>
        <w:tc>
          <w:tcPr>
            <w:tcW w:w="1932" w:type="dxa"/>
            <w:vAlign w:val="center"/>
          </w:tcPr>
          <w:p w14:paraId="1CC95F8B">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项目审批文号</w:t>
            </w:r>
          </w:p>
        </w:tc>
        <w:tc>
          <w:tcPr>
            <w:tcW w:w="3325" w:type="dxa"/>
            <w:vAlign w:val="center"/>
          </w:tcPr>
          <w:p w14:paraId="754AFEEA">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坛发改备〔2024〕534号</w:t>
            </w:r>
          </w:p>
        </w:tc>
      </w:tr>
      <w:tr w14:paraId="5778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69744E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总投资（万元）</w:t>
            </w:r>
          </w:p>
        </w:tc>
        <w:tc>
          <w:tcPr>
            <w:tcW w:w="1913" w:type="dxa"/>
            <w:vAlign w:val="center"/>
          </w:tcPr>
          <w:p w14:paraId="74A87DF8">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400</w:t>
            </w:r>
          </w:p>
        </w:tc>
        <w:tc>
          <w:tcPr>
            <w:tcW w:w="1932" w:type="dxa"/>
            <w:tcMar>
              <w:top w:w="16" w:type="dxa"/>
              <w:left w:w="16" w:type="dxa"/>
              <w:right w:w="16" w:type="dxa"/>
            </w:tcMar>
            <w:vAlign w:val="center"/>
          </w:tcPr>
          <w:p w14:paraId="2D27B432">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环保投资（万元）</w:t>
            </w:r>
          </w:p>
        </w:tc>
        <w:tc>
          <w:tcPr>
            <w:tcW w:w="3325" w:type="dxa"/>
            <w:vAlign w:val="center"/>
          </w:tcPr>
          <w:p w14:paraId="71D570F8">
            <w:pPr>
              <w:adjustRightInd w:val="0"/>
              <w:snapToGrid w:val="0"/>
              <w:jc w:val="center"/>
              <w:rPr>
                <w:rFonts w:hint="default" w:ascii="Times New Roman" w:hAnsi="Times New Roman" w:eastAsia="宋体" w:cs="Times New Roman"/>
                <w:color w:val="auto"/>
                <w:sz w:val="24"/>
                <w:lang w:val="en-US"/>
              </w:rPr>
            </w:pPr>
            <w:r>
              <w:rPr>
                <w:rFonts w:hint="default" w:ascii="Times New Roman" w:hAnsi="Times New Roman" w:cs="Times New Roman"/>
                <w:color w:val="auto"/>
                <w:sz w:val="24"/>
                <w:lang w:val="en-US" w:eastAsia="zh-CN"/>
              </w:rPr>
              <w:t>10</w:t>
            </w:r>
          </w:p>
        </w:tc>
      </w:tr>
      <w:tr w14:paraId="6CB1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72A1038F">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环保投资占比（%）</w:t>
            </w:r>
          </w:p>
        </w:tc>
        <w:tc>
          <w:tcPr>
            <w:tcW w:w="1913" w:type="dxa"/>
            <w:vAlign w:val="center"/>
          </w:tcPr>
          <w:p w14:paraId="7DF5DDEC">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2.5</w:t>
            </w:r>
          </w:p>
        </w:tc>
        <w:tc>
          <w:tcPr>
            <w:tcW w:w="1932" w:type="dxa"/>
            <w:tcMar>
              <w:top w:w="16" w:type="dxa"/>
              <w:left w:w="16" w:type="dxa"/>
              <w:right w:w="16" w:type="dxa"/>
            </w:tcMar>
            <w:vAlign w:val="center"/>
          </w:tcPr>
          <w:p w14:paraId="0D2118BF">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施工工期</w:t>
            </w:r>
          </w:p>
        </w:tc>
        <w:tc>
          <w:tcPr>
            <w:tcW w:w="3325" w:type="dxa"/>
            <w:vAlign w:val="center"/>
          </w:tcPr>
          <w:p w14:paraId="06A4F1ED">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2个月</w:t>
            </w:r>
          </w:p>
        </w:tc>
      </w:tr>
      <w:tr w14:paraId="526C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3DCE4DDD">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是否开工建设</w:t>
            </w:r>
          </w:p>
        </w:tc>
        <w:tc>
          <w:tcPr>
            <w:tcW w:w="1913" w:type="dxa"/>
            <w:vAlign w:val="center"/>
          </w:tcPr>
          <w:p w14:paraId="6043B63A">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√否</w:t>
            </w:r>
          </w:p>
          <w:p w14:paraId="7B3AB251">
            <w:pPr>
              <w:adjustRightInd w:val="0"/>
              <w:snapToGrid w:val="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是：</w:t>
            </w:r>
          </w:p>
        </w:tc>
        <w:tc>
          <w:tcPr>
            <w:tcW w:w="1932" w:type="dxa"/>
            <w:tcMar>
              <w:top w:w="16" w:type="dxa"/>
              <w:left w:w="16" w:type="dxa"/>
              <w:right w:w="16" w:type="dxa"/>
            </w:tcMar>
            <w:vAlign w:val="center"/>
          </w:tcPr>
          <w:p w14:paraId="0C09A1DE">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6"/>
                <w:sz w:val="24"/>
              </w:rPr>
              <w:t>用地面积（m</w:t>
            </w:r>
            <w:r>
              <w:rPr>
                <w:rFonts w:hint="default" w:ascii="Times New Roman" w:hAnsi="Times New Roman" w:eastAsia="宋体" w:cs="Times New Roman"/>
                <w:color w:val="auto"/>
                <w:spacing w:val="-6"/>
                <w:sz w:val="24"/>
                <w:vertAlign w:val="superscript"/>
              </w:rPr>
              <w:t>2</w:t>
            </w:r>
            <w:r>
              <w:rPr>
                <w:rFonts w:hint="default" w:ascii="Times New Roman" w:hAnsi="Times New Roman" w:eastAsia="宋体" w:cs="Times New Roman"/>
                <w:color w:val="auto"/>
                <w:spacing w:val="-6"/>
                <w:sz w:val="24"/>
              </w:rPr>
              <w:t>）</w:t>
            </w:r>
          </w:p>
        </w:tc>
        <w:tc>
          <w:tcPr>
            <w:tcW w:w="3325" w:type="dxa"/>
            <w:vAlign w:val="center"/>
          </w:tcPr>
          <w:p w14:paraId="46EC4C13">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4101（租用）</w:t>
            </w:r>
          </w:p>
        </w:tc>
      </w:tr>
      <w:tr w14:paraId="4EFF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734" w:type="dxa"/>
            <w:gridSpan w:val="2"/>
            <w:vAlign w:val="center"/>
          </w:tcPr>
          <w:p w14:paraId="66E051C0">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专项评价设置情况</w:t>
            </w:r>
          </w:p>
        </w:tc>
        <w:tc>
          <w:tcPr>
            <w:tcW w:w="7170" w:type="dxa"/>
            <w:gridSpan w:val="3"/>
            <w:vAlign w:val="center"/>
          </w:tcPr>
          <w:p w14:paraId="3B3D2280">
            <w:pPr>
              <w:autoSpaceDE w:val="0"/>
              <w:autoSpaceDN w:val="0"/>
              <w:adjustRightInd w:val="0"/>
              <w:snapToGrid w:val="0"/>
              <w:spacing w:line="50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无</w:t>
            </w:r>
          </w:p>
        </w:tc>
      </w:tr>
      <w:tr w14:paraId="4BF8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1734" w:type="dxa"/>
            <w:gridSpan w:val="2"/>
            <w:vAlign w:val="center"/>
          </w:tcPr>
          <w:p w14:paraId="0692DB62">
            <w:pPr>
              <w:autoSpaceDE w:val="0"/>
              <w:autoSpaceDN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规划情况</w:t>
            </w:r>
          </w:p>
        </w:tc>
        <w:tc>
          <w:tcPr>
            <w:tcW w:w="7170" w:type="dxa"/>
            <w:gridSpan w:val="3"/>
            <w:vAlign w:val="center"/>
          </w:tcPr>
          <w:p w14:paraId="66E618EA">
            <w:pPr>
              <w:pStyle w:val="90"/>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规划名称</w:t>
            </w:r>
            <w:r>
              <w:rPr>
                <w:rFonts w:hint="default" w:ascii="Times New Roman" w:hAnsi="Times New Roman" w:eastAsia="宋体" w:cs="Times New Roman"/>
                <w:color w:val="auto"/>
                <w:sz w:val="24"/>
                <w:szCs w:val="24"/>
                <w:lang w:val="en-US" w:eastAsia="zh-CN"/>
              </w:rPr>
              <w:t>：《金坛金城科技产业园发展规划（2023-2035年）》</w:t>
            </w:r>
          </w:p>
          <w:p w14:paraId="48D5368F">
            <w:pPr>
              <w:pStyle w:val="90"/>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审批机关：常州市人民政府</w:t>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t>审批文号：/</w:t>
            </w:r>
          </w:p>
        </w:tc>
      </w:tr>
      <w:tr w14:paraId="5C8B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1734" w:type="dxa"/>
            <w:gridSpan w:val="2"/>
            <w:vAlign w:val="center"/>
          </w:tcPr>
          <w:p w14:paraId="0AB91525">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规划环境影响</w:t>
            </w:r>
          </w:p>
          <w:p w14:paraId="6FB1891C">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评价情况</w:t>
            </w:r>
          </w:p>
        </w:tc>
        <w:tc>
          <w:tcPr>
            <w:tcW w:w="7170" w:type="dxa"/>
            <w:gridSpan w:val="3"/>
            <w:vAlign w:val="center"/>
          </w:tcPr>
          <w:p w14:paraId="6B2B7D7F">
            <w:pPr>
              <w:pStyle w:val="90"/>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规划环境影响评价文件名称：</w:t>
            </w:r>
            <w:r>
              <w:rPr>
                <w:rFonts w:hint="default" w:ascii="Times New Roman" w:hAnsi="Times New Roman" w:eastAsia="宋体" w:cs="Times New Roman"/>
                <w:color w:val="auto"/>
                <w:sz w:val="24"/>
                <w:szCs w:val="24"/>
                <w:lang w:eastAsia="zh-CN"/>
              </w:rPr>
              <w:t>金坛金城科技产业园发展规划（2023-2035年）环境影响报告书</w:t>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t>召集审查机关：常州市</w:t>
            </w:r>
            <w:r>
              <w:rPr>
                <w:rFonts w:hint="default" w:ascii="Times New Roman" w:hAnsi="Times New Roman" w:eastAsia="宋体" w:cs="Times New Roman"/>
                <w:color w:val="auto"/>
                <w:sz w:val="24"/>
                <w:szCs w:val="24"/>
                <w:lang w:val="en-US" w:eastAsia="zh-CN"/>
              </w:rPr>
              <w:t>生态</w:t>
            </w:r>
            <w:r>
              <w:rPr>
                <w:rFonts w:hint="default" w:ascii="Times New Roman" w:hAnsi="Times New Roman" w:eastAsia="宋体" w:cs="Times New Roman"/>
                <w:color w:val="auto"/>
                <w:sz w:val="24"/>
                <w:szCs w:val="24"/>
              </w:rPr>
              <w:t>环境局</w:t>
            </w:r>
          </w:p>
          <w:p w14:paraId="3B028DF9">
            <w:pPr>
              <w:pStyle w:val="90"/>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4"/>
              </w:rPr>
              <w:t>审查文件名称及文号：</w:t>
            </w:r>
            <w:r>
              <w:rPr>
                <w:rFonts w:hint="default" w:ascii="Times New Roman" w:hAnsi="Times New Roman" w:eastAsia="宋体" w:cs="Times New Roman"/>
                <w:color w:val="auto"/>
                <w:sz w:val="24"/>
                <w:szCs w:val="24"/>
                <w:lang w:eastAsia="zh-CN"/>
              </w:rPr>
              <w:t>常金环审〔2024〕40号</w:t>
            </w:r>
          </w:p>
        </w:tc>
      </w:tr>
      <w:tr w14:paraId="364D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3" w:hRule="atLeast"/>
          <w:jc w:val="center"/>
        </w:trPr>
        <w:tc>
          <w:tcPr>
            <w:tcW w:w="619" w:type="dxa"/>
            <w:vAlign w:val="center"/>
          </w:tcPr>
          <w:p w14:paraId="782655BC">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rPr>
              <w:t>规划及规划环境影响评价符合性分析</w:t>
            </w:r>
          </w:p>
        </w:tc>
        <w:tc>
          <w:tcPr>
            <w:tcW w:w="8285" w:type="dxa"/>
            <w:gridSpan w:val="4"/>
            <w:vAlign w:val="center"/>
          </w:tcPr>
          <w:p w14:paraId="7B4858FF">
            <w:pPr>
              <w:pStyle w:val="86"/>
              <w:keepNext w:val="0"/>
              <w:keepLines w:val="0"/>
              <w:pageBreakBefore w:val="0"/>
              <w:widowControl w:val="0"/>
              <w:kinsoku/>
              <w:wordWrap/>
              <w:overflowPunct/>
              <w:topLinePunct w:val="0"/>
              <w:autoSpaceDE/>
              <w:autoSpaceDN/>
              <w:bidi w:val="0"/>
              <w:adjustRightInd w:val="0"/>
              <w:snapToGrid w:val="0"/>
              <w:spacing w:line="500" w:lineRule="exact"/>
              <w:ind w:firstLine="482"/>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1、与规划符合性分析</w:t>
            </w:r>
          </w:p>
          <w:p w14:paraId="7B0BEE0C">
            <w:pPr>
              <w:pStyle w:val="95"/>
              <w:keepNext w:val="0"/>
              <w:keepLines w:val="0"/>
              <w:pageBreakBefore w:val="0"/>
              <w:widowControl w:val="0"/>
              <w:kinsoku/>
              <w:wordWrap/>
              <w:overflowPunct/>
              <w:topLinePunct w:val="0"/>
              <w:bidi w:val="0"/>
              <w:spacing w:line="500" w:lineRule="exact"/>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本项目位于金坛金城科技产业园，金城镇工业园产业定位为：基于现状产业基础，立足现有产业优势，规划重点发展高端装备制造、新能源新材料、生命健康、智慧物流四大主导产业，构建“3+1”的产业体系。本项目为C2929塑料零件及其他塑料制品制造，产品主要为风机和风机配件，属于高端装备制造配套产业。</w:t>
            </w:r>
          </w:p>
          <w:p w14:paraId="7F1D467F">
            <w:pPr>
              <w:keepNext w:val="0"/>
              <w:keepLines w:val="0"/>
              <w:pageBreakBefore w:val="0"/>
              <w:widowControl w:val="0"/>
              <w:tabs>
                <w:tab w:val="center" w:pos="4690"/>
              </w:tabs>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（2）根据园区土地利用规划，项目所在地为工业用地，本项目</w:t>
            </w:r>
            <w:r>
              <w:rPr>
                <w:rFonts w:hint="default" w:ascii="Times New Roman" w:hAnsi="Times New Roman" w:cs="Times New Roman"/>
                <w:color w:val="auto"/>
                <w:kern w:val="2"/>
                <w:sz w:val="24"/>
                <w:szCs w:val="24"/>
                <w:lang w:val="en-US" w:eastAsia="zh-CN" w:bidi="ar-SA"/>
              </w:rPr>
              <w:t>所租</w:t>
            </w:r>
            <w:r>
              <w:rPr>
                <w:rFonts w:hint="default" w:ascii="Times New Roman" w:hAnsi="Times New Roman" w:eastAsia="宋体" w:cs="Times New Roman"/>
                <w:color w:val="auto"/>
                <w:kern w:val="2"/>
                <w:sz w:val="24"/>
                <w:szCs w:val="24"/>
                <w:lang w:val="en-US" w:eastAsia="zh-CN" w:bidi="ar-SA"/>
              </w:rPr>
              <w:t>厂房已取得土地证和房屋产权证，性质为工业用地。因此本项目符合区域用地规划要求。</w:t>
            </w:r>
          </w:p>
          <w:p w14:paraId="5F7ABAE3">
            <w:pPr>
              <w:keepNext w:val="0"/>
              <w:keepLines w:val="0"/>
              <w:pageBreakBefore w:val="0"/>
              <w:widowControl w:val="0"/>
              <w:tabs>
                <w:tab w:val="center" w:pos="4690"/>
              </w:tabs>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根据园区环保基础设施规划:园区采用雨污分流的排水体制，污水分片收集后，经泵站提升进金坛第二污水处理厂集中处理，待金坛工业污水厂建成且相关管网敷设到位后，特殊产业及化工类污水由单独管道输送至金坛工业污水厂处理。本项目厂区属于金坛第二污水处理有限公司收水范围内，且项目周边污水管网已铺设到位，项目产生的生活污水能够顺利接入金坛第二污水处理有限公司集中处理。</w:t>
            </w:r>
          </w:p>
          <w:p w14:paraId="6E52C380">
            <w:pPr>
              <w:keepNext w:val="0"/>
              <w:keepLines w:val="0"/>
              <w:pageBreakBefore w:val="0"/>
              <w:widowControl w:val="0"/>
              <w:kinsoku/>
              <w:wordWrap/>
              <w:overflowPunct/>
              <w:topLinePunct w:val="0"/>
              <w:bidi w:val="0"/>
              <w:spacing w:line="500" w:lineRule="exact"/>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与规划环境影响评价符合性分析</w:t>
            </w:r>
          </w:p>
          <w:p w14:paraId="5B64A879">
            <w:pPr>
              <w:keepNext w:val="0"/>
              <w:keepLines w:val="0"/>
              <w:pageBreakBefore w:val="0"/>
              <w:widowControl w:val="0"/>
              <w:kinsoku/>
              <w:wordWrap/>
              <w:overflowPunct/>
              <w:topLinePunct w:val="0"/>
              <w:bidi w:val="0"/>
              <w:spacing w:line="500" w:lineRule="exact"/>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本项目位于</w:t>
            </w:r>
            <w:r>
              <w:rPr>
                <w:rFonts w:hint="default" w:ascii="Times New Roman" w:hAnsi="Times New Roman" w:cs="Times New Roman"/>
                <w:color w:val="auto"/>
                <w:sz w:val="24"/>
                <w:szCs w:val="24"/>
                <w:lang w:eastAsia="zh-CN"/>
              </w:rPr>
              <w:t>常州市金坛区良常中路249号32号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所在用地为工业用地，符合区域用地规划</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与《</w:t>
            </w:r>
            <w:r>
              <w:rPr>
                <w:rFonts w:hint="default" w:ascii="Times New Roman" w:hAnsi="Times New Roman" w:eastAsia="宋体" w:cs="Times New Roman"/>
                <w:color w:val="auto"/>
                <w:sz w:val="24"/>
                <w:szCs w:val="24"/>
                <w:lang w:eastAsia="zh-CN"/>
              </w:rPr>
              <w:t>金坛金城科技产业园发展规划（2023-2035年）环境影响报告书</w:t>
            </w:r>
            <w:r>
              <w:rPr>
                <w:rFonts w:hint="default" w:ascii="Times New Roman" w:hAnsi="Times New Roman" w:eastAsia="宋体" w:cs="Times New Roman"/>
                <w:color w:val="auto"/>
                <w:sz w:val="24"/>
                <w:szCs w:val="24"/>
              </w:rPr>
              <w:t>》及《关于</w:t>
            </w:r>
            <w:r>
              <w:rPr>
                <w:rFonts w:hint="default" w:ascii="Times New Roman" w:hAnsi="Times New Roman" w:eastAsia="宋体" w:cs="Times New Roman"/>
                <w:color w:val="auto"/>
                <w:sz w:val="24"/>
                <w:szCs w:val="24"/>
                <w:lang w:eastAsia="zh-CN"/>
              </w:rPr>
              <w:t>金坛金城科技产业园发展规划（2023-2035年）环境影响报告书</w:t>
            </w:r>
            <w:r>
              <w:rPr>
                <w:rFonts w:hint="default" w:ascii="Times New Roman" w:hAnsi="Times New Roman" w:eastAsia="宋体" w:cs="Times New Roman"/>
                <w:color w:val="auto"/>
                <w:sz w:val="24"/>
                <w:szCs w:val="24"/>
              </w:rPr>
              <w:t>审查意见》相符性分析</w:t>
            </w:r>
            <w:r>
              <w:rPr>
                <w:rFonts w:hint="default" w:ascii="Times New Roman" w:hAnsi="Times New Roman" w:eastAsia="宋体" w:cs="Times New Roman"/>
                <w:color w:val="auto"/>
                <w:kern w:val="0"/>
                <w:sz w:val="24"/>
                <w:szCs w:val="24"/>
              </w:rPr>
              <w:t>见下表：</w:t>
            </w:r>
          </w:p>
          <w:p w14:paraId="38877C4C">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cs="Times New Roman"/>
                <w:b/>
                <w:bCs/>
                <w:color w:val="auto"/>
                <w:sz w:val="21"/>
                <w:szCs w:val="21"/>
                <w:lang w:val="en-US" w:eastAsia="zh-CN"/>
              </w:rPr>
              <w:t>1</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金坛金城科技产业园发展规划环境影响报告书</w:t>
            </w:r>
            <w:r>
              <w:rPr>
                <w:rFonts w:hint="default" w:ascii="Times New Roman" w:hAnsi="Times New Roman" w:eastAsia="宋体" w:cs="Times New Roman"/>
                <w:b/>
                <w:bCs/>
                <w:color w:val="auto"/>
                <w:sz w:val="21"/>
                <w:szCs w:val="21"/>
              </w:rPr>
              <w:t>及审查意见相符性分析</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28" w:type="dxa"/>
                <w:left w:w="57" w:type="dxa"/>
                <w:bottom w:w="28" w:type="dxa"/>
                <w:right w:w="57" w:type="dxa"/>
              </w:tblCellMar>
            </w:tblPr>
            <w:tblGrid>
              <w:gridCol w:w="5020"/>
              <w:gridCol w:w="2228"/>
              <w:gridCol w:w="818"/>
            </w:tblGrid>
            <w:tr w14:paraId="01C7596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43086226">
                  <w:pPr>
                    <w:pStyle w:val="70"/>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区域环评审查意见</w:t>
                  </w:r>
                </w:p>
              </w:tc>
              <w:tc>
                <w:tcPr>
                  <w:tcW w:w="1381" w:type="pct"/>
                  <w:noWrap w:val="0"/>
                  <w:vAlign w:val="center"/>
                </w:tcPr>
                <w:p w14:paraId="09F6D0AE">
                  <w:pPr>
                    <w:pStyle w:val="70"/>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507" w:type="pct"/>
                  <w:noWrap w:val="0"/>
                  <w:vAlign w:val="center"/>
                </w:tcPr>
                <w:p w14:paraId="0591448D">
                  <w:pPr>
                    <w:pStyle w:val="70"/>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407D6C7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6914E290">
                  <w:pPr>
                    <w:contextualSpacing/>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highlight w:val="none"/>
                      <w:lang w:eastAsia="zh-CN"/>
                    </w:rPr>
                    <w:t>规划范围:东至老丹金溧漕河、南至良常路、西至新丹金溧漕河、北至新丹金溧漕河，规划面积11.8平方公里。</w:t>
                  </w:r>
                </w:p>
              </w:tc>
              <w:tc>
                <w:tcPr>
                  <w:tcW w:w="1381" w:type="pct"/>
                  <w:noWrap w:val="0"/>
                  <w:vAlign w:val="center"/>
                </w:tcPr>
                <w:p w14:paraId="63A1A2AD">
                  <w:pPr>
                    <w:contextualSpacing/>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highlight w:val="none"/>
                    </w:rPr>
                    <w:t>项目位于</w:t>
                  </w:r>
                  <w:r>
                    <w:rPr>
                      <w:rFonts w:hint="default" w:ascii="Times New Roman" w:hAnsi="Times New Roman" w:cs="Times New Roman"/>
                      <w:color w:val="auto"/>
                      <w:sz w:val="21"/>
                      <w:szCs w:val="21"/>
                      <w:lang w:eastAsia="zh-CN"/>
                    </w:rPr>
                    <w:t>金坛金城镇良常中路249号32号</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eastAsia="zh-CN"/>
                    </w:rPr>
                    <w:t>属于</w:t>
                  </w:r>
                  <w:r>
                    <w:rPr>
                      <w:rFonts w:hint="default" w:ascii="Times New Roman" w:hAnsi="Times New Roman" w:cs="Times New Roman"/>
                      <w:color w:val="auto"/>
                      <w:kern w:val="0"/>
                      <w:sz w:val="21"/>
                      <w:szCs w:val="21"/>
                      <w:lang w:eastAsia="zh-CN"/>
                    </w:rPr>
                    <w:t>金坛金城科技产业园范围</w:t>
                  </w:r>
                </w:p>
              </w:tc>
              <w:tc>
                <w:tcPr>
                  <w:tcW w:w="507" w:type="pct"/>
                  <w:noWrap w:val="0"/>
                  <w:vAlign w:val="center"/>
                </w:tcPr>
                <w:p w14:paraId="3B186282">
                  <w:pPr>
                    <w:pStyle w:val="7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4211839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5B8330D0">
                  <w:pPr>
                    <w:contextualSpacing/>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highlight w:val="none"/>
                      <w:lang w:eastAsia="zh-CN"/>
                    </w:rPr>
                    <w:t>产业定位:基于现状产业基础，立足现有产业优势，规划重点发展高端装备制造、新能源新材料、生命健康、智慧物流四大主导产业，构建“3+1”的产业体系。</w:t>
                  </w:r>
                </w:p>
              </w:tc>
              <w:tc>
                <w:tcPr>
                  <w:tcW w:w="1381" w:type="pct"/>
                  <w:noWrap w:val="0"/>
                  <w:vAlign w:val="center"/>
                </w:tcPr>
                <w:p w14:paraId="215CC0BC">
                  <w:pPr>
                    <w:contextualSpacing/>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rPr>
                    <w:t>本</w:t>
                  </w:r>
                  <w:r>
                    <w:rPr>
                      <w:rFonts w:hint="default" w:ascii="Times New Roman" w:hAnsi="Times New Roman" w:cs="Times New Roman"/>
                      <w:color w:val="auto"/>
                      <w:kern w:val="0"/>
                      <w:sz w:val="21"/>
                      <w:szCs w:val="21"/>
                      <w:highlight w:val="none"/>
                      <w:lang w:val="en-US" w:eastAsia="zh-CN"/>
                    </w:rPr>
                    <w:t>项目为C2929塑料零件及其他塑料制品制造，属于</w:t>
                  </w:r>
                  <w:r>
                    <w:rPr>
                      <w:rFonts w:hint="default" w:ascii="Times New Roman" w:hAnsi="Times New Roman" w:cs="Times New Roman"/>
                      <w:color w:val="auto"/>
                      <w:kern w:val="0"/>
                      <w:sz w:val="21"/>
                      <w:szCs w:val="21"/>
                      <w:highlight w:val="none"/>
                      <w:lang w:eastAsia="zh-CN"/>
                    </w:rPr>
                    <w:t>高端装备制造</w:t>
                  </w:r>
                  <w:r>
                    <w:rPr>
                      <w:rFonts w:hint="default" w:ascii="Times New Roman" w:hAnsi="Times New Roman" w:cs="Times New Roman"/>
                      <w:color w:val="auto"/>
                      <w:kern w:val="0"/>
                      <w:sz w:val="21"/>
                      <w:szCs w:val="21"/>
                      <w:highlight w:val="none"/>
                      <w:lang w:val="en-US" w:eastAsia="zh-CN"/>
                    </w:rPr>
                    <w:t>配套产业。</w:t>
                  </w:r>
                </w:p>
              </w:tc>
              <w:tc>
                <w:tcPr>
                  <w:tcW w:w="507" w:type="pct"/>
                  <w:noWrap w:val="0"/>
                  <w:vAlign w:val="center"/>
                </w:tcPr>
                <w:p w14:paraId="57742DA2">
                  <w:pPr>
                    <w:pStyle w:val="7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19C77CB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3B58CA20">
                  <w:pPr>
                    <w:contextualSpacing/>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rPr>
                    <w:t>环保基础设施规划:由长荡湖水厂供水，供水规模为30万吨m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lang w:val="en-US" w:eastAsia="zh-CN"/>
                    </w:rPr>
                    <w:t>/d，水源取自长荡湖，以常金供水、金武供水为应急;园区采用雨污分流的排水体制，污水分片收集后，经泵站提升进金坛第二污水处理厂集中处理，待金坛工业污水厂建成且相关管网敷设到位后，特殊产业及化工类污水由单独管道输送至金坛工业污水厂处理。保留并充分利用现有污水主干管，新建金沙大道以西片区、红山路、西环二路(白塔路)、丹阳门北路污水管网，污水经邮堂庙泵站提升，邮堂庙泵站规模规划扩建至3万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lang w:val="en-US" w:eastAsia="zh-CN"/>
                    </w:rPr>
                    <w:t>/d;以加怡热电作为热源点，保留现状热力管网，根据热用户分布，延伸、完善和新增热力管道，满足工业园新增热用户需求;保留现状高、中压燃气管道，完善园区中压干管网络，规划沿金沙大道、金城大道(盐港路)、春风东路各敷设1根中压管(DN200)，与现状中压管接通。</w:t>
                  </w:r>
                </w:p>
              </w:tc>
              <w:tc>
                <w:tcPr>
                  <w:tcW w:w="1381" w:type="pct"/>
                  <w:noWrap w:val="0"/>
                  <w:vAlign w:val="center"/>
                </w:tcPr>
                <w:p w14:paraId="15A69DBA">
                  <w:pPr>
                    <w:contextualSpacing/>
                    <w:jc w:val="both"/>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rPr>
                    <w:t>本项目位于</w:t>
                  </w:r>
                  <w:r>
                    <w:rPr>
                      <w:rFonts w:hint="default" w:ascii="Times New Roman" w:hAnsi="Times New Roman" w:cs="Times New Roman"/>
                      <w:color w:val="auto"/>
                      <w:kern w:val="0"/>
                      <w:sz w:val="21"/>
                      <w:szCs w:val="21"/>
                      <w:lang w:eastAsia="zh-CN"/>
                    </w:rPr>
                    <w:t>金坛金城科技产业园</w:t>
                  </w:r>
                  <w:r>
                    <w:rPr>
                      <w:rFonts w:hint="default" w:ascii="Times New Roman" w:hAnsi="Times New Roman" w:cs="Times New Roman"/>
                      <w:color w:val="auto"/>
                      <w:kern w:val="0"/>
                      <w:sz w:val="21"/>
                      <w:szCs w:val="21"/>
                      <w:lang w:val="en-US" w:eastAsia="zh-CN"/>
                    </w:rPr>
                    <w:t>，属于金坛第二污水处理有限公司收水范围内，且项目周边污水管网已铺设到位，项目产生的生活污水能够顺利接入金坛第二污水处理有限公司集中处理</w:t>
                  </w:r>
                </w:p>
              </w:tc>
              <w:tc>
                <w:tcPr>
                  <w:tcW w:w="507" w:type="pct"/>
                  <w:noWrap w:val="0"/>
                  <w:vAlign w:val="center"/>
                </w:tcPr>
                <w:p w14:paraId="2180FC08">
                  <w:pPr>
                    <w:pStyle w:val="7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A90E89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358A1944">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Cs w:val="21"/>
                    </w:rPr>
                    <w:t>严守环境质量底线，严格生态环境准入要求，推动产业绿色转型升级。根据国家和江苏省、常州市关于大气、水、土壤污染防治相关要求和区域“三线一单”成果，明确园区环境质量改善阶段目标，制定园区污染物减排方案及污染物总量管控要求，采取有效措施控制主要污染物和特征污染物数量，严格控制危险废物增量，实现区域环境质量持续改善，实现产业发展与城市发展、生态环境保护相协调。提出碳达峰、碳中和目标，落实碳排放管控要求。强化生态环境准入要求，引进项目的生产工艺、设备、能耗、污染物排放、资源利用等均须达到同类行业先进水平。大力推进产业结构优化升级，全面提升现有产业的技术水平。</w:t>
                  </w:r>
                </w:p>
              </w:tc>
              <w:tc>
                <w:tcPr>
                  <w:tcW w:w="1381" w:type="pct"/>
                  <w:noWrap w:val="0"/>
                  <w:vAlign w:val="center"/>
                </w:tcPr>
                <w:p w14:paraId="3B05AD0E">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的建设符合</w:t>
                  </w:r>
                  <w:r>
                    <w:rPr>
                      <w:rFonts w:hint="default" w:ascii="Times New Roman" w:hAnsi="Times New Roman" w:cs="Times New Roman"/>
                      <w:color w:val="auto"/>
                      <w:kern w:val="0"/>
                      <w:szCs w:val="21"/>
                    </w:rPr>
                    <w:t>国家和江苏省、常州市关于大气、水、土壤污染防治相关要求和区域“三线一单”成果</w:t>
                  </w:r>
                  <w:r>
                    <w:rPr>
                      <w:rFonts w:hint="default" w:ascii="Times New Roman" w:hAnsi="Times New Roman" w:cs="Times New Roman"/>
                      <w:color w:val="auto"/>
                      <w:kern w:val="0"/>
                      <w:szCs w:val="21"/>
                      <w:lang w:val="en-US" w:eastAsia="zh-CN"/>
                    </w:rPr>
                    <w:t>要求</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项目产生的VOCs经</w:t>
                  </w:r>
                  <w:r>
                    <w:rPr>
                      <w:rFonts w:hint="default" w:ascii="Times New Roman" w:hAnsi="Times New Roman" w:cs="Times New Roman"/>
                      <w:color w:val="auto"/>
                      <w:kern w:val="0"/>
                      <w:szCs w:val="21"/>
                      <w:lang w:val="en-US" w:eastAsia="zh-CN"/>
                    </w:rPr>
                    <w:t>二级活性炭吸附</w:t>
                  </w:r>
                  <w:r>
                    <w:rPr>
                      <w:rFonts w:hint="default" w:ascii="Times New Roman" w:hAnsi="Times New Roman" w:cs="Times New Roman"/>
                      <w:color w:val="auto"/>
                      <w:kern w:val="0"/>
                      <w:szCs w:val="21"/>
                    </w:rPr>
                    <w:t>处理后达标排放</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项目严格执行环保“三同时”制度，履行完后环保审批手续后再开工建设。</w:t>
                  </w:r>
                </w:p>
              </w:tc>
              <w:tc>
                <w:tcPr>
                  <w:tcW w:w="507" w:type="pct"/>
                  <w:noWrap w:val="0"/>
                  <w:vAlign w:val="center"/>
                </w:tcPr>
                <w:p w14:paraId="27B90B99">
                  <w:pPr>
                    <w:pStyle w:val="70"/>
                    <w:snapToGrid w:val="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rPr>
                    <w:t>相符</w:t>
                  </w:r>
                </w:p>
              </w:tc>
            </w:tr>
            <w:tr w14:paraId="030C385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12B8B5BC">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Cs w:val="21"/>
                    </w:rPr>
                    <w:t>完善环境监测监控体系，提升环境风险应急能力。建立环境要素的监控体系，每年开展环境质量跟踪监测，明确责任主体和实施时限等，重点关注居住区大气环境质量变化情况。加快推进园区环境质量监测系统、视频监控系统、环境应急管理系统建设，完善环境管理电子台账。根据监测结果并结合环境影响、区域污染物控制措施实施的进度和效果，适时优化调整规划实施。加强园区环境风险防范应急体系建设，完善园区应急预案，强化环境应急队伍建设和物资储备，加强应急演练;严格环境风险源头防控，强化重点企业和区域环境风险评估;完善应急响应联动机制，切实保障区域生态安全。</w:t>
                  </w:r>
                </w:p>
              </w:tc>
              <w:tc>
                <w:tcPr>
                  <w:tcW w:w="1381" w:type="pct"/>
                  <w:noWrap w:val="0"/>
                  <w:vAlign w:val="center"/>
                </w:tcPr>
                <w:p w14:paraId="55E274C1">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Cs w:val="21"/>
                    </w:rPr>
                    <w:t>本项目严格执行环保“三同时”制度，履行完后环保审批手续后再开工建设。</w:t>
                  </w:r>
                </w:p>
              </w:tc>
              <w:tc>
                <w:tcPr>
                  <w:tcW w:w="507" w:type="pct"/>
                  <w:noWrap w:val="0"/>
                  <w:vAlign w:val="center"/>
                </w:tcPr>
                <w:p w14:paraId="1D6170C7">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0852CD7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7D4FED25">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完善环境基础设施建设。园区实施雨污分流、清污分流和污水集中处理，企业废水须分类收集、分质处理，经预处理达到污水处理厂接管标准后方可接管。加强园区固体废物的集中处理处置，危险废物交由有资质的单位处置。加快推进区内天然气管网和雨污管网建设。</w:t>
                  </w:r>
                </w:p>
              </w:tc>
              <w:tc>
                <w:tcPr>
                  <w:tcW w:w="1381" w:type="pct"/>
                  <w:noWrap w:val="0"/>
                  <w:vAlign w:val="center"/>
                </w:tcPr>
                <w:p w14:paraId="1C40D0B6">
                  <w:pPr>
                    <w:autoSpaceDE w:val="0"/>
                    <w:autoSpaceDN w:val="0"/>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rPr>
                    <w:t>实施雨污分流</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雨水经园区雨水管网收集后排入附近的城西中心河；生活污水接管至金坛区第二污水处理有限公司处理；项目危废委托</w:t>
                  </w:r>
                  <w:r>
                    <w:rPr>
                      <w:rFonts w:hint="default" w:ascii="Times New Roman" w:hAnsi="Times New Roman" w:cs="Times New Roman"/>
                      <w:color w:val="auto"/>
                      <w:kern w:val="0"/>
                      <w:szCs w:val="21"/>
                    </w:rPr>
                    <w:t>有资质的单位处置</w:t>
                  </w:r>
                  <w:r>
                    <w:rPr>
                      <w:rFonts w:hint="default" w:ascii="Times New Roman" w:hAnsi="Times New Roman" w:cs="Times New Roman"/>
                      <w:color w:val="auto"/>
                      <w:kern w:val="0"/>
                      <w:szCs w:val="21"/>
                      <w:lang w:eastAsia="zh-CN"/>
                    </w:rPr>
                    <w:t>。</w:t>
                  </w:r>
                </w:p>
              </w:tc>
              <w:tc>
                <w:tcPr>
                  <w:tcW w:w="507" w:type="pct"/>
                  <w:noWrap w:val="0"/>
                  <w:vAlign w:val="center"/>
                </w:tcPr>
                <w:p w14:paraId="68FB2BF9">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2CCD8AA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4BF524E4">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加强污染源监控。强化颗粒物、VOCs等污染物的控制与治理，最大限度减少无组织废气排放;按照《报告书》提出的总量控制要求严格控制园区重点污染物排放总量.</w:t>
                  </w:r>
                </w:p>
              </w:tc>
              <w:tc>
                <w:tcPr>
                  <w:tcW w:w="1381" w:type="pct"/>
                  <w:noWrap w:val="0"/>
                  <w:vAlign w:val="center"/>
                </w:tcPr>
                <w:p w14:paraId="21507068">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本项目生产过程中产生VOCs</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经处理后达标排放，不会对区域大气环境质量造成明显影响。</w:t>
                  </w:r>
                </w:p>
              </w:tc>
              <w:tc>
                <w:tcPr>
                  <w:tcW w:w="507" w:type="pct"/>
                  <w:noWrap w:val="0"/>
                  <w:vAlign w:val="center"/>
                </w:tcPr>
                <w:p w14:paraId="08846944">
                  <w:pPr>
                    <w:pStyle w:val="7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相符</w:t>
                  </w:r>
                </w:p>
              </w:tc>
            </w:tr>
          </w:tbl>
          <w:p w14:paraId="6F213A20">
            <w:pPr>
              <w:pStyle w:val="8"/>
              <w:keepNext w:val="0"/>
              <w:keepLines w:val="0"/>
              <w:pageBreakBefore w:val="0"/>
              <w:widowControl/>
              <w:kinsoku/>
              <w:wordWrap/>
              <w:overflowPunct/>
              <w:topLinePunct w:val="0"/>
              <w:autoSpaceDE/>
              <w:autoSpaceDN/>
              <w:bidi w:val="0"/>
              <w:adjustRightInd w:val="0"/>
              <w:snapToGrid w:val="0"/>
              <w:spacing w:before="0" w:after="0" w:line="500" w:lineRule="exact"/>
              <w:ind w:right="0"/>
              <w:jc w:val="center"/>
              <w:textAlignment w:val="auto"/>
              <w:rPr>
                <w:rFonts w:hint="default" w:ascii="Times New Roman" w:hAnsi="Times New Roman" w:eastAsia="宋体" w:cs="Times New Roman"/>
                <w:b/>
                <w:bCs/>
                <w:color w:val="auto"/>
                <w:kern w:val="2"/>
                <w:sz w:val="21"/>
                <w:szCs w:val="21"/>
                <w:lang w:val="en-US" w:eastAsia="zh-CN" w:bidi="ar-SA"/>
              </w:rPr>
            </w:pPr>
          </w:p>
          <w:p w14:paraId="2152839D">
            <w:pPr>
              <w:pStyle w:val="8"/>
              <w:keepNext w:val="0"/>
              <w:keepLines w:val="0"/>
              <w:pageBreakBefore w:val="0"/>
              <w:widowControl/>
              <w:kinsoku/>
              <w:wordWrap/>
              <w:overflowPunct/>
              <w:topLinePunct w:val="0"/>
              <w:autoSpaceDE/>
              <w:autoSpaceDN/>
              <w:bidi w:val="0"/>
              <w:adjustRightInd w:val="0"/>
              <w:snapToGrid w:val="0"/>
              <w:spacing w:before="0" w:after="0" w:line="500" w:lineRule="exact"/>
              <w:ind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kern w:val="2"/>
                <w:sz w:val="21"/>
                <w:szCs w:val="21"/>
                <w:lang w:val="en-US" w:eastAsia="zh-CN" w:bidi="ar-SA"/>
              </w:rPr>
              <w:t>表1-</w:t>
            </w:r>
            <w:r>
              <w:rPr>
                <w:rFonts w:hint="default" w:ascii="Times New Roman" w:hAnsi="Times New Roman"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lang w:val="en-US" w:eastAsia="zh-CN" w:bidi="ar-SA"/>
              </w:rPr>
              <w:t>项目与</w:t>
            </w:r>
            <w:r>
              <w:rPr>
                <w:rFonts w:hint="default" w:ascii="Times New Roman" w:hAnsi="Times New Roman" w:eastAsia="宋体" w:cs="Times New Roman"/>
                <w:b/>
                <w:bCs/>
                <w:color w:val="auto"/>
                <w:sz w:val="21"/>
                <w:szCs w:val="21"/>
                <w:lang w:eastAsia="zh-CN"/>
              </w:rPr>
              <w:t>金坛金城科技产业园</w:t>
            </w:r>
            <w:r>
              <w:rPr>
                <w:rFonts w:hint="default" w:ascii="Times New Roman" w:hAnsi="Times New Roman" w:eastAsia="宋体" w:cs="Times New Roman"/>
                <w:b/>
                <w:bCs/>
                <w:color w:val="auto"/>
                <w:kern w:val="2"/>
                <w:sz w:val="21"/>
                <w:szCs w:val="21"/>
                <w:lang w:val="en-US" w:eastAsia="zh-CN" w:bidi="ar-SA"/>
              </w:rPr>
              <w:t>生态环境准入清单相符性分析</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Layout w:type="autofit"/>
              <w:tblCellMar>
                <w:top w:w="0" w:type="dxa"/>
                <w:left w:w="0" w:type="dxa"/>
                <w:bottom w:w="0" w:type="dxa"/>
                <w:right w:w="0" w:type="dxa"/>
              </w:tblCellMar>
            </w:tblPr>
            <w:tblGrid>
              <w:gridCol w:w="493"/>
              <w:gridCol w:w="413"/>
              <w:gridCol w:w="4268"/>
              <w:gridCol w:w="1890"/>
              <w:gridCol w:w="1002"/>
            </w:tblGrid>
            <w:tr w14:paraId="726433B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650A595D">
                  <w:pPr>
                    <w:pStyle w:val="7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清单类别</w:t>
                  </w:r>
                </w:p>
              </w:tc>
              <w:tc>
                <w:tcPr>
                  <w:tcW w:w="2645" w:type="pct"/>
                  <w:tcBorders>
                    <w:tl2br w:val="nil"/>
                    <w:tr2bl w:val="nil"/>
                  </w:tcBorders>
                  <w:shd w:val="clear" w:color="auto" w:fill="auto"/>
                  <w:vAlign w:val="center"/>
                </w:tcPr>
                <w:p w14:paraId="50E951A9">
                  <w:pPr>
                    <w:pStyle w:val="7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准入内容</w:t>
                  </w:r>
                </w:p>
              </w:tc>
              <w:tc>
                <w:tcPr>
                  <w:tcW w:w="1171" w:type="pct"/>
                  <w:tcBorders>
                    <w:tl2br w:val="nil"/>
                    <w:tr2bl w:val="nil"/>
                  </w:tcBorders>
                  <w:shd w:val="clear" w:color="auto" w:fill="auto"/>
                  <w:vAlign w:val="center"/>
                </w:tcPr>
                <w:p w14:paraId="336C64C7">
                  <w:pPr>
                    <w:pStyle w:val="7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对照分析</w:t>
                  </w:r>
                </w:p>
              </w:tc>
              <w:tc>
                <w:tcPr>
                  <w:tcW w:w="621" w:type="pct"/>
                  <w:tcBorders>
                    <w:tl2br w:val="nil"/>
                    <w:tr2bl w:val="nil"/>
                  </w:tcBorders>
                  <w:shd w:val="clear" w:color="auto" w:fill="auto"/>
                  <w:vAlign w:val="center"/>
                </w:tcPr>
                <w:p w14:paraId="5C002CA6">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bCs/>
                      <w:color w:val="auto"/>
                      <w:sz w:val="21"/>
                      <w:szCs w:val="21"/>
                    </w:rPr>
                    <w:t>相符性</w:t>
                  </w:r>
                </w:p>
              </w:tc>
            </w:tr>
            <w:tr w14:paraId="4B26628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306" w:type="pct"/>
                  <w:vMerge w:val="restart"/>
                  <w:tcBorders>
                    <w:tl2br w:val="nil"/>
                    <w:tr2bl w:val="nil"/>
                  </w:tcBorders>
                  <w:shd w:val="clear" w:color="auto" w:fill="auto"/>
                  <w:vAlign w:val="center"/>
                </w:tcPr>
                <w:p w14:paraId="51AB2910">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项目准入</w:t>
                  </w:r>
                </w:p>
              </w:tc>
              <w:tc>
                <w:tcPr>
                  <w:tcW w:w="256" w:type="pct"/>
                  <w:tcBorders>
                    <w:tl2br w:val="nil"/>
                    <w:tr2bl w:val="nil"/>
                  </w:tcBorders>
                  <w:shd w:val="clear" w:color="auto" w:fill="auto"/>
                  <w:vAlign w:val="center"/>
                </w:tcPr>
                <w:p w14:paraId="772697B1">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优先引入</w:t>
                  </w:r>
                </w:p>
              </w:tc>
              <w:tc>
                <w:tcPr>
                  <w:tcW w:w="2645" w:type="pct"/>
                  <w:tcBorders>
                    <w:tl2br w:val="nil"/>
                    <w:tr2bl w:val="nil"/>
                  </w:tcBorders>
                  <w:shd w:val="clear" w:color="auto" w:fill="auto"/>
                  <w:vAlign w:val="center"/>
                </w:tcPr>
                <w:p w14:paraId="716D440C">
                  <w:pPr>
                    <w:pStyle w:val="70"/>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排污负荷小、技术先进、生产规模大的项目</w:t>
                  </w:r>
                </w:p>
              </w:tc>
              <w:tc>
                <w:tcPr>
                  <w:tcW w:w="1171" w:type="pct"/>
                  <w:tcBorders>
                    <w:tl2br w:val="nil"/>
                    <w:tr2bl w:val="nil"/>
                  </w:tcBorders>
                  <w:shd w:val="clear" w:color="auto" w:fill="auto"/>
                  <w:vAlign w:val="center"/>
                </w:tcPr>
                <w:p w14:paraId="6AF18B97">
                  <w:pPr>
                    <w:pStyle w:val="70"/>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项目属于</w:t>
                  </w:r>
                  <w:r>
                    <w:rPr>
                      <w:rFonts w:hint="default" w:ascii="Times New Roman" w:hAnsi="Times New Roman" w:eastAsia="宋体" w:cs="Times New Roman"/>
                      <w:color w:val="auto"/>
                      <w:sz w:val="21"/>
                      <w:szCs w:val="21"/>
                      <w:lang w:eastAsia="zh-CN"/>
                    </w:rPr>
                    <w:t>C2929塑料零件及其他塑料制品制造</w:t>
                  </w:r>
                  <w:r>
                    <w:rPr>
                      <w:rFonts w:hint="default" w:ascii="Times New Roman" w:hAnsi="Times New Roman" w:eastAsia="宋体" w:cs="Times New Roman"/>
                      <w:b w:val="0"/>
                      <w:bCs w:val="0"/>
                      <w:color w:val="auto"/>
                      <w:sz w:val="21"/>
                      <w:szCs w:val="21"/>
                      <w:lang w:val="en-US" w:eastAsia="zh-CN"/>
                    </w:rPr>
                    <w:t>，排污负荷小</w:t>
                  </w:r>
                </w:p>
              </w:tc>
              <w:tc>
                <w:tcPr>
                  <w:tcW w:w="621" w:type="pct"/>
                  <w:tcBorders>
                    <w:tl2br w:val="nil"/>
                    <w:tr2bl w:val="nil"/>
                  </w:tcBorders>
                  <w:shd w:val="clear" w:color="auto" w:fill="auto"/>
                  <w:vAlign w:val="center"/>
                </w:tcPr>
                <w:p w14:paraId="410B8898">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0F9A270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306" w:type="pct"/>
                  <w:vMerge w:val="continue"/>
                  <w:tcBorders>
                    <w:tl2br w:val="nil"/>
                    <w:tr2bl w:val="nil"/>
                  </w:tcBorders>
                  <w:shd w:val="clear" w:color="auto" w:fill="auto"/>
                  <w:vAlign w:val="center"/>
                </w:tcPr>
                <w:p w14:paraId="47C88E30">
                  <w:pPr>
                    <w:pStyle w:val="70"/>
                    <w:snapToGrid w:val="0"/>
                    <w:jc w:val="center"/>
                    <w:rPr>
                      <w:rFonts w:hint="default" w:ascii="Times New Roman" w:hAnsi="Times New Roman" w:eastAsia="宋体" w:cs="Times New Roman"/>
                      <w:b w:val="0"/>
                      <w:bCs w:val="0"/>
                      <w:color w:val="auto"/>
                      <w:sz w:val="21"/>
                      <w:szCs w:val="21"/>
                      <w:lang w:val="en-US" w:eastAsia="zh-CN"/>
                    </w:rPr>
                  </w:pPr>
                </w:p>
              </w:tc>
              <w:tc>
                <w:tcPr>
                  <w:tcW w:w="256" w:type="pct"/>
                  <w:tcBorders>
                    <w:tl2br w:val="nil"/>
                    <w:tr2bl w:val="nil"/>
                  </w:tcBorders>
                  <w:shd w:val="clear" w:color="auto" w:fill="auto"/>
                  <w:vAlign w:val="center"/>
                </w:tcPr>
                <w:p w14:paraId="5F37E732">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禁止引入</w:t>
                  </w:r>
                </w:p>
              </w:tc>
              <w:tc>
                <w:tcPr>
                  <w:tcW w:w="2645" w:type="pct"/>
                  <w:tcBorders>
                    <w:tl2br w:val="nil"/>
                    <w:tr2bl w:val="nil"/>
                  </w:tcBorders>
                  <w:shd w:val="clear" w:color="auto" w:fill="auto"/>
                  <w:vAlign w:val="center"/>
                </w:tcPr>
                <w:p w14:paraId="0288D926">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（1）高端装备制造：禁止引入含冶炼、轧钢项目（先进高端铸造类项目除外）。</w:t>
                  </w:r>
                </w:p>
                <w:p w14:paraId="4ECD54E4">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（2）新能源新材料：禁止使用高VOCs含量的溶剂型涂料、油墨、胶粘剂等项目（具有不可替代性的原料除外）。</w:t>
                  </w:r>
                </w:p>
                <w:p w14:paraId="335E0F3A">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（3）生命健康：禁止引进化学合成原料药的中试及生产项目，禁止引进医药中间体的项目。</w:t>
                  </w:r>
                </w:p>
                <w:p w14:paraId="54990345">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（4）禁止新建、扩建涉重点重金属污染物（铅、汞、镉、铬和砷）排放的项目。</w:t>
                  </w:r>
                </w:p>
                <w:p w14:paraId="0D1F570B">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（5）禁止引入排放含磷氮等污染物的项目（《江苏省太湖水污染防治条例》第四十六条规定的情形除外，即新建、改建、扩建排放含磷、氮等污染物的战略性新兴产业项目）。</w:t>
                  </w:r>
                </w:p>
                <w:p w14:paraId="594FF539">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（6）禁止新建钢铁、煤电、化工、印染项目；禁止引入不符合《印染行业规范条件》的改建印染项目。</w:t>
                  </w:r>
                </w:p>
                <w:p w14:paraId="14167EA0">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（7）《环境保护综合名录（2021年版）》“高污染、高环境风险”产品。</w:t>
                  </w:r>
                </w:p>
                <w:p w14:paraId="5EEF5A24">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（8）禁止引进其他属于国家和地方产业政策淘汰类或禁止类的建设项目和工艺。</w:t>
                  </w:r>
                </w:p>
                <w:p w14:paraId="4DA557AA">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（8）不得建设《长江经济带发展负面清单指南》中禁止类项目。</w:t>
                  </w:r>
                </w:p>
                <w:p w14:paraId="72BDE009">
                  <w:pPr>
                    <w:pStyle w:val="70"/>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（9）禁止引入危险化学品仓储企业。</w:t>
                  </w:r>
                </w:p>
              </w:tc>
              <w:tc>
                <w:tcPr>
                  <w:tcW w:w="1171" w:type="pct"/>
                  <w:tcBorders>
                    <w:tl2br w:val="nil"/>
                    <w:tr2bl w:val="nil"/>
                  </w:tcBorders>
                  <w:shd w:val="clear" w:color="auto" w:fill="auto"/>
                  <w:vAlign w:val="center"/>
                </w:tcPr>
                <w:p w14:paraId="655936AB">
                  <w:pPr>
                    <w:pStyle w:val="7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项目不涉及；</w:t>
                  </w:r>
                </w:p>
                <w:p w14:paraId="4ACC50E5">
                  <w:pPr>
                    <w:pStyle w:val="7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项目不涉及；</w:t>
                  </w:r>
                </w:p>
                <w:p w14:paraId="55EC0E79">
                  <w:pPr>
                    <w:pStyle w:val="7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en-US" w:eastAsia="zh-CN"/>
                    </w:rPr>
                    <w:t>项目不涉及；</w:t>
                  </w:r>
                </w:p>
                <w:p w14:paraId="0B1CC2E9">
                  <w:pPr>
                    <w:pStyle w:val="70"/>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b w:val="0"/>
                      <w:bCs w:val="0"/>
                      <w:color w:val="auto"/>
                      <w:sz w:val="21"/>
                      <w:szCs w:val="21"/>
                      <w:lang w:val="en-US" w:eastAsia="zh-CN"/>
                    </w:rPr>
                    <w:t>项目不排放含重点重金属(铅、汞、镉、铬、砷)；</w:t>
                  </w:r>
                </w:p>
                <w:p w14:paraId="3D9EFF23">
                  <w:pPr>
                    <w:pStyle w:val="7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val="en-US" w:eastAsia="zh-CN"/>
                    </w:rPr>
                    <w:t>项目不产生及排放生产废水；</w:t>
                  </w:r>
                </w:p>
                <w:p w14:paraId="44532CFD">
                  <w:pPr>
                    <w:pStyle w:val="7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（6）项目不涉及；</w:t>
                  </w:r>
                </w:p>
                <w:p w14:paraId="0E0B8DE9">
                  <w:pPr>
                    <w:pStyle w:val="70"/>
                    <w:snapToGrid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（7）</w:t>
                  </w:r>
                  <w:r>
                    <w:rPr>
                      <w:rFonts w:hint="default" w:ascii="Times New Roman" w:hAnsi="Times New Roman" w:eastAsia="宋体" w:cs="Times New Roman"/>
                      <w:b w:val="0"/>
                      <w:bCs w:val="0"/>
                      <w:color w:val="auto"/>
                      <w:sz w:val="21"/>
                      <w:szCs w:val="21"/>
                      <w:lang w:val="en-US" w:eastAsia="zh-CN"/>
                    </w:rPr>
                    <w:t>项目属于C2929塑料零件及其他塑料制品制造，不属于</w:t>
                  </w:r>
                  <w:r>
                    <w:rPr>
                      <w:rFonts w:hint="default" w:ascii="Times New Roman" w:hAnsi="Times New Roman" w:eastAsia="宋体" w:cs="Times New Roman"/>
                      <w:color w:val="auto"/>
                      <w:sz w:val="21"/>
                      <w:szCs w:val="21"/>
                    </w:rPr>
                    <w:t>《环境保护综合名录（2021年版）》“高污染、高环境风险”产品</w:t>
                  </w:r>
                  <w:r>
                    <w:rPr>
                      <w:rFonts w:hint="default" w:ascii="Times New Roman" w:hAnsi="Times New Roman" w:eastAsia="宋体" w:cs="Times New Roman"/>
                      <w:color w:val="auto"/>
                      <w:sz w:val="21"/>
                      <w:szCs w:val="21"/>
                      <w:lang w:eastAsia="zh-CN"/>
                    </w:rPr>
                    <w:t>；</w:t>
                  </w:r>
                </w:p>
                <w:p w14:paraId="289DE91C">
                  <w:pPr>
                    <w:pStyle w:val="70"/>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b w:val="0"/>
                      <w:bCs w:val="0"/>
                      <w:color w:val="auto"/>
                      <w:sz w:val="21"/>
                      <w:szCs w:val="21"/>
                      <w:lang w:val="en-US" w:eastAsia="zh-CN"/>
                    </w:rPr>
                    <w:t>《产业结构调整指导目录》中明确的淘汰类、禁止类项目；</w:t>
                  </w:r>
                </w:p>
                <w:p w14:paraId="2C72179A">
                  <w:pPr>
                    <w:pStyle w:val="70"/>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r>
                    <w:rPr>
                      <w:rFonts w:hint="default"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《长江经济带发展负面清单指南》中禁止类项目</w:t>
                  </w:r>
                  <w:r>
                    <w:rPr>
                      <w:rFonts w:hint="default" w:ascii="Times New Roman" w:hAnsi="Times New Roman" w:eastAsia="宋体" w:cs="Times New Roman"/>
                      <w:color w:val="auto"/>
                      <w:sz w:val="21"/>
                      <w:szCs w:val="21"/>
                      <w:lang w:eastAsia="zh-CN"/>
                    </w:rPr>
                    <w:t>；</w:t>
                  </w:r>
                </w:p>
                <w:p w14:paraId="66C9ECDD">
                  <w:pPr>
                    <w:pStyle w:val="70"/>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危险化学品仓储企业</w:t>
                  </w:r>
                </w:p>
              </w:tc>
              <w:tc>
                <w:tcPr>
                  <w:tcW w:w="621" w:type="pct"/>
                  <w:tcBorders>
                    <w:tl2br w:val="nil"/>
                    <w:tr2bl w:val="nil"/>
                  </w:tcBorders>
                  <w:shd w:val="clear" w:color="auto" w:fill="auto"/>
                  <w:vAlign w:val="center"/>
                </w:tcPr>
                <w:p w14:paraId="68F857D1">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7EC6C39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388547DF">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空间管控要求</w:t>
                  </w:r>
                </w:p>
              </w:tc>
              <w:tc>
                <w:tcPr>
                  <w:tcW w:w="2645" w:type="pct"/>
                  <w:tcBorders>
                    <w:tl2br w:val="nil"/>
                    <w:tr2bl w:val="nil"/>
                  </w:tcBorders>
                  <w:shd w:val="clear" w:color="auto" w:fill="auto"/>
                  <w:vAlign w:val="center"/>
                </w:tcPr>
                <w:p w14:paraId="46E59C95">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（1）水域及绿地，禁止一切与环境保护功能无关的建设活动；</w:t>
                  </w:r>
                </w:p>
                <w:p w14:paraId="71B4D386">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（2）丹金溧漕河、尧塘河沿岸河道范围内（两岸堤防背水坡堤脚外10m）禁止建设妨碍行洪的建筑物、构筑物；</w:t>
                  </w:r>
                </w:p>
                <w:p w14:paraId="4123B2E4">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（3）禁止引进不能满足环评测算出的环境防护距离，或环评事故风险防范和应急措施难以落实到位的项目；</w:t>
                  </w:r>
                </w:p>
                <w:p w14:paraId="35D6ED22">
                  <w:pPr>
                    <w:pStyle w:val="70"/>
                    <w:snapToGrid w:val="0"/>
                    <w:jc w:val="left"/>
                    <w:rPr>
                      <w:rFonts w:hint="default" w:ascii="Times New Roman" w:hAnsi="Times New Roman" w:eastAsia="宋体" w:cs="Times New Roman"/>
                      <w:b w:val="0"/>
                      <w:bCs w:val="0"/>
                      <w:color w:val="auto"/>
                      <w:sz w:val="21"/>
                      <w:szCs w:val="21"/>
                      <w:lang w:val="en-US" w:eastAsia="zh-CN"/>
                    </w:rPr>
                  </w:pPr>
                </w:p>
              </w:tc>
              <w:tc>
                <w:tcPr>
                  <w:tcW w:w="1171" w:type="pct"/>
                  <w:tcBorders>
                    <w:tl2br w:val="nil"/>
                    <w:tr2bl w:val="nil"/>
                  </w:tcBorders>
                  <w:shd w:val="clear" w:color="auto" w:fill="auto"/>
                  <w:vAlign w:val="center"/>
                </w:tcPr>
                <w:p w14:paraId="1B88A2D5">
                  <w:pPr>
                    <w:pStyle w:val="7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b w:val="0"/>
                      <w:bCs w:val="0"/>
                      <w:color w:val="auto"/>
                      <w:sz w:val="21"/>
                      <w:szCs w:val="21"/>
                      <w:lang w:val="en-US" w:eastAsia="zh-CN"/>
                    </w:rPr>
                    <w:t>项目用地为工业用地，不涉及</w:t>
                  </w:r>
                  <w:r>
                    <w:rPr>
                      <w:rFonts w:hint="default" w:ascii="Times New Roman" w:hAnsi="Times New Roman" w:eastAsia="宋体" w:cs="Times New Roman"/>
                      <w:color w:val="auto"/>
                      <w:sz w:val="21"/>
                      <w:szCs w:val="21"/>
                    </w:rPr>
                    <w:t>水域及绿地</w:t>
                  </w:r>
                  <w:r>
                    <w:rPr>
                      <w:rFonts w:hint="default" w:ascii="Times New Roman" w:hAnsi="Times New Roman" w:eastAsia="宋体" w:cs="Times New Roman"/>
                      <w:color w:val="auto"/>
                      <w:sz w:val="21"/>
                      <w:szCs w:val="21"/>
                      <w:lang w:eastAsia="zh-CN"/>
                    </w:rPr>
                    <w:t>；</w:t>
                  </w:r>
                </w:p>
                <w:p w14:paraId="08493A3A">
                  <w:pPr>
                    <w:pStyle w:val="7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不在</w:t>
                  </w:r>
                  <w:r>
                    <w:rPr>
                      <w:rFonts w:hint="default" w:ascii="Times New Roman" w:hAnsi="Times New Roman" w:eastAsia="宋体" w:cs="Times New Roman"/>
                      <w:color w:val="auto"/>
                      <w:sz w:val="21"/>
                      <w:szCs w:val="21"/>
                    </w:rPr>
                    <w:t>丹金溧漕河、尧塘河沿岸河道范围</w:t>
                  </w:r>
                  <w:r>
                    <w:rPr>
                      <w:rFonts w:hint="default" w:ascii="Times New Roman" w:hAnsi="Times New Roman" w:eastAsia="宋体" w:cs="Times New Roman"/>
                      <w:color w:val="auto"/>
                      <w:sz w:val="21"/>
                      <w:szCs w:val="21"/>
                      <w:lang w:eastAsia="zh-CN"/>
                    </w:rPr>
                    <w:t>；</w:t>
                  </w:r>
                </w:p>
                <w:p w14:paraId="5FD96CA7">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项目的建设满足</w:t>
                  </w:r>
                  <w:r>
                    <w:rPr>
                      <w:rFonts w:hint="default" w:ascii="Times New Roman" w:hAnsi="Times New Roman" w:eastAsia="宋体" w:cs="Times New Roman"/>
                      <w:color w:val="auto"/>
                      <w:sz w:val="21"/>
                      <w:szCs w:val="21"/>
                    </w:rPr>
                    <w:t>环评</w:t>
                  </w:r>
                  <w:r>
                    <w:rPr>
                      <w:rFonts w:hint="default" w:ascii="Times New Roman" w:hAnsi="Times New Roman" w:eastAsia="宋体" w:cs="Times New Roman"/>
                      <w:color w:val="auto"/>
                      <w:sz w:val="21"/>
                      <w:szCs w:val="21"/>
                      <w:lang w:val="en-US" w:eastAsia="zh-CN"/>
                    </w:rPr>
                    <w:t>提出的卫生防护距离要求，项目建成后将严格落实</w:t>
                  </w:r>
                  <w:r>
                    <w:rPr>
                      <w:rFonts w:hint="default" w:ascii="Times New Roman" w:hAnsi="Times New Roman" w:eastAsia="宋体" w:cs="Times New Roman"/>
                      <w:color w:val="auto"/>
                      <w:sz w:val="21"/>
                      <w:szCs w:val="21"/>
                    </w:rPr>
                    <w:t>事故风险防范和应急措施</w:t>
                  </w:r>
                  <w:r>
                    <w:rPr>
                      <w:rFonts w:hint="default" w:ascii="Times New Roman" w:hAnsi="Times New Roman" w:eastAsia="宋体" w:cs="Times New Roman"/>
                      <w:b w:val="0"/>
                      <w:bCs w:val="0"/>
                      <w:color w:val="auto"/>
                      <w:sz w:val="21"/>
                      <w:szCs w:val="21"/>
                      <w:lang w:val="en-US" w:eastAsia="zh-CN"/>
                    </w:rPr>
                    <w:t>。</w:t>
                  </w:r>
                </w:p>
              </w:tc>
              <w:tc>
                <w:tcPr>
                  <w:tcW w:w="621" w:type="pct"/>
                  <w:tcBorders>
                    <w:tl2br w:val="nil"/>
                    <w:tr2bl w:val="nil"/>
                  </w:tcBorders>
                  <w:shd w:val="clear" w:color="auto" w:fill="auto"/>
                  <w:vAlign w:val="center"/>
                </w:tcPr>
                <w:p w14:paraId="29658753">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3D0652C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36137712">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污染物排放管控</w:t>
                  </w:r>
                </w:p>
              </w:tc>
              <w:tc>
                <w:tcPr>
                  <w:tcW w:w="2645" w:type="pct"/>
                  <w:tcBorders>
                    <w:tl2br w:val="nil"/>
                    <w:tr2bl w:val="nil"/>
                  </w:tcBorders>
                  <w:shd w:val="clear" w:color="auto" w:fill="auto"/>
                  <w:vAlign w:val="center"/>
                </w:tcPr>
                <w:p w14:paraId="343FFC21">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颗粒物、二氧化硫、氮氧化物、VOCs作为总量控制因子，根据省、市上级要求，进行现役源2倍削减量替代或关闭类项目1.5倍削减量替代。</w:t>
                  </w:r>
                </w:p>
                <w:p w14:paraId="56CE77C7">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（1）废气污染物规划末期总量：SO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 xml:space="preserve"> 8.912t/a、NOx 60.39t/a、颗粒物 91.643t/a、VOCs 61.56t/a。</w:t>
                  </w:r>
                </w:p>
                <w:p w14:paraId="75BFB942">
                  <w:pPr>
                    <w:pStyle w:val="70"/>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（2）废水污染物规划末期总量：废水量331.36万t/a、COD165.69t/a、氨氮13.26t/a、总氮39.77t/a、总磷1.65t/a。</w:t>
                  </w:r>
                </w:p>
              </w:tc>
              <w:tc>
                <w:tcPr>
                  <w:tcW w:w="1171" w:type="pct"/>
                  <w:tcBorders>
                    <w:tl2br w:val="nil"/>
                    <w:tr2bl w:val="nil"/>
                  </w:tcBorders>
                  <w:shd w:val="clear" w:color="auto" w:fill="auto"/>
                  <w:vAlign w:val="center"/>
                </w:tcPr>
                <w:p w14:paraId="07EB7C7A">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项目大气污染物VOCs进行污染物总量2倍减量替代；项目排放的VOCs废气总量不会突破园区污染物排放总量</w:t>
                  </w:r>
                </w:p>
              </w:tc>
              <w:tc>
                <w:tcPr>
                  <w:tcW w:w="621" w:type="pct"/>
                  <w:tcBorders>
                    <w:tl2br w:val="nil"/>
                    <w:tr2bl w:val="nil"/>
                  </w:tcBorders>
                  <w:shd w:val="clear" w:color="auto" w:fill="auto"/>
                  <w:vAlign w:val="center"/>
                </w:tcPr>
                <w:p w14:paraId="1DA06785">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1994033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29879E78">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环境风险防控</w:t>
                  </w:r>
                </w:p>
              </w:tc>
              <w:tc>
                <w:tcPr>
                  <w:tcW w:w="2645" w:type="pct"/>
                  <w:tcBorders>
                    <w:tl2br w:val="nil"/>
                    <w:tr2bl w:val="nil"/>
                  </w:tcBorders>
                  <w:shd w:val="clear" w:color="auto" w:fill="auto"/>
                  <w:vAlign w:val="center"/>
                </w:tcPr>
                <w:p w14:paraId="2497E298">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（1）针对搬迁关闭的企业，应当在其土地出让或项目批准核准前完成场地环境调查和风险评估工作，以保障工业企业场地再开发利用的环境安全。</w:t>
                  </w:r>
                </w:p>
                <w:p w14:paraId="71DC9A63">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（2）禁止安全风险大、工艺设施落后、安全水平低的企业或项目进入。</w:t>
                  </w:r>
                </w:p>
                <w:p w14:paraId="371BCF83">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（3）存储危险化学品及产生大量废水的企业，应配套有效措施，防止因渗漏污染地下水、土壤，以及因事故废水直排污染地表水体。</w:t>
                  </w:r>
                </w:p>
                <w:p w14:paraId="40F49EB2">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（4）产生、利用或处置固体废物（含危险废物）的企业，在贮存、转移、利用、处置固体废物（含危险废物）过程中，应配套防扬散、防流失、防渗漏及其他防止污染环境的措施。</w:t>
                  </w:r>
                </w:p>
                <w:p w14:paraId="0378DECC">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（5）禁止无法落实危险废物处置途径的项目入园。</w:t>
                  </w:r>
                </w:p>
                <w:p w14:paraId="776EB556">
                  <w:pPr>
                    <w:pStyle w:val="70"/>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（6）禁止建设不能满足环评测算出环境防护距离的项目。</w:t>
                  </w:r>
                </w:p>
              </w:tc>
              <w:tc>
                <w:tcPr>
                  <w:tcW w:w="1171" w:type="pct"/>
                  <w:tcBorders>
                    <w:tl2br w:val="nil"/>
                    <w:tr2bl w:val="nil"/>
                  </w:tcBorders>
                  <w:shd w:val="clear" w:color="auto" w:fill="auto"/>
                  <w:vAlign w:val="center"/>
                </w:tcPr>
                <w:p w14:paraId="5EAF6EBA">
                  <w:pPr>
                    <w:pStyle w:val="7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项目不涉及；</w:t>
                  </w:r>
                </w:p>
                <w:p w14:paraId="0796B4AA">
                  <w:pPr>
                    <w:pStyle w:val="7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项目生产过程安全风险低、安全水平高；</w:t>
                  </w:r>
                </w:p>
                <w:p w14:paraId="49003CC7">
                  <w:pPr>
                    <w:pStyle w:val="7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en-US" w:eastAsia="zh-CN"/>
                    </w:rPr>
                    <w:t>项目不涉及；</w:t>
                  </w:r>
                </w:p>
                <w:p w14:paraId="3465602A">
                  <w:pPr>
                    <w:pStyle w:val="7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b w:val="0"/>
                      <w:bCs w:val="0"/>
                      <w:color w:val="auto"/>
                      <w:sz w:val="21"/>
                      <w:szCs w:val="21"/>
                      <w:lang w:val="en-US" w:eastAsia="zh-CN"/>
                    </w:rPr>
                    <w:t>项目危废在厂区危废库房暂存过程中配套建设</w:t>
                  </w:r>
                  <w:r>
                    <w:rPr>
                      <w:rFonts w:hint="default" w:ascii="Times New Roman" w:hAnsi="Times New Roman" w:eastAsia="宋体" w:cs="Times New Roman"/>
                      <w:color w:val="auto"/>
                      <w:sz w:val="21"/>
                      <w:szCs w:val="21"/>
                    </w:rPr>
                    <w:t>防扬散、防流失、防渗漏</w:t>
                  </w:r>
                  <w:r>
                    <w:rPr>
                      <w:rFonts w:hint="default" w:ascii="Times New Roman" w:hAnsi="Times New Roman" w:eastAsia="宋体" w:cs="Times New Roman"/>
                      <w:color w:val="auto"/>
                      <w:sz w:val="21"/>
                      <w:szCs w:val="21"/>
                      <w:lang w:val="en-US" w:eastAsia="zh-CN"/>
                    </w:rPr>
                    <w:t>措施；</w:t>
                  </w:r>
                </w:p>
                <w:p w14:paraId="77D365AC">
                  <w:pPr>
                    <w:pStyle w:val="7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b w:val="0"/>
                      <w:bCs w:val="0"/>
                      <w:color w:val="auto"/>
                      <w:sz w:val="21"/>
                      <w:szCs w:val="21"/>
                      <w:lang w:val="en-US" w:eastAsia="zh-CN"/>
                    </w:rPr>
                    <w:t>项目产生的危废委托资质单位处理；</w:t>
                  </w:r>
                </w:p>
                <w:p w14:paraId="5333DF8D">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项目的建设满足</w:t>
                  </w:r>
                  <w:r>
                    <w:rPr>
                      <w:rFonts w:hint="default" w:ascii="Times New Roman" w:hAnsi="Times New Roman" w:eastAsia="宋体" w:cs="Times New Roman"/>
                      <w:color w:val="auto"/>
                      <w:sz w:val="21"/>
                      <w:szCs w:val="21"/>
                    </w:rPr>
                    <w:t>环评</w:t>
                  </w:r>
                  <w:r>
                    <w:rPr>
                      <w:rFonts w:hint="default" w:ascii="Times New Roman" w:hAnsi="Times New Roman" w:eastAsia="宋体" w:cs="Times New Roman"/>
                      <w:color w:val="auto"/>
                      <w:sz w:val="21"/>
                      <w:szCs w:val="21"/>
                      <w:lang w:val="en-US" w:eastAsia="zh-CN"/>
                    </w:rPr>
                    <w:t>提出的卫生防护距离要求</w:t>
                  </w:r>
                </w:p>
              </w:tc>
              <w:tc>
                <w:tcPr>
                  <w:tcW w:w="621" w:type="pct"/>
                  <w:tcBorders>
                    <w:tl2br w:val="nil"/>
                    <w:tr2bl w:val="nil"/>
                  </w:tcBorders>
                  <w:shd w:val="clear" w:color="auto" w:fill="auto"/>
                  <w:vAlign w:val="center"/>
                </w:tcPr>
                <w:p w14:paraId="2FB1019A">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58A9FCD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3FD2B4B2">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资源开发利用要求</w:t>
                  </w:r>
                </w:p>
              </w:tc>
              <w:tc>
                <w:tcPr>
                  <w:tcW w:w="2645" w:type="pct"/>
                  <w:tcBorders>
                    <w:tl2br w:val="nil"/>
                    <w:tr2bl w:val="nil"/>
                  </w:tcBorders>
                  <w:shd w:val="clear" w:color="auto" w:fill="auto"/>
                  <w:vAlign w:val="center"/>
                </w:tcPr>
                <w:p w14:paraId="727D8CC9">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（1）大力倡导使用清洁能源；</w:t>
                  </w:r>
                </w:p>
                <w:p w14:paraId="558F00FE">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（2）提升废水资源化技术，提高水资源回用率；</w:t>
                  </w:r>
                </w:p>
                <w:p w14:paraId="67AD6278">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（3）禁止销售使用燃料为“II类”（较严），具体包括：</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除单台出力大于等于20蒸吨/小时锅炉以外燃用的煤炭及其制品。</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2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石油焦、油页岩、原油、重油、渣油、煤焦油。</w:t>
                  </w:r>
                </w:p>
                <w:p w14:paraId="6A25E16B">
                  <w:pPr>
                    <w:pStyle w:val="57"/>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（4）禁止销售使用燃料为“Ⅲ类”（严格），具体包括：</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煤炭及其制品（包括原煤、散煤煤矸石、煤泥、煤粉、水煤浆、型煤、焦炭、兰炭等）；</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2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石油焦、油页岩、原油、重油、渣油、煤焦油；</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3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③</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非专用锅炉或未配置高效除尘设施的专用锅炉燃用的生物质成型燃料；④国家规定的其它高污染燃料；</w:t>
                  </w:r>
                </w:p>
                <w:p w14:paraId="66711686">
                  <w:pPr>
                    <w:pStyle w:val="70"/>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（5）资源利用上线：单位工业增加值综合能耗≤0.5吨标煤/万元；单位工业增加值新鲜水耗≤8.0m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/万元；单位工业用地面积工业增加值≥9亿元/km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171" w:type="pct"/>
                  <w:tcBorders>
                    <w:tl2br w:val="nil"/>
                    <w:tr2bl w:val="nil"/>
                  </w:tcBorders>
                  <w:shd w:val="clear" w:color="auto" w:fill="auto"/>
                  <w:vAlign w:val="center"/>
                </w:tcPr>
                <w:p w14:paraId="24AA6FED">
                  <w:pPr>
                    <w:pStyle w:val="7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项目使用</w:t>
                  </w:r>
                  <w:r>
                    <w:rPr>
                      <w:rFonts w:hint="default" w:ascii="Times New Roman" w:hAnsi="Times New Roman" w:eastAsia="宋体" w:cs="Times New Roman"/>
                      <w:color w:val="auto"/>
                      <w:sz w:val="21"/>
                      <w:szCs w:val="21"/>
                    </w:rPr>
                    <w:t>清洁能源</w:t>
                  </w:r>
                  <w:r>
                    <w:rPr>
                      <w:rFonts w:hint="default" w:ascii="Times New Roman" w:hAnsi="Times New Roman" w:eastAsia="宋体" w:cs="Times New Roman"/>
                      <w:color w:val="auto"/>
                      <w:sz w:val="21"/>
                      <w:szCs w:val="21"/>
                      <w:lang w:val="en-US" w:eastAsia="zh-CN"/>
                    </w:rPr>
                    <w:t>电力；</w:t>
                  </w:r>
                </w:p>
                <w:p w14:paraId="7EE3FADD">
                  <w:pPr>
                    <w:pStyle w:val="7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项目冷却水循环使用不外排；</w:t>
                  </w:r>
                </w:p>
                <w:p w14:paraId="5DF79769">
                  <w:pPr>
                    <w:pStyle w:val="7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项目不使用</w:t>
                  </w:r>
                  <w:r>
                    <w:rPr>
                      <w:rFonts w:hint="default" w:ascii="Times New Roman" w:hAnsi="Times New Roman" w:eastAsia="宋体" w:cs="Times New Roman"/>
                      <w:color w:val="auto"/>
                      <w:sz w:val="21"/>
                      <w:szCs w:val="21"/>
                    </w:rPr>
                    <w:t>“II类”燃料</w:t>
                  </w:r>
                  <w:r>
                    <w:rPr>
                      <w:rFonts w:hint="default" w:ascii="Times New Roman" w:hAnsi="Times New Roman" w:eastAsia="宋体" w:cs="Times New Roman"/>
                      <w:color w:val="auto"/>
                      <w:sz w:val="21"/>
                      <w:szCs w:val="21"/>
                      <w:lang w:val="en-US" w:eastAsia="zh-CN"/>
                    </w:rPr>
                    <w:t>；</w:t>
                  </w:r>
                </w:p>
                <w:p w14:paraId="15CC0BA3">
                  <w:pPr>
                    <w:pStyle w:val="7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z w:val="21"/>
                      <w:szCs w:val="21"/>
                      <w:lang w:val="en-US" w:eastAsia="zh-CN"/>
                    </w:rPr>
                    <w:t>项目不使用</w:t>
                  </w:r>
                  <w:r>
                    <w:rPr>
                      <w:rFonts w:hint="default" w:ascii="Times New Roman" w:hAnsi="Times New Roman" w:eastAsia="宋体" w:cs="Times New Roman"/>
                      <w:color w:val="auto"/>
                      <w:sz w:val="21"/>
                      <w:szCs w:val="21"/>
                    </w:rPr>
                    <w:t>“Ⅲ类”类燃料</w:t>
                  </w:r>
                  <w:r>
                    <w:rPr>
                      <w:rFonts w:hint="default" w:ascii="Times New Roman" w:hAnsi="Times New Roman" w:eastAsia="宋体" w:cs="Times New Roman"/>
                      <w:color w:val="auto"/>
                      <w:sz w:val="21"/>
                      <w:szCs w:val="21"/>
                      <w:lang w:eastAsia="zh-CN"/>
                    </w:rPr>
                    <w:t>；</w:t>
                  </w:r>
                </w:p>
                <w:p w14:paraId="4E28C6B8">
                  <w:pPr>
                    <w:pStyle w:val="70"/>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b w:val="0"/>
                      <w:bCs w:val="0"/>
                      <w:color w:val="auto"/>
                      <w:sz w:val="21"/>
                      <w:szCs w:val="21"/>
                      <w:lang w:val="en-US" w:eastAsia="zh-CN"/>
                    </w:rPr>
                    <w:t>项目单位工业增加值综合能耗约0.225吨标煤/万元；项目单位工业增加值新鲜水耗约1.7m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/万元:</w:t>
                  </w:r>
                  <w:r>
                    <w:rPr>
                      <w:rFonts w:hint="default" w:ascii="Times New Roman" w:hAnsi="Times New Roman" w:eastAsia="宋体" w:cs="Times New Roman"/>
                      <w:color w:val="auto"/>
                      <w:sz w:val="21"/>
                      <w:szCs w:val="21"/>
                    </w:rPr>
                    <w:t>单位工业用地面积工业增加值</w:t>
                  </w:r>
                  <w:r>
                    <w:rPr>
                      <w:rFonts w:hint="default" w:ascii="Times New Roman" w:hAnsi="Times New Roman" w:eastAsia="宋体" w:cs="Times New Roman"/>
                      <w:color w:val="auto"/>
                      <w:sz w:val="21"/>
                      <w:szCs w:val="21"/>
                      <w:lang w:val="en-US" w:eastAsia="zh-CN"/>
                    </w:rPr>
                    <w:t>约</w:t>
                  </w:r>
                  <w:r>
                    <w:rPr>
                      <w:rFonts w:hint="default" w:ascii="Times New Roman" w:hAnsi="Times New Roman" w:eastAsia="宋体" w:cs="Times New Roman"/>
                      <w:color w:val="auto"/>
                      <w:sz w:val="21"/>
                      <w:szCs w:val="21"/>
                    </w:rPr>
                    <w:t>9</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亿元/km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b w:val="0"/>
                      <w:bCs w:val="0"/>
                      <w:color w:val="auto"/>
                      <w:sz w:val="21"/>
                      <w:szCs w:val="21"/>
                      <w:lang w:val="en-US" w:eastAsia="zh-CN"/>
                    </w:rPr>
                    <w:t>。</w:t>
                  </w:r>
                </w:p>
              </w:tc>
              <w:tc>
                <w:tcPr>
                  <w:tcW w:w="621" w:type="pct"/>
                  <w:tcBorders>
                    <w:tl2br w:val="nil"/>
                    <w:tr2bl w:val="nil"/>
                  </w:tcBorders>
                  <w:shd w:val="clear" w:color="auto" w:fill="auto"/>
                  <w:vAlign w:val="center"/>
                </w:tcPr>
                <w:p w14:paraId="6F5446F4">
                  <w:pPr>
                    <w:pStyle w:val="7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bl>
          <w:p w14:paraId="2FCC8A9E">
            <w:pPr>
              <w:widowControl/>
              <w:adjustRightInd w:val="0"/>
              <w:snapToGrid w:val="0"/>
              <w:spacing w:line="480" w:lineRule="exact"/>
              <w:ind w:firstLine="480" w:firstLineChars="200"/>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综上所述，本项目满足区域规划环评要求。</w:t>
            </w:r>
          </w:p>
        </w:tc>
      </w:tr>
      <w:tr w14:paraId="3768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8" w:hRule="atLeast"/>
          <w:jc w:val="center"/>
        </w:trPr>
        <w:tc>
          <w:tcPr>
            <w:tcW w:w="619" w:type="dxa"/>
            <w:vAlign w:val="center"/>
          </w:tcPr>
          <w:p w14:paraId="70715191">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rPr>
              <w:t>其他符合性分析</w:t>
            </w:r>
          </w:p>
        </w:tc>
        <w:tc>
          <w:tcPr>
            <w:tcW w:w="8285" w:type="dxa"/>
            <w:gridSpan w:val="4"/>
            <w:vAlign w:val="center"/>
          </w:tcPr>
          <w:p w14:paraId="1A5D09D9">
            <w:pPr>
              <w:keepNext w:val="0"/>
              <w:keepLines w:val="0"/>
              <w:pageBreakBefore w:val="0"/>
              <w:widowControl w:val="0"/>
              <w:kinsoku/>
              <w:wordWrap/>
              <w:overflowPunct/>
              <w:topLinePunct w:val="0"/>
              <w:bidi w:val="0"/>
              <w:snapToGrid w:val="0"/>
              <w:spacing w:line="500" w:lineRule="exact"/>
              <w:ind w:firstLine="482" w:firstLineChars="200"/>
              <w:textAlignment w:val="auto"/>
              <w:rPr>
                <w:rFonts w:hint="default" w:ascii="Times New Roman" w:hAnsi="Times New Roman" w:eastAsia="宋体" w:cs="Times New Roman"/>
                <w:b/>
                <w:bCs w:val="0"/>
                <w:color w:val="auto"/>
                <w:sz w:val="24"/>
                <w:lang w:eastAsia="zh-CN"/>
              </w:rPr>
            </w:pPr>
            <w:r>
              <w:rPr>
                <w:rFonts w:hint="default" w:ascii="Times New Roman" w:hAnsi="Times New Roman" w:cs="Times New Roman"/>
                <w:b/>
                <w:color w:val="auto"/>
                <w:sz w:val="24"/>
                <w:lang w:val="en-US" w:eastAsia="zh-CN"/>
              </w:rPr>
              <w:t>1</w:t>
            </w:r>
            <w:r>
              <w:rPr>
                <w:rFonts w:hint="default" w:ascii="Times New Roman" w:hAnsi="Times New Roman" w:eastAsia="宋体" w:cs="Times New Roman"/>
                <w:b/>
                <w:color w:val="auto"/>
                <w:sz w:val="24"/>
              </w:rPr>
              <w:t>、</w:t>
            </w:r>
            <w:r>
              <w:rPr>
                <w:rFonts w:hint="default" w:ascii="Times New Roman" w:hAnsi="Times New Roman" w:cs="Times New Roman"/>
                <w:b/>
                <w:bCs w:val="0"/>
                <w:color w:val="auto"/>
                <w:sz w:val="24"/>
                <w:lang w:eastAsia="zh-CN"/>
              </w:rPr>
              <w:t>与金坛区</w:t>
            </w:r>
            <w:r>
              <w:rPr>
                <w:rFonts w:hint="default" w:ascii="Times New Roman" w:hAnsi="Times New Roman" w:eastAsia="宋体" w:cs="Times New Roman"/>
                <w:b/>
                <w:bCs w:val="0"/>
                <w:color w:val="auto"/>
                <w:sz w:val="24"/>
                <w:lang w:val="en-US" w:eastAsia="zh-CN"/>
              </w:rPr>
              <w:t>“</w:t>
            </w:r>
            <w:r>
              <w:rPr>
                <w:rFonts w:hint="default" w:ascii="Times New Roman" w:hAnsi="Times New Roman" w:eastAsia="宋体" w:cs="Times New Roman"/>
                <w:b/>
                <w:bCs w:val="0"/>
                <w:color w:val="auto"/>
                <w:sz w:val="24"/>
                <w:lang w:eastAsia="zh-CN"/>
              </w:rPr>
              <w:t>三区三线</w:t>
            </w:r>
            <w:r>
              <w:rPr>
                <w:rFonts w:hint="default" w:ascii="Times New Roman" w:hAnsi="Times New Roman" w:eastAsia="宋体" w:cs="Times New Roman"/>
                <w:b/>
                <w:bCs w:val="0"/>
                <w:color w:val="auto"/>
                <w:sz w:val="24"/>
                <w:lang w:val="en-US" w:eastAsia="zh-CN"/>
              </w:rPr>
              <w:t>”相符性分析。</w:t>
            </w:r>
          </w:p>
          <w:p w14:paraId="62DC498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lang w:val="en-US" w:eastAsia="zh-CN"/>
              </w:rPr>
              <w:t>金坛区“</w:t>
            </w:r>
            <w:r>
              <w:rPr>
                <w:rFonts w:hint="default" w:ascii="Times New Roman" w:hAnsi="Times New Roman" w:eastAsia="宋体" w:cs="Times New Roman"/>
                <w:color w:val="auto"/>
                <w:sz w:val="24"/>
                <w:lang w:eastAsia="zh-CN"/>
              </w:rPr>
              <w:t>三区三线</w:t>
            </w:r>
            <w:r>
              <w:rPr>
                <w:rFonts w:hint="default" w:ascii="Times New Roman" w:hAnsi="Times New Roman" w:eastAsia="宋体" w:cs="Times New Roman"/>
                <w:color w:val="auto"/>
                <w:sz w:val="24"/>
                <w:lang w:val="en-US" w:eastAsia="zh-CN"/>
              </w:rPr>
              <w:t>”划定成果已正式启用，</w:t>
            </w:r>
            <w:r>
              <w:rPr>
                <w:rFonts w:hint="default" w:ascii="Times New Roman" w:hAnsi="Times New Roman" w:eastAsia="宋体" w:cs="Times New Roman"/>
                <w:color w:val="auto"/>
                <w:sz w:val="24"/>
                <w:lang w:eastAsia="zh-CN"/>
              </w:rPr>
              <w:t>共划定耕地保护目标图斑31.3788万亩，永久基本农田28.264万亩，生态保护红线98.67平方公里，城镇开发边界115.67平方公里。</w:t>
            </w:r>
            <w:r>
              <w:rPr>
                <w:rFonts w:hint="default" w:ascii="Times New Roman" w:hAnsi="Times New Roman" w:eastAsia="宋体" w:cs="Times New Roman"/>
                <w:color w:val="auto"/>
                <w:sz w:val="24"/>
                <w:lang w:val="en-US" w:eastAsia="zh-CN"/>
              </w:rPr>
              <w:t>本项目位于</w:t>
            </w:r>
            <w:r>
              <w:rPr>
                <w:rFonts w:hint="default" w:ascii="Times New Roman" w:hAnsi="Times New Roman" w:cs="Times New Roman"/>
                <w:color w:val="auto"/>
                <w:sz w:val="24"/>
                <w:lang w:eastAsia="zh-CN"/>
              </w:rPr>
              <w:t>常州市金坛区良常中路249号32号</w:t>
            </w:r>
            <w:r>
              <w:rPr>
                <w:rFonts w:hint="default" w:ascii="Times New Roman" w:hAnsi="Times New Roman" w:eastAsia="宋体" w:cs="Times New Roman"/>
                <w:color w:val="auto"/>
                <w:sz w:val="24"/>
                <w:lang w:val="en-US" w:eastAsia="zh-CN"/>
              </w:rPr>
              <w:t>，属于工业用地，不属于</w:t>
            </w:r>
            <w:r>
              <w:rPr>
                <w:rFonts w:hint="default" w:ascii="Times New Roman" w:hAnsi="Times New Roman" w:eastAsia="宋体" w:cs="Times New Roman"/>
                <w:color w:val="auto"/>
                <w:sz w:val="24"/>
                <w:lang w:eastAsia="zh-CN"/>
              </w:rPr>
              <w:t>永久基本农田、生态保护红线范围。</w:t>
            </w:r>
          </w:p>
          <w:p w14:paraId="011BA136">
            <w:pPr>
              <w:numPr>
                <w:ilvl w:val="0"/>
                <w:numId w:val="2"/>
              </w:numPr>
              <w:autoSpaceDE w:val="0"/>
              <w:autoSpaceDN w:val="0"/>
              <w:adjustRightInd w:val="0"/>
              <w:snapToGrid w:val="0"/>
              <w:spacing w:line="500" w:lineRule="exact"/>
              <w:ind w:left="239" w:leftChars="114" w:firstLine="241" w:firstLineChars="100"/>
              <w:rPr>
                <w:rFonts w:hint="eastAsia" w:cs="Times New Roman"/>
                <w:b/>
                <w:bCs/>
                <w:color w:val="auto"/>
                <w:sz w:val="24"/>
                <w:lang w:val="en-US" w:eastAsia="zh-CN"/>
              </w:rPr>
            </w:pPr>
            <w:r>
              <w:rPr>
                <w:rFonts w:hint="eastAsia" w:cs="Times New Roman"/>
                <w:b/>
                <w:bCs/>
                <w:color w:val="auto"/>
                <w:sz w:val="24"/>
                <w:lang w:val="en-US" w:eastAsia="zh-CN"/>
              </w:rPr>
              <w:t>分区管控要求相符性分析</w:t>
            </w:r>
          </w:p>
          <w:p w14:paraId="373B3646">
            <w:pPr>
              <w:numPr>
                <w:ilvl w:val="0"/>
                <w:numId w:val="0"/>
              </w:numPr>
              <w:autoSpaceDE w:val="0"/>
              <w:autoSpaceDN w:val="0"/>
              <w:adjustRightInd w:val="0"/>
              <w:snapToGrid w:val="0"/>
              <w:spacing w:line="500" w:lineRule="exact"/>
              <w:ind w:firstLine="482" w:firstLineChars="200"/>
              <w:rPr>
                <w:rFonts w:hint="default" w:ascii="Times New Roman" w:hAnsi="Times New Roman" w:eastAsia="宋体" w:cs="Times New Roman"/>
                <w:b/>
                <w:color w:val="auto"/>
                <w:sz w:val="24"/>
              </w:rPr>
            </w:pPr>
            <w:r>
              <w:rPr>
                <w:rFonts w:hint="eastAsia" w:cs="Times New Roman"/>
                <w:b/>
                <w:color w:val="auto"/>
                <w:sz w:val="24"/>
                <w:lang w:eastAsia="zh-CN"/>
              </w:rPr>
              <w:t>（</w:t>
            </w:r>
            <w:r>
              <w:rPr>
                <w:rFonts w:hint="eastAsia" w:cs="Times New Roman"/>
                <w:b/>
                <w:color w:val="auto"/>
                <w:sz w:val="24"/>
                <w:lang w:val="en-US" w:eastAsia="zh-CN"/>
              </w:rPr>
              <w:t>1</w:t>
            </w:r>
            <w:r>
              <w:rPr>
                <w:rFonts w:hint="eastAsia" w:cs="Times New Roman"/>
                <w:b/>
                <w:color w:val="auto"/>
                <w:sz w:val="24"/>
                <w:lang w:eastAsia="zh-CN"/>
              </w:rPr>
              <w:t>）</w:t>
            </w:r>
            <w:r>
              <w:rPr>
                <w:rFonts w:hint="default" w:ascii="Times New Roman" w:hAnsi="Times New Roman" w:eastAsia="宋体" w:cs="Times New Roman"/>
                <w:b/>
                <w:color w:val="auto"/>
                <w:sz w:val="24"/>
              </w:rPr>
              <w:t>与</w:t>
            </w:r>
            <w:r>
              <w:rPr>
                <w:rFonts w:hint="default" w:ascii="Times New Roman" w:hAnsi="Times New Roman" w:cs="Times New Roman"/>
                <w:b/>
                <w:color w:val="auto"/>
                <w:sz w:val="24"/>
                <w:lang w:eastAsia="zh-CN"/>
              </w:rPr>
              <w:t>《</w:t>
            </w:r>
            <w:r>
              <w:rPr>
                <w:rFonts w:hint="default" w:ascii="Times New Roman" w:hAnsi="Times New Roman" w:cs="Times New Roman"/>
                <w:b/>
                <w:bCs w:val="0"/>
                <w:color w:val="auto"/>
                <w:sz w:val="24"/>
                <w:lang w:eastAsia="zh-CN"/>
              </w:rPr>
              <w:t>江苏省2023年度生态环境分区管控动态更新成果公告》、</w:t>
            </w:r>
            <w:r>
              <w:rPr>
                <w:rFonts w:hint="default" w:ascii="Times New Roman" w:hAnsi="Times New Roman" w:eastAsia="宋体" w:cs="Times New Roman"/>
                <w:b/>
                <w:bCs w:val="0"/>
                <w:color w:val="auto"/>
                <w:sz w:val="24"/>
              </w:rPr>
              <w:t>《江苏省政府关于印发江苏省“三线一单”生态环境分区管控方案的通知》（苏政发[2020]49号）相符性分析</w:t>
            </w:r>
          </w:p>
          <w:p w14:paraId="75507597">
            <w:pPr>
              <w:autoSpaceDE w:val="0"/>
              <w:autoSpaceDN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本项目位于</w:t>
            </w:r>
            <w:r>
              <w:rPr>
                <w:rFonts w:hint="default" w:ascii="Times New Roman" w:hAnsi="Times New Roman" w:cs="Times New Roman"/>
                <w:color w:val="auto"/>
                <w:sz w:val="24"/>
                <w:lang w:eastAsia="zh-CN"/>
              </w:rPr>
              <w:t>常州市金坛区良常中路249号32号</w:t>
            </w:r>
            <w:r>
              <w:rPr>
                <w:rFonts w:hint="default" w:ascii="Times New Roman" w:hAnsi="Times New Roman" w:eastAsia="宋体" w:cs="Times New Roman"/>
                <w:bCs/>
                <w:color w:val="auto"/>
                <w:sz w:val="24"/>
              </w:rPr>
              <w:t>，对照</w:t>
            </w:r>
            <w:r>
              <w:rPr>
                <w:rFonts w:hint="default" w:ascii="Times New Roman" w:hAnsi="Times New Roman" w:cs="Times New Roman"/>
                <w:bCs/>
                <w:color w:val="auto"/>
                <w:sz w:val="24"/>
                <w:lang w:eastAsia="zh-CN"/>
              </w:rPr>
              <w:t>《江苏省2023年度生态环境分区管控动态更新成果公告</w:t>
            </w:r>
            <w:r>
              <w:rPr>
                <w:rFonts w:hint="default" w:ascii="Times New Roman" w:hAnsi="Times New Roman" w:cs="Times New Roman"/>
                <w:b w:val="0"/>
                <w:bCs/>
                <w:color w:val="auto"/>
                <w:sz w:val="24"/>
                <w:lang w:eastAsia="zh-CN"/>
              </w:rPr>
              <w:t>》、</w:t>
            </w:r>
            <w:r>
              <w:rPr>
                <w:rFonts w:hint="default" w:ascii="Times New Roman" w:hAnsi="Times New Roman" w:eastAsia="宋体" w:cs="Times New Roman"/>
                <w:b w:val="0"/>
                <w:bCs/>
                <w:color w:val="auto"/>
                <w:sz w:val="24"/>
              </w:rPr>
              <w:t>《江苏省政府关于印发江苏省“三线一单”生态环境分区管控方案的通知》（苏政发[2020]49号）可</w:t>
            </w:r>
            <w:r>
              <w:rPr>
                <w:rFonts w:hint="default" w:ascii="Times New Roman" w:hAnsi="Times New Roman" w:eastAsia="宋体" w:cs="Times New Roman"/>
                <w:bCs/>
                <w:color w:val="auto"/>
                <w:sz w:val="24"/>
              </w:rPr>
              <w:t>知，项目位于</w:t>
            </w:r>
            <w:r>
              <w:rPr>
                <w:rFonts w:hint="default" w:ascii="Times New Roman" w:hAnsi="Times New Roman" w:eastAsia="宋体" w:cs="Times New Roman"/>
                <w:bCs/>
                <w:color w:val="auto"/>
                <w:sz w:val="24"/>
                <w:highlight w:val="none"/>
              </w:rPr>
              <w:t>重点管控单元，</w:t>
            </w:r>
            <w:r>
              <w:rPr>
                <w:rFonts w:hint="default" w:ascii="Times New Roman" w:hAnsi="Times New Roman" w:eastAsia="宋体" w:cs="Times New Roman"/>
                <w:bCs/>
                <w:color w:val="auto"/>
                <w:sz w:val="24"/>
              </w:rPr>
              <w:t>其重点管控要求与本项目的相符性分析见</w:t>
            </w:r>
            <w:r>
              <w:rPr>
                <w:rFonts w:hint="default" w:ascii="Times New Roman" w:hAnsi="Times New Roman" w:eastAsia="宋体" w:cs="Times New Roman"/>
                <w:bCs/>
                <w:color w:val="auto"/>
                <w:sz w:val="24"/>
                <w:lang w:val="en-US" w:eastAsia="zh-CN"/>
              </w:rPr>
              <w:t>下表</w:t>
            </w:r>
            <w:r>
              <w:rPr>
                <w:rFonts w:hint="default" w:ascii="Times New Roman" w:hAnsi="Times New Roman" w:eastAsia="宋体" w:cs="Times New Roman"/>
                <w:bCs/>
                <w:color w:val="auto"/>
                <w:sz w:val="24"/>
              </w:rPr>
              <w:t>。</w:t>
            </w:r>
          </w:p>
          <w:p w14:paraId="295D22A2">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《江苏省2023年度生态环境分区管控动态更新成果公告》</w:t>
            </w:r>
            <w:r>
              <w:rPr>
                <w:rFonts w:hint="default" w:ascii="Times New Roman" w:hAnsi="Times New Roman" w:eastAsia="宋体" w:cs="Times New Roman"/>
                <w:b/>
                <w:bCs/>
                <w:color w:val="auto"/>
                <w:sz w:val="21"/>
                <w:szCs w:val="21"/>
              </w:rPr>
              <w:t>相符性分析</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87"/>
              <w:gridCol w:w="554"/>
              <w:gridCol w:w="3689"/>
              <w:gridCol w:w="2650"/>
              <w:gridCol w:w="686"/>
            </w:tblGrid>
            <w:tr w14:paraId="35E9881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noWrap w:val="0"/>
                  <w:tcMar>
                    <w:top w:w="0" w:type="dxa"/>
                    <w:left w:w="0" w:type="dxa"/>
                    <w:bottom w:w="0" w:type="dxa"/>
                    <w:right w:w="0" w:type="dxa"/>
                  </w:tcMar>
                  <w:vAlign w:val="center"/>
                </w:tcPr>
                <w:p w14:paraId="15626549">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2629" w:type="pct"/>
                  <w:gridSpan w:val="2"/>
                  <w:noWrap w:val="0"/>
                  <w:tcMar>
                    <w:top w:w="0" w:type="dxa"/>
                    <w:left w:w="0" w:type="dxa"/>
                    <w:bottom w:w="0" w:type="dxa"/>
                    <w:right w:w="0" w:type="dxa"/>
                  </w:tcMar>
                  <w:vAlign w:val="center"/>
                </w:tcPr>
                <w:p w14:paraId="75C00AAE">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管控要求</w:t>
                  </w:r>
                </w:p>
              </w:tc>
              <w:tc>
                <w:tcPr>
                  <w:tcW w:w="1642" w:type="pct"/>
                  <w:noWrap w:val="0"/>
                  <w:tcMar>
                    <w:top w:w="0" w:type="dxa"/>
                    <w:left w:w="0" w:type="dxa"/>
                    <w:bottom w:w="0" w:type="dxa"/>
                    <w:right w:w="0" w:type="dxa"/>
                  </w:tcMar>
                  <w:vAlign w:val="center"/>
                </w:tcPr>
                <w:p w14:paraId="660782D3">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本项目相关内容</w:t>
                  </w:r>
                </w:p>
              </w:tc>
              <w:tc>
                <w:tcPr>
                  <w:tcW w:w="425" w:type="pct"/>
                  <w:noWrap w:val="0"/>
                  <w:tcMar>
                    <w:top w:w="0" w:type="dxa"/>
                    <w:left w:w="0" w:type="dxa"/>
                    <w:bottom w:w="0" w:type="dxa"/>
                    <w:right w:w="0" w:type="dxa"/>
                  </w:tcMar>
                  <w:vAlign w:val="center"/>
                </w:tcPr>
                <w:p w14:paraId="3A89A242">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相符性</w:t>
                  </w:r>
                </w:p>
              </w:tc>
            </w:tr>
            <w:tr w14:paraId="531780C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2" w:type="pct"/>
                  <w:vMerge w:val="restart"/>
                  <w:noWrap w:val="0"/>
                  <w:tcMar>
                    <w:top w:w="0" w:type="dxa"/>
                    <w:left w:w="0" w:type="dxa"/>
                    <w:bottom w:w="0" w:type="dxa"/>
                    <w:right w:w="0" w:type="dxa"/>
                  </w:tcMar>
                  <w:vAlign w:val="center"/>
                </w:tcPr>
                <w:p w14:paraId="4FB176D3">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343" w:type="pct"/>
                  <w:vMerge w:val="restart"/>
                  <w:noWrap w:val="0"/>
                  <w:tcMar>
                    <w:top w:w="0" w:type="dxa"/>
                    <w:left w:w="0" w:type="dxa"/>
                    <w:bottom w:w="0" w:type="dxa"/>
                    <w:right w:w="0" w:type="dxa"/>
                  </w:tcMar>
                  <w:vAlign w:val="center"/>
                </w:tcPr>
                <w:p w14:paraId="570FA31C">
                  <w:pPr>
                    <w:jc w:val="center"/>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2286" w:type="pct"/>
                  <w:noWrap w:val="0"/>
                  <w:tcMar>
                    <w:top w:w="0" w:type="dxa"/>
                    <w:left w:w="0" w:type="dxa"/>
                    <w:bottom w:w="0" w:type="dxa"/>
                    <w:right w:w="0" w:type="dxa"/>
                  </w:tcMar>
                  <w:vAlign w:val="center"/>
                </w:tcPr>
                <w:p w14:paraId="66027486">
                  <w:pPr>
                    <w:jc w:val="center"/>
                    <w:rPr>
                      <w:rFonts w:hint="default" w:ascii="Times New Roman" w:hAnsi="Times New Roman" w:cs="Times New Roman"/>
                      <w:color w:val="auto"/>
                      <w:szCs w:val="21"/>
                    </w:rPr>
                  </w:pPr>
                  <w:r>
                    <w:rPr>
                      <w:rFonts w:hint="default" w:ascii="Times New Roman" w:hAnsi="Times New Roman" w:cs="Times New Roman"/>
                      <w:color w:val="auto"/>
                      <w:szCs w:val="21"/>
                    </w:rPr>
                    <w:t>1．按照《自然资源部生态环境部国家林业和草原局关于加强生态保护红线管理的通知（试行）》（自然资发〔2022〕</w:t>
                  </w:r>
                </w:p>
                <w:p w14:paraId="0C5A646A">
                  <w:pPr>
                    <w:jc w:val="center"/>
                    <w:rPr>
                      <w:rFonts w:hint="default" w:ascii="Times New Roman" w:hAnsi="Times New Roman" w:cs="Times New Roman"/>
                      <w:color w:val="auto"/>
                      <w:szCs w:val="21"/>
                    </w:rPr>
                  </w:pPr>
                  <w:r>
                    <w:rPr>
                      <w:rFonts w:hint="default" w:ascii="Times New Roman" w:hAnsi="Times New Roman" w:cs="Times New Roman"/>
                      <w:color w:val="auto"/>
                      <w:szCs w:val="21"/>
                    </w:rPr>
                    <w:t>142号）、《省政府关于印发江苏省生态空间管控区域规划的通知》（苏政发〔2020〕1号）、《关于进一步加强生态保护红线监督管理的通知》（苏自然函（2023）880号）、《江苏省国土空间规划（2021—2035年）》（国函〔2023〕</w:t>
                  </w:r>
                </w:p>
                <w:p w14:paraId="11086430">
                  <w:pPr>
                    <w:jc w:val="center"/>
                    <w:rPr>
                      <w:rFonts w:hint="default" w:ascii="Times New Roman" w:hAnsi="Times New Roman" w:cs="Times New Roman"/>
                      <w:color w:val="auto"/>
                      <w:szCs w:val="21"/>
                    </w:rPr>
                  </w:pPr>
                  <w:r>
                    <w:rPr>
                      <w:rFonts w:hint="default" w:ascii="Times New Roman" w:hAnsi="Times New Roman" w:cs="Times New Roman"/>
                      <w:color w:val="auto"/>
                      <w:szCs w:val="21"/>
                    </w:rPr>
                    <w:t>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642" w:type="pct"/>
                  <w:noWrap w:val="0"/>
                  <w:tcMar>
                    <w:top w:w="0" w:type="dxa"/>
                    <w:left w:w="0" w:type="dxa"/>
                    <w:bottom w:w="0" w:type="dxa"/>
                    <w:right w:w="0" w:type="dxa"/>
                  </w:tcMar>
                  <w:vAlign w:val="center"/>
                </w:tcPr>
                <w:p w14:paraId="3FCA3040">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本项目不在生态保护红线范围内，项目实施后，不会使生态功能不降低、不会影响生态空间面积、不会改变生态空间性质。</w:t>
                  </w:r>
                </w:p>
              </w:tc>
              <w:tc>
                <w:tcPr>
                  <w:tcW w:w="425" w:type="pct"/>
                  <w:noWrap w:val="0"/>
                  <w:tcMar>
                    <w:top w:w="0" w:type="dxa"/>
                    <w:left w:w="0" w:type="dxa"/>
                    <w:bottom w:w="0" w:type="dxa"/>
                    <w:right w:w="0" w:type="dxa"/>
                  </w:tcMar>
                  <w:vAlign w:val="center"/>
                </w:tcPr>
                <w:p w14:paraId="172E5977">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77527F2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2" w:type="pct"/>
                  <w:vMerge w:val="continue"/>
                  <w:noWrap w:val="0"/>
                  <w:tcMar>
                    <w:top w:w="0" w:type="dxa"/>
                    <w:left w:w="0" w:type="dxa"/>
                    <w:bottom w:w="0" w:type="dxa"/>
                    <w:right w:w="0" w:type="dxa"/>
                  </w:tcMar>
                  <w:vAlign w:val="center"/>
                </w:tcPr>
                <w:p w14:paraId="189E5AFD">
                  <w:pPr>
                    <w:jc w:val="center"/>
                    <w:rPr>
                      <w:rFonts w:hint="default" w:ascii="Times New Roman" w:hAnsi="Times New Roman" w:cs="Times New Roman"/>
                      <w:color w:val="auto"/>
                    </w:rPr>
                  </w:pPr>
                </w:p>
              </w:tc>
              <w:tc>
                <w:tcPr>
                  <w:tcW w:w="343" w:type="pct"/>
                  <w:vMerge w:val="continue"/>
                  <w:noWrap w:val="0"/>
                  <w:tcMar>
                    <w:top w:w="0" w:type="dxa"/>
                    <w:left w:w="0" w:type="dxa"/>
                    <w:bottom w:w="0" w:type="dxa"/>
                    <w:right w:w="0" w:type="dxa"/>
                  </w:tcMar>
                  <w:vAlign w:val="center"/>
                </w:tcPr>
                <w:p w14:paraId="60CDEA7F">
                  <w:pPr>
                    <w:jc w:val="center"/>
                    <w:rPr>
                      <w:rFonts w:hint="default" w:ascii="Times New Roman" w:hAnsi="Times New Roman" w:cs="Times New Roman"/>
                      <w:color w:val="auto"/>
                    </w:rPr>
                  </w:pPr>
                </w:p>
              </w:tc>
              <w:tc>
                <w:tcPr>
                  <w:tcW w:w="2286" w:type="pct"/>
                  <w:noWrap w:val="0"/>
                  <w:tcMar>
                    <w:top w:w="0" w:type="dxa"/>
                    <w:left w:w="0" w:type="dxa"/>
                    <w:bottom w:w="0" w:type="dxa"/>
                    <w:right w:w="0" w:type="dxa"/>
                  </w:tcMar>
                  <w:vAlign w:val="center"/>
                </w:tcPr>
                <w:p w14:paraId="65823175">
                  <w:pPr>
                    <w:jc w:val="center"/>
                    <w:rPr>
                      <w:rFonts w:hint="default" w:ascii="Times New Roman" w:hAnsi="Times New Roman" w:cs="Times New Roman"/>
                      <w:color w:val="auto"/>
                      <w:szCs w:val="21"/>
                    </w:rPr>
                  </w:pPr>
                  <w:r>
                    <w:rPr>
                      <w:rFonts w:hint="default" w:ascii="Times New Roman" w:hAnsi="Times New Roman" w:cs="Times New Roman"/>
                      <w:color w:val="auto"/>
                      <w:szCs w:val="21"/>
                    </w:rPr>
                    <w:t>2．牢牢把握推动长江经济带发展“共抓大保护，不搞大开发”战略导向，对省域范围内需要重点保护的岸线、河段和区域实行严格管控，管住控好排放量大、耗能高、产能过剩的产业，推动长江经济带高质量发展。</w:t>
                  </w:r>
                </w:p>
              </w:tc>
              <w:tc>
                <w:tcPr>
                  <w:tcW w:w="1642" w:type="pct"/>
                  <w:noWrap w:val="0"/>
                  <w:tcMar>
                    <w:top w:w="0" w:type="dxa"/>
                    <w:left w:w="0" w:type="dxa"/>
                    <w:bottom w:w="0" w:type="dxa"/>
                    <w:right w:w="0" w:type="dxa"/>
                  </w:tcMar>
                  <w:vAlign w:val="center"/>
                </w:tcPr>
                <w:p w14:paraId="0C8B6D9A">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本项目不在重点保护的岸线、河段、区域范围内，不属于排放量大、</w:t>
                  </w:r>
                  <w:r>
                    <w:rPr>
                      <w:rFonts w:hint="default" w:ascii="Times New Roman" w:hAnsi="Times New Roman" w:cs="Times New Roman"/>
                      <w:color w:val="auto"/>
                      <w:szCs w:val="21"/>
                    </w:rPr>
                    <w:t>耗能高</w:t>
                  </w:r>
                  <w:r>
                    <w:rPr>
                      <w:rFonts w:hint="default" w:ascii="Times New Roman" w:hAnsi="Times New Roman" w:cs="Times New Roman"/>
                      <w:color w:val="auto"/>
                      <w:szCs w:val="21"/>
                      <w:lang w:val="en-US" w:eastAsia="zh-CN"/>
                    </w:rPr>
                    <w:t>、产能过剩的产业。</w:t>
                  </w:r>
                </w:p>
              </w:tc>
              <w:tc>
                <w:tcPr>
                  <w:tcW w:w="425" w:type="pct"/>
                  <w:noWrap w:val="0"/>
                  <w:tcMar>
                    <w:top w:w="0" w:type="dxa"/>
                    <w:left w:w="0" w:type="dxa"/>
                    <w:bottom w:w="0" w:type="dxa"/>
                    <w:right w:w="0" w:type="dxa"/>
                  </w:tcMar>
                  <w:vAlign w:val="center"/>
                </w:tcPr>
                <w:p w14:paraId="673FB714">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42A629F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2" w:type="pct"/>
                  <w:vMerge w:val="continue"/>
                  <w:noWrap w:val="0"/>
                  <w:tcMar>
                    <w:top w:w="0" w:type="dxa"/>
                    <w:left w:w="0" w:type="dxa"/>
                    <w:bottom w:w="0" w:type="dxa"/>
                    <w:right w:w="0" w:type="dxa"/>
                  </w:tcMar>
                  <w:vAlign w:val="center"/>
                </w:tcPr>
                <w:p w14:paraId="3373B5FD">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18FEEB7F">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2DB8132F">
                  <w:pPr>
                    <w:jc w:val="center"/>
                    <w:rPr>
                      <w:rFonts w:hint="default" w:ascii="Times New Roman" w:hAnsi="Times New Roman" w:cs="Times New Roman"/>
                      <w:color w:val="auto"/>
                      <w:szCs w:val="21"/>
                    </w:rPr>
                  </w:pPr>
                  <w:r>
                    <w:rPr>
                      <w:rFonts w:hint="default" w:ascii="Times New Roman" w:hAnsi="Times New Roman" w:cs="Times New Roman"/>
                      <w:color w:val="auto"/>
                      <w:szCs w:val="21"/>
                    </w:rPr>
                    <w:t>3．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642" w:type="pct"/>
                  <w:noWrap w:val="0"/>
                  <w:tcMar>
                    <w:top w:w="0" w:type="dxa"/>
                    <w:left w:w="0" w:type="dxa"/>
                    <w:bottom w:w="0" w:type="dxa"/>
                    <w:right w:w="0" w:type="dxa"/>
                  </w:tcMar>
                  <w:vAlign w:val="center"/>
                </w:tcPr>
                <w:p w14:paraId="5B7667AC">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本项目不在长江干支流两侧1公里范围内。</w:t>
                  </w:r>
                </w:p>
              </w:tc>
              <w:tc>
                <w:tcPr>
                  <w:tcW w:w="425" w:type="pct"/>
                  <w:noWrap w:val="0"/>
                  <w:tcMar>
                    <w:top w:w="0" w:type="dxa"/>
                    <w:left w:w="0" w:type="dxa"/>
                    <w:bottom w:w="0" w:type="dxa"/>
                    <w:right w:w="0" w:type="dxa"/>
                  </w:tcMar>
                  <w:vAlign w:val="center"/>
                </w:tcPr>
                <w:p w14:paraId="0E715ED8">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6D51FFD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2" w:type="pct"/>
                  <w:vMerge w:val="continue"/>
                  <w:noWrap w:val="0"/>
                  <w:tcMar>
                    <w:top w:w="0" w:type="dxa"/>
                    <w:left w:w="0" w:type="dxa"/>
                    <w:bottom w:w="0" w:type="dxa"/>
                    <w:right w:w="0" w:type="dxa"/>
                  </w:tcMar>
                  <w:vAlign w:val="center"/>
                </w:tcPr>
                <w:p w14:paraId="53E206E6">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1FC9E442">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756BFE26">
                  <w:pPr>
                    <w:jc w:val="center"/>
                    <w:rPr>
                      <w:rFonts w:hint="default" w:ascii="Times New Roman" w:hAnsi="Times New Roman" w:cs="Times New Roman"/>
                      <w:color w:val="auto"/>
                      <w:szCs w:val="21"/>
                    </w:rPr>
                  </w:pPr>
                  <w:r>
                    <w:rPr>
                      <w:rFonts w:hint="default" w:ascii="Times New Roman" w:hAnsi="Times New Roman" w:cs="Times New Roman"/>
                      <w:color w:val="auto"/>
                      <w:szCs w:val="21"/>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642" w:type="pct"/>
                  <w:noWrap w:val="0"/>
                  <w:tcMar>
                    <w:top w:w="0" w:type="dxa"/>
                    <w:left w:w="0" w:type="dxa"/>
                    <w:bottom w:w="0" w:type="dxa"/>
                    <w:right w:w="0" w:type="dxa"/>
                  </w:tcMar>
                  <w:vAlign w:val="center"/>
                </w:tcPr>
                <w:p w14:paraId="7692D319">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本项目不属于钢铁行业。</w:t>
                  </w:r>
                </w:p>
              </w:tc>
              <w:tc>
                <w:tcPr>
                  <w:tcW w:w="425" w:type="pct"/>
                  <w:noWrap w:val="0"/>
                  <w:tcMar>
                    <w:top w:w="0" w:type="dxa"/>
                    <w:left w:w="0" w:type="dxa"/>
                    <w:bottom w:w="0" w:type="dxa"/>
                    <w:right w:w="0" w:type="dxa"/>
                  </w:tcMar>
                  <w:vAlign w:val="center"/>
                </w:tcPr>
                <w:p w14:paraId="04FA6FCD">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37E62F1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continue"/>
                  <w:noWrap w:val="0"/>
                  <w:tcMar>
                    <w:top w:w="0" w:type="dxa"/>
                    <w:left w:w="0" w:type="dxa"/>
                    <w:bottom w:w="0" w:type="dxa"/>
                    <w:right w:w="0" w:type="dxa"/>
                  </w:tcMar>
                  <w:vAlign w:val="center"/>
                </w:tcPr>
                <w:p w14:paraId="262EA0BB">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2D35B14B">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646FE6EC">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r>
                    <w:rPr>
                      <w:rFonts w:hint="default" w:ascii="Times New Roman" w:hAnsi="Times New Roman" w:cs="Times New Roman"/>
                      <w:color w:val="auto"/>
                      <w:szCs w:val="21"/>
                      <w:lang w:eastAsia="zh-CN"/>
                    </w:rPr>
                    <w:t>。</w:t>
                  </w:r>
                </w:p>
              </w:tc>
              <w:tc>
                <w:tcPr>
                  <w:tcW w:w="1642" w:type="pct"/>
                  <w:noWrap w:val="0"/>
                  <w:tcMar>
                    <w:top w:w="0" w:type="dxa"/>
                    <w:left w:w="0" w:type="dxa"/>
                    <w:bottom w:w="0" w:type="dxa"/>
                    <w:right w:w="0" w:type="dxa"/>
                  </w:tcMar>
                  <w:vAlign w:val="center"/>
                </w:tcPr>
                <w:p w14:paraId="7B7839EB">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val="en-US" w:eastAsia="zh-CN"/>
                    </w:rPr>
                    <w:t>不涉及</w:t>
                  </w:r>
                  <w:r>
                    <w:rPr>
                      <w:rFonts w:hint="default" w:ascii="Times New Roman" w:hAnsi="Times New Roman" w:cs="Times New Roman"/>
                      <w:color w:val="auto"/>
                      <w:szCs w:val="21"/>
                    </w:rPr>
                    <w:t>生态保护红线</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相关法定保护区的重大民生项目、</w:t>
                  </w:r>
                  <w:r>
                    <w:rPr>
                      <w:rFonts w:hint="default" w:ascii="Times New Roman" w:hAnsi="Times New Roman" w:cs="Times New Roman"/>
                      <w:color w:val="auto"/>
                      <w:szCs w:val="21"/>
                    </w:rPr>
                    <w:t>重大基础设施项目</w:t>
                  </w:r>
                  <w:r>
                    <w:rPr>
                      <w:rFonts w:hint="default" w:ascii="Times New Roman" w:hAnsi="Times New Roman" w:cs="Times New Roman"/>
                      <w:color w:val="auto"/>
                      <w:szCs w:val="21"/>
                      <w:lang w:eastAsia="zh-CN"/>
                    </w:rPr>
                    <w:t>。</w:t>
                  </w:r>
                </w:p>
              </w:tc>
              <w:tc>
                <w:tcPr>
                  <w:tcW w:w="425" w:type="pct"/>
                  <w:noWrap w:val="0"/>
                  <w:tcMar>
                    <w:top w:w="0" w:type="dxa"/>
                    <w:left w:w="0" w:type="dxa"/>
                    <w:bottom w:w="0" w:type="dxa"/>
                    <w:right w:w="0" w:type="dxa"/>
                  </w:tcMar>
                  <w:vAlign w:val="center"/>
                </w:tcPr>
                <w:p w14:paraId="6C6DBA3F">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17345A6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restart"/>
                  <w:noWrap w:val="0"/>
                  <w:tcMar>
                    <w:top w:w="0" w:type="dxa"/>
                    <w:left w:w="0" w:type="dxa"/>
                    <w:bottom w:w="0" w:type="dxa"/>
                    <w:right w:w="0" w:type="dxa"/>
                  </w:tcMar>
                  <w:vAlign w:val="center"/>
                </w:tcPr>
                <w:p w14:paraId="49F66272">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343" w:type="pct"/>
                  <w:vMerge w:val="restart"/>
                  <w:noWrap w:val="0"/>
                  <w:tcMar>
                    <w:top w:w="0" w:type="dxa"/>
                    <w:left w:w="0" w:type="dxa"/>
                    <w:bottom w:w="0" w:type="dxa"/>
                    <w:right w:w="0" w:type="dxa"/>
                  </w:tcMar>
                  <w:vAlign w:val="center"/>
                </w:tcPr>
                <w:p w14:paraId="5DD15CFC">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2286" w:type="pct"/>
                  <w:noWrap w:val="0"/>
                  <w:tcMar>
                    <w:top w:w="0" w:type="dxa"/>
                    <w:left w:w="0" w:type="dxa"/>
                    <w:bottom w:w="0" w:type="dxa"/>
                    <w:right w:w="0" w:type="dxa"/>
                  </w:tcMar>
                  <w:vAlign w:val="center"/>
                </w:tcPr>
                <w:p w14:paraId="3F6B0F6C">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1．坚持生态环境质量只能更好、不能变坏，实施污染物总量控制，以环境容量定产业、定项目、定规模，确保开发建设行为不突破生态环境承载力。</w:t>
                  </w:r>
                </w:p>
              </w:tc>
              <w:tc>
                <w:tcPr>
                  <w:tcW w:w="1642" w:type="pct"/>
                  <w:noWrap w:val="0"/>
                  <w:tcMar>
                    <w:top w:w="0" w:type="dxa"/>
                    <w:left w:w="0" w:type="dxa"/>
                    <w:bottom w:w="0" w:type="dxa"/>
                    <w:right w:w="0" w:type="dxa"/>
                  </w:tcMar>
                  <w:vAlign w:val="center"/>
                </w:tcPr>
                <w:p w14:paraId="6312BF1F">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本项目应按要求向常州市金坛生态环境局申请总量。</w:t>
                  </w:r>
                </w:p>
              </w:tc>
              <w:tc>
                <w:tcPr>
                  <w:tcW w:w="425" w:type="pct"/>
                  <w:noWrap w:val="0"/>
                  <w:tcMar>
                    <w:top w:w="0" w:type="dxa"/>
                    <w:left w:w="0" w:type="dxa"/>
                    <w:bottom w:w="0" w:type="dxa"/>
                    <w:right w:w="0" w:type="dxa"/>
                  </w:tcMar>
                  <w:vAlign w:val="center"/>
                </w:tcPr>
                <w:p w14:paraId="19461ADE">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29DDDCA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continue"/>
                  <w:noWrap w:val="0"/>
                  <w:tcMar>
                    <w:top w:w="0" w:type="dxa"/>
                    <w:left w:w="0" w:type="dxa"/>
                    <w:bottom w:w="0" w:type="dxa"/>
                    <w:right w:w="0" w:type="dxa"/>
                  </w:tcMar>
                  <w:vAlign w:val="center"/>
                </w:tcPr>
                <w:p w14:paraId="7A2E089F">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6C3398A6">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51BA833D">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642" w:type="pct"/>
                  <w:noWrap w:val="0"/>
                  <w:tcMar>
                    <w:top w:w="0" w:type="dxa"/>
                    <w:left w:w="0" w:type="dxa"/>
                    <w:bottom w:w="0" w:type="dxa"/>
                    <w:right w:w="0" w:type="dxa"/>
                  </w:tcMar>
                  <w:vAlign w:val="center"/>
                </w:tcPr>
                <w:p w14:paraId="5937671C">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本项目不属于</w:t>
                  </w:r>
                  <w:r>
                    <w:rPr>
                      <w:rFonts w:hint="default" w:ascii="Times New Roman" w:hAnsi="Times New Roman" w:cs="Times New Roman"/>
                      <w:color w:val="auto"/>
                      <w:szCs w:val="21"/>
                      <w:lang w:val="en-US" w:eastAsia="zh-CN"/>
                    </w:rPr>
                    <w:t>高能耗</w:t>
                  </w:r>
                  <w:r>
                    <w:rPr>
                      <w:rFonts w:hint="default" w:ascii="Times New Roman" w:hAnsi="Times New Roman" w:cs="Times New Roman"/>
                      <w:color w:val="auto"/>
                      <w:szCs w:val="21"/>
                    </w:rPr>
                    <w:t>工业，</w:t>
                  </w:r>
                  <w:r>
                    <w:rPr>
                      <w:rFonts w:hint="default" w:ascii="Times New Roman" w:hAnsi="Times New Roman" w:cs="Times New Roman"/>
                      <w:color w:val="auto"/>
                      <w:szCs w:val="21"/>
                      <w:lang w:val="en-US" w:eastAsia="zh-CN"/>
                    </w:rPr>
                    <w:t>项目</w:t>
                  </w:r>
                  <w:r>
                    <w:rPr>
                      <w:rFonts w:hint="default" w:ascii="Times New Roman" w:hAnsi="Times New Roman" w:cs="Times New Roman"/>
                      <w:color w:val="auto"/>
                      <w:szCs w:val="21"/>
                    </w:rPr>
                    <w:t>有机废气经集气罩收集通两级活性炭吸附</w:t>
                  </w:r>
                  <w:r>
                    <w:rPr>
                      <w:rFonts w:hint="default" w:ascii="Times New Roman" w:hAnsi="Times New Roman" w:cs="Times New Roman"/>
                      <w:color w:val="auto"/>
                      <w:szCs w:val="21"/>
                      <w:lang w:val="en-US" w:eastAsia="zh-CN"/>
                    </w:rPr>
                    <w:t>后可</w:t>
                  </w:r>
                  <w:r>
                    <w:rPr>
                      <w:rFonts w:hint="default" w:ascii="Times New Roman" w:hAnsi="Times New Roman" w:cs="Times New Roman"/>
                      <w:color w:val="auto"/>
                      <w:szCs w:val="21"/>
                    </w:rPr>
                    <w:t>达标排放。</w:t>
                  </w:r>
                </w:p>
              </w:tc>
              <w:tc>
                <w:tcPr>
                  <w:tcW w:w="425" w:type="pct"/>
                  <w:noWrap w:val="0"/>
                  <w:tcMar>
                    <w:top w:w="0" w:type="dxa"/>
                    <w:left w:w="0" w:type="dxa"/>
                    <w:bottom w:w="0" w:type="dxa"/>
                    <w:right w:w="0" w:type="dxa"/>
                  </w:tcMar>
                  <w:vAlign w:val="center"/>
                </w:tcPr>
                <w:p w14:paraId="1F5DEDD0">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3AA5C06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restart"/>
                  <w:noWrap w:val="0"/>
                  <w:tcMar>
                    <w:top w:w="0" w:type="dxa"/>
                    <w:left w:w="0" w:type="dxa"/>
                    <w:bottom w:w="0" w:type="dxa"/>
                    <w:right w:w="0" w:type="dxa"/>
                  </w:tcMar>
                  <w:vAlign w:val="center"/>
                </w:tcPr>
                <w:p w14:paraId="0F96FAFD">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343" w:type="pct"/>
                  <w:vMerge w:val="restart"/>
                  <w:noWrap w:val="0"/>
                  <w:tcMar>
                    <w:top w:w="0" w:type="dxa"/>
                    <w:left w:w="0" w:type="dxa"/>
                    <w:bottom w:w="0" w:type="dxa"/>
                    <w:right w:w="0" w:type="dxa"/>
                  </w:tcMar>
                  <w:vAlign w:val="center"/>
                </w:tcPr>
                <w:p w14:paraId="56C97EDA">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环境风险防控</w:t>
                  </w:r>
                </w:p>
              </w:tc>
              <w:tc>
                <w:tcPr>
                  <w:tcW w:w="2286" w:type="pct"/>
                  <w:noWrap w:val="0"/>
                  <w:tcMar>
                    <w:top w:w="0" w:type="dxa"/>
                    <w:left w:w="0" w:type="dxa"/>
                    <w:bottom w:w="0" w:type="dxa"/>
                    <w:right w:w="0" w:type="dxa"/>
                  </w:tcMar>
                  <w:vAlign w:val="center"/>
                </w:tcPr>
                <w:p w14:paraId="7300E89A">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642" w:type="pct"/>
                  <w:noWrap w:val="0"/>
                  <w:tcMar>
                    <w:top w:w="0" w:type="dxa"/>
                    <w:left w:w="0" w:type="dxa"/>
                    <w:bottom w:w="0" w:type="dxa"/>
                    <w:right w:w="0" w:type="dxa"/>
                  </w:tcMar>
                  <w:vAlign w:val="center"/>
                </w:tcPr>
                <w:p w14:paraId="45C3FD0E">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本项目不运输剧毒物质和危险化学品；</w:t>
                  </w:r>
                  <w:r>
                    <w:rPr>
                      <w:rFonts w:hint="default" w:ascii="Times New Roman" w:hAnsi="Times New Roman" w:cs="Times New Roman"/>
                      <w:color w:val="auto"/>
                      <w:szCs w:val="21"/>
                      <w:lang w:val="en-US" w:eastAsia="zh-CN"/>
                    </w:rPr>
                    <w:t>本项目</w:t>
                  </w:r>
                  <w:r>
                    <w:rPr>
                      <w:rFonts w:hint="default" w:ascii="Times New Roman" w:hAnsi="Times New Roman" w:cs="Times New Roman"/>
                      <w:color w:val="auto"/>
                      <w:szCs w:val="21"/>
                    </w:rPr>
                    <w:t>产生的危险废物交由有资质单位处置，</w:t>
                  </w:r>
                  <w:r>
                    <w:rPr>
                      <w:rFonts w:hint="default" w:ascii="Times New Roman" w:hAnsi="Times New Roman" w:cs="Times New Roman"/>
                      <w:color w:val="auto"/>
                      <w:szCs w:val="21"/>
                      <w:lang w:val="en-US" w:eastAsia="zh-CN"/>
                    </w:rPr>
                    <w:t>零</w:t>
                  </w:r>
                  <w:r>
                    <w:rPr>
                      <w:rFonts w:hint="default" w:ascii="Times New Roman" w:hAnsi="Times New Roman" w:cs="Times New Roman"/>
                      <w:color w:val="auto"/>
                      <w:szCs w:val="21"/>
                    </w:rPr>
                    <w:t>排放。</w:t>
                  </w:r>
                </w:p>
              </w:tc>
              <w:tc>
                <w:tcPr>
                  <w:tcW w:w="425" w:type="pct"/>
                  <w:noWrap w:val="0"/>
                  <w:tcMar>
                    <w:top w:w="0" w:type="dxa"/>
                    <w:left w:w="0" w:type="dxa"/>
                    <w:bottom w:w="0" w:type="dxa"/>
                    <w:right w:w="0" w:type="dxa"/>
                  </w:tcMar>
                  <w:vAlign w:val="center"/>
                </w:tcPr>
                <w:p w14:paraId="36A7FFE2">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相符</w:t>
                  </w:r>
                </w:p>
              </w:tc>
            </w:tr>
            <w:tr w14:paraId="57B0A11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continue"/>
                  <w:noWrap w:val="0"/>
                  <w:tcMar>
                    <w:top w:w="0" w:type="dxa"/>
                    <w:left w:w="0" w:type="dxa"/>
                    <w:bottom w:w="0" w:type="dxa"/>
                    <w:right w:w="0" w:type="dxa"/>
                  </w:tcMar>
                  <w:vAlign w:val="center"/>
                </w:tcPr>
                <w:p w14:paraId="78864A25">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23294553">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7DAC9ACC">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2．强化环境事故应急管理。深化跨部门、跨区域环境应急协调联动，分区域建立环境应急物资储备库。各级工业园区（集聚区）和企业的环境应急装备和储备物资应纳入储备体系。</w:t>
                  </w:r>
                </w:p>
              </w:tc>
              <w:tc>
                <w:tcPr>
                  <w:tcW w:w="1642" w:type="pct"/>
                  <w:noWrap w:val="0"/>
                  <w:tcMar>
                    <w:top w:w="0" w:type="dxa"/>
                    <w:left w:w="0" w:type="dxa"/>
                    <w:bottom w:w="0" w:type="dxa"/>
                    <w:right w:w="0" w:type="dxa"/>
                  </w:tcMar>
                  <w:vAlign w:val="center"/>
                </w:tcPr>
                <w:p w14:paraId="309F1C66">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项目实施后，按要求</w:t>
                  </w:r>
                  <w:r>
                    <w:rPr>
                      <w:rFonts w:hint="default" w:ascii="Times New Roman" w:hAnsi="Times New Roman" w:cs="Times New Roman"/>
                      <w:color w:val="auto"/>
                      <w:szCs w:val="21"/>
                      <w:lang w:val="en-US" w:eastAsia="zh-CN"/>
                    </w:rPr>
                    <w:t>配备环境应急装备、储备应急物资</w:t>
                  </w:r>
                  <w:r>
                    <w:rPr>
                      <w:rFonts w:hint="default" w:ascii="Times New Roman" w:hAnsi="Times New Roman" w:cs="Times New Roman"/>
                      <w:color w:val="auto"/>
                      <w:szCs w:val="21"/>
                    </w:rPr>
                    <w:t>。</w:t>
                  </w:r>
                </w:p>
              </w:tc>
              <w:tc>
                <w:tcPr>
                  <w:tcW w:w="425" w:type="pct"/>
                  <w:noWrap w:val="0"/>
                  <w:tcMar>
                    <w:top w:w="0" w:type="dxa"/>
                    <w:left w:w="0" w:type="dxa"/>
                    <w:bottom w:w="0" w:type="dxa"/>
                    <w:right w:w="0" w:type="dxa"/>
                  </w:tcMar>
                  <w:vAlign w:val="center"/>
                </w:tcPr>
                <w:p w14:paraId="39C71FD5">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相符</w:t>
                  </w:r>
                </w:p>
              </w:tc>
            </w:tr>
            <w:tr w14:paraId="72EBA3D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continue"/>
                  <w:noWrap w:val="0"/>
                  <w:tcMar>
                    <w:top w:w="0" w:type="dxa"/>
                    <w:left w:w="0" w:type="dxa"/>
                    <w:bottom w:w="0" w:type="dxa"/>
                    <w:right w:w="0" w:type="dxa"/>
                  </w:tcMar>
                  <w:vAlign w:val="center"/>
                </w:tcPr>
                <w:p w14:paraId="566F1D4F">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1209E971">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4C786428">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3．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642" w:type="pct"/>
                  <w:noWrap w:val="0"/>
                  <w:tcMar>
                    <w:top w:w="0" w:type="dxa"/>
                    <w:left w:w="0" w:type="dxa"/>
                    <w:bottom w:w="0" w:type="dxa"/>
                    <w:right w:w="0" w:type="dxa"/>
                  </w:tcMar>
                  <w:vAlign w:val="center"/>
                </w:tcPr>
                <w:p w14:paraId="5F6CFAC6">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项目实施后，按要求</w:t>
                  </w:r>
                  <w:r>
                    <w:rPr>
                      <w:rFonts w:hint="default" w:ascii="Times New Roman" w:hAnsi="Times New Roman" w:cs="Times New Roman"/>
                      <w:color w:val="auto"/>
                      <w:szCs w:val="21"/>
                      <w:lang w:val="en-US" w:eastAsia="zh-CN"/>
                    </w:rPr>
                    <w:t>修</w:t>
                  </w:r>
                  <w:r>
                    <w:rPr>
                      <w:rFonts w:hint="default" w:ascii="Times New Roman" w:hAnsi="Times New Roman" w:cs="Times New Roman"/>
                      <w:color w:val="auto"/>
                      <w:szCs w:val="21"/>
                    </w:rPr>
                    <w:t>编突发环境事件应急预案并报相关部门备案。</w:t>
                  </w:r>
                </w:p>
              </w:tc>
              <w:tc>
                <w:tcPr>
                  <w:tcW w:w="425" w:type="pct"/>
                  <w:noWrap w:val="0"/>
                  <w:tcMar>
                    <w:top w:w="0" w:type="dxa"/>
                    <w:left w:w="0" w:type="dxa"/>
                    <w:bottom w:w="0" w:type="dxa"/>
                    <w:right w:w="0" w:type="dxa"/>
                  </w:tcMar>
                  <w:vAlign w:val="center"/>
                </w:tcPr>
                <w:p w14:paraId="7C469F31">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相符</w:t>
                  </w:r>
                </w:p>
              </w:tc>
            </w:tr>
            <w:tr w14:paraId="796FE88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restart"/>
                  <w:noWrap w:val="0"/>
                  <w:tcMar>
                    <w:top w:w="0" w:type="dxa"/>
                    <w:left w:w="0" w:type="dxa"/>
                    <w:bottom w:w="0" w:type="dxa"/>
                    <w:right w:w="0" w:type="dxa"/>
                  </w:tcMar>
                  <w:vAlign w:val="center"/>
                </w:tcPr>
                <w:p w14:paraId="228853C6">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343" w:type="pct"/>
                  <w:vMerge w:val="restart"/>
                  <w:noWrap w:val="0"/>
                  <w:tcMar>
                    <w:top w:w="0" w:type="dxa"/>
                    <w:left w:w="0" w:type="dxa"/>
                    <w:bottom w:w="0" w:type="dxa"/>
                    <w:right w:w="0" w:type="dxa"/>
                  </w:tcMar>
                  <w:vAlign w:val="center"/>
                </w:tcPr>
                <w:p w14:paraId="42910E18">
                  <w:pPr>
                    <w:jc w:val="center"/>
                    <w:rPr>
                      <w:rFonts w:hint="default" w:ascii="Times New Roman" w:hAnsi="Times New Roman" w:cs="Times New Roman"/>
                      <w:color w:val="auto"/>
                      <w:szCs w:val="21"/>
                    </w:rPr>
                  </w:pPr>
                  <w:r>
                    <w:rPr>
                      <w:rFonts w:hint="default" w:ascii="Times New Roman" w:hAnsi="Times New Roman" w:cs="Times New Roman"/>
                      <w:color w:val="auto"/>
                      <w:szCs w:val="21"/>
                    </w:rPr>
                    <w:t>资源利用效率要求</w:t>
                  </w:r>
                </w:p>
              </w:tc>
              <w:tc>
                <w:tcPr>
                  <w:tcW w:w="2286" w:type="pct"/>
                  <w:noWrap w:val="0"/>
                  <w:tcMar>
                    <w:top w:w="0" w:type="dxa"/>
                    <w:left w:w="0" w:type="dxa"/>
                    <w:bottom w:w="0" w:type="dxa"/>
                    <w:right w:w="0" w:type="dxa"/>
                  </w:tcMar>
                  <w:vAlign w:val="center"/>
                </w:tcPr>
                <w:p w14:paraId="6F6543AB">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1．水资源利用总量及效率要求：到2025年，全省用水总量控制在525.9亿立方米以内，万元地区生产总值用水量、万元工业增加值用水量下降完成国家下达目标，农田灌溉水有效利用系数提高到0.625。</w:t>
                  </w:r>
                </w:p>
              </w:tc>
              <w:tc>
                <w:tcPr>
                  <w:tcW w:w="1642" w:type="pct"/>
                  <w:noWrap w:val="0"/>
                  <w:tcMar>
                    <w:top w:w="0" w:type="dxa"/>
                    <w:left w:w="0" w:type="dxa"/>
                    <w:bottom w:w="0" w:type="dxa"/>
                    <w:right w:w="0" w:type="dxa"/>
                  </w:tcMar>
                  <w:vAlign w:val="center"/>
                </w:tcPr>
                <w:p w14:paraId="1AD3D969">
                  <w:pPr>
                    <w:pStyle w:val="90"/>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本项目GDP水耗</w:t>
                  </w:r>
                  <w:r>
                    <w:rPr>
                      <w:rFonts w:hint="default" w:ascii="Times New Roman" w:hAnsi="Times New Roman" w:eastAsia="宋体" w:cs="Times New Roman"/>
                      <w:color w:val="auto"/>
                      <w:sz w:val="21"/>
                      <w:szCs w:val="21"/>
                      <w:lang w:val="en-US" w:eastAsia="zh-CN"/>
                    </w:rPr>
                    <w:t>约</w:t>
                  </w:r>
                  <w:r>
                    <w:rPr>
                      <w:rFonts w:hint="default" w:ascii="Times New Roman" w:hAnsi="Times New Roman" w:eastAsia="宋体" w:cs="Times New Roman"/>
                      <w:color w:val="auto"/>
                      <w:sz w:val="21"/>
                      <w:szCs w:val="21"/>
                    </w:rPr>
                    <w:t>为</w:t>
                  </w:r>
                  <w:r>
                    <w:rPr>
                      <w:rFonts w:hint="default" w:ascii="Times New Roman" w:hAnsi="Times New Roman" w:eastAsia="宋体" w:cs="Times New Roman"/>
                      <w:color w:val="auto"/>
                      <w:sz w:val="21"/>
                      <w:szCs w:val="21"/>
                      <w:lang w:val="en-US" w:eastAsia="zh-CN"/>
                    </w:rPr>
                    <w:t>1.7</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/万元，低于《</w:t>
                  </w:r>
                  <w:r>
                    <w:rPr>
                      <w:rFonts w:hint="default" w:ascii="Times New Roman" w:hAnsi="Times New Roman" w:eastAsia="宋体" w:cs="Times New Roman"/>
                      <w:color w:val="auto"/>
                      <w:sz w:val="21"/>
                      <w:szCs w:val="21"/>
                      <w:lang w:eastAsia="zh-CN"/>
                    </w:rPr>
                    <w:t>金坛金城科技产业园发展规划（2023-2035年）环境影响报告书</w:t>
                  </w:r>
                  <w:r>
                    <w:rPr>
                      <w:rFonts w:hint="default" w:ascii="Times New Roman" w:hAnsi="Times New Roman" w:eastAsia="宋体" w:cs="Times New Roman"/>
                      <w:color w:val="auto"/>
                      <w:sz w:val="21"/>
                      <w:szCs w:val="21"/>
                    </w:rPr>
                    <w:t>》中的设计值，满足</w:t>
                  </w:r>
                  <w:r>
                    <w:rPr>
                      <w:rFonts w:hint="default" w:ascii="Times New Roman" w:hAnsi="Times New Roman" w:eastAsia="宋体" w:cs="Times New Roman"/>
                      <w:color w:val="auto"/>
                      <w:sz w:val="21"/>
                      <w:szCs w:val="21"/>
                      <w:lang w:eastAsia="zh-CN"/>
                    </w:rPr>
                    <w:t>金城科技产业园</w:t>
                  </w:r>
                  <w:r>
                    <w:rPr>
                      <w:rFonts w:hint="default" w:ascii="Times New Roman" w:hAnsi="Times New Roman" w:eastAsia="宋体" w:cs="Times New Roman"/>
                      <w:color w:val="auto"/>
                      <w:sz w:val="21"/>
                      <w:szCs w:val="21"/>
                    </w:rPr>
                    <w:t>的资源指标要求</w:t>
                  </w:r>
                </w:p>
              </w:tc>
              <w:tc>
                <w:tcPr>
                  <w:tcW w:w="425" w:type="pct"/>
                  <w:noWrap w:val="0"/>
                  <w:tcMar>
                    <w:top w:w="0" w:type="dxa"/>
                    <w:left w:w="0" w:type="dxa"/>
                    <w:bottom w:w="0" w:type="dxa"/>
                    <w:right w:w="0" w:type="dxa"/>
                  </w:tcMar>
                  <w:vAlign w:val="center"/>
                </w:tcPr>
                <w:p w14:paraId="080C31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6CB7021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continue"/>
                  <w:noWrap w:val="0"/>
                  <w:tcMar>
                    <w:top w:w="0" w:type="dxa"/>
                    <w:left w:w="0" w:type="dxa"/>
                    <w:bottom w:w="0" w:type="dxa"/>
                    <w:right w:w="0" w:type="dxa"/>
                  </w:tcMar>
                  <w:vAlign w:val="center"/>
                </w:tcPr>
                <w:p w14:paraId="78613D86">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7E20A039">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0E280DE2">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2．土地资源总量要求：到2025年，江苏省耕地保有量不低于5977万亩，其中永久基本农田保护面积不低于5344万</w:t>
                  </w:r>
                </w:p>
                <w:p w14:paraId="741FF559">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亩。</w:t>
                  </w:r>
                </w:p>
              </w:tc>
              <w:tc>
                <w:tcPr>
                  <w:tcW w:w="1642" w:type="pct"/>
                  <w:noWrap w:val="0"/>
                  <w:tcMar>
                    <w:top w:w="0" w:type="dxa"/>
                    <w:left w:w="0" w:type="dxa"/>
                    <w:bottom w:w="0" w:type="dxa"/>
                    <w:right w:w="0" w:type="dxa"/>
                  </w:tcMar>
                  <w:vAlign w:val="center"/>
                </w:tcPr>
                <w:p w14:paraId="0DA1196A">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本项目不新增工业用地。</w:t>
                  </w:r>
                </w:p>
              </w:tc>
              <w:tc>
                <w:tcPr>
                  <w:tcW w:w="425" w:type="pct"/>
                  <w:noWrap w:val="0"/>
                  <w:tcMar>
                    <w:top w:w="0" w:type="dxa"/>
                    <w:left w:w="0" w:type="dxa"/>
                    <w:bottom w:w="0" w:type="dxa"/>
                    <w:right w:w="0" w:type="dxa"/>
                  </w:tcMar>
                  <w:vAlign w:val="center"/>
                </w:tcPr>
                <w:p w14:paraId="37E37B0B">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5CE9361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continue"/>
                  <w:noWrap w:val="0"/>
                  <w:tcMar>
                    <w:top w:w="0" w:type="dxa"/>
                    <w:left w:w="0" w:type="dxa"/>
                    <w:bottom w:w="0" w:type="dxa"/>
                    <w:right w:w="0" w:type="dxa"/>
                  </w:tcMar>
                  <w:vAlign w:val="center"/>
                </w:tcPr>
                <w:p w14:paraId="7A397CF1">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56F0311F">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2B8A3A27">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3．禁燃区要求：在禁燃区内，禁止销售、燃用高污染燃料；禁止新建、扩建燃用高污染燃料的设施，已建成的，应当在城市人民政府规定的期限内改用天然气、页岩气、液化石油气、电或者其他清洁能源。</w:t>
                  </w:r>
                </w:p>
              </w:tc>
              <w:tc>
                <w:tcPr>
                  <w:tcW w:w="1642" w:type="pct"/>
                  <w:noWrap w:val="0"/>
                  <w:tcMar>
                    <w:top w:w="0" w:type="dxa"/>
                    <w:left w:w="0" w:type="dxa"/>
                    <w:bottom w:w="0" w:type="dxa"/>
                    <w:right w:w="0" w:type="dxa"/>
                  </w:tcMar>
                  <w:vAlign w:val="center"/>
                </w:tcPr>
                <w:p w14:paraId="0643CD00">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本项目使用</w:t>
                  </w:r>
                  <w:r>
                    <w:rPr>
                      <w:rFonts w:hint="default" w:ascii="Times New Roman" w:hAnsi="Times New Roman" w:cs="Times New Roman"/>
                      <w:color w:val="auto"/>
                      <w:szCs w:val="21"/>
                      <w:lang w:val="en-US" w:eastAsia="zh-CN"/>
                    </w:rPr>
                    <w:t>电作为清洁能源</w:t>
                  </w:r>
                  <w:r>
                    <w:rPr>
                      <w:rFonts w:hint="default" w:ascii="Times New Roman" w:hAnsi="Times New Roman" w:cs="Times New Roman"/>
                      <w:color w:val="auto"/>
                      <w:szCs w:val="21"/>
                    </w:rPr>
                    <w:t>。</w:t>
                  </w:r>
                </w:p>
              </w:tc>
              <w:tc>
                <w:tcPr>
                  <w:tcW w:w="425" w:type="pct"/>
                  <w:noWrap w:val="0"/>
                  <w:tcMar>
                    <w:top w:w="0" w:type="dxa"/>
                    <w:left w:w="0" w:type="dxa"/>
                    <w:bottom w:w="0" w:type="dxa"/>
                    <w:right w:w="0" w:type="dxa"/>
                  </w:tcMar>
                  <w:vAlign w:val="center"/>
                </w:tcPr>
                <w:p w14:paraId="7CBA7F5C">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bl>
          <w:p w14:paraId="0A1EDE5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cs="Times New Roman"/>
                <w:b/>
                <w:bCs/>
                <w:color w:val="auto"/>
                <w:sz w:val="21"/>
                <w:szCs w:val="21"/>
                <w:lang w:val="en-US" w:eastAsia="zh-CN"/>
              </w:rPr>
              <w:t xml:space="preserve">5 </w:t>
            </w:r>
            <w:r>
              <w:rPr>
                <w:rFonts w:hint="default" w:ascii="Times New Roman" w:hAnsi="Times New Roman" w:eastAsia="宋体" w:cs="Times New Roman"/>
                <w:b/>
                <w:bCs/>
                <w:color w:val="auto"/>
                <w:sz w:val="21"/>
                <w:szCs w:val="21"/>
              </w:rPr>
              <w:t>项目与苏政发[2020]49号相符性分析</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703"/>
              <w:gridCol w:w="5852"/>
              <w:gridCol w:w="1512"/>
            </w:tblGrid>
            <w:tr w14:paraId="5A4F72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6BB89EAB">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管控类别</w:t>
                  </w:r>
                </w:p>
              </w:tc>
              <w:tc>
                <w:tcPr>
                  <w:tcW w:w="3627" w:type="pct"/>
                  <w:vAlign w:val="center"/>
                </w:tcPr>
                <w:p w14:paraId="634CFB5F">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重点管控要求</w:t>
                  </w:r>
                </w:p>
              </w:tc>
              <w:tc>
                <w:tcPr>
                  <w:tcW w:w="935" w:type="pct"/>
                  <w:vAlign w:val="center"/>
                </w:tcPr>
                <w:p w14:paraId="568EA43D">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相符性分析</w:t>
                  </w:r>
                </w:p>
              </w:tc>
            </w:tr>
            <w:tr w14:paraId="2D5C6E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3"/>
                  <w:vAlign w:val="center"/>
                </w:tcPr>
                <w:p w14:paraId="2E8C1922">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长江流域</w:t>
                  </w:r>
                </w:p>
              </w:tc>
            </w:tr>
            <w:tr w14:paraId="7DEA58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508DB904">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3627" w:type="pct"/>
                  <w:tcBorders>
                    <w:bottom w:val="single" w:color="auto" w:sz="2" w:space="0"/>
                  </w:tcBorders>
                  <w:vAlign w:val="center"/>
                </w:tcPr>
                <w:p w14:paraId="5D880B16">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1、始终把长江生态修复放在首位，坚持共抓大保护、不搞大开发，引导长江流域产业转型升级和布局优化调整，实现科学发展、有序发展、高质量发展。</w:t>
                  </w:r>
                </w:p>
                <w:p w14:paraId="758000F7">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2F99958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7E09F6E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4、强化港口布局优化，禁止建设不符合国家港口布局规划和《江苏省沿江沿海港口布局规划（2015-2030年）》《江苏省内河港口布局规划（2017-2035年）》的码头项</w:t>
                  </w:r>
                  <w:r>
                    <w:rPr>
                      <w:rFonts w:hint="default" w:ascii="Times New Roman" w:hAnsi="Times New Roman" w:cs="Times New Roman"/>
                      <w:color w:val="auto"/>
                      <w:lang w:eastAsia="zh-CN"/>
                    </w:rPr>
                    <w:t>目</w:t>
                  </w:r>
                  <w:r>
                    <w:rPr>
                      <w:rFonts w:hint="default" w:ascii="Times New Roman" w:hAnsi="Times New Roman" w:cs="Times New Roman"/>
                      <w:color w:val="auto"/>
                      <w:lang w:val="en-US" w:eastAsia="zh-CN"/>
                    </w:rPr>
                    <w:t>，禁止建设未纳入《长江干线过江通道布局规划》的过江干线通道项目</w:t>
                  </w:r>
                  <w:r>
                    <w:rPr>
                      <w:rFonts w:hint="default" w:ascii="Times New Roman" w:hAnsi="Times New Roman" w:eastAsia="宋体" w:cs="Times New Roman"/>
                      <w:color w:val="auto"/>
                    </w:rPr>
                    <w:t>。</w:t>
                  </w:r>
                </w:p>
                <w:p w14:paraId="0D75929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5、禁止新建独立焦化项目。</w:t>
                  </w:r>
                </w:p>
              </w:tc>
              <w:tc>
                <w:tcPr>
                  <w:tcW w:w="935" w:type="pct"/>
                  <w:tcBorders>
                    <w:bottom w:val="single" w:color="auto" w:sz="2" w:space="0"/>
                  </w:tcBorders>
                  <w:vAlign w:val="center"/>
                </w:tcPr>
                <w:p w14:paraId="66070389">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本项目位于</w:t>
                  </w:r>
                  <w:r>
                    <w:rPr>
                      <w:rFonts w:hint="default" w:ascii="Times New Roman" w:hAnsi="Times New Roman" w:cs="Times New Roman"/>
                      <w:color w:val="auto"/>
                      <w:sz w:val="21"/>
                      <w:szCs w:val="21"/>
                      <w:lang w:eastAsia="zh-CN"/>
                    </w:rPr>
                    <w:t>常州市金坛区良常中路249号32号</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lang w:eastAsia="zh-CN"/>
                    </w:rPr>
                    <w:t>属于长江流域内，选址</w:t>
                  </w:r>
                  <w:r>
                    <w:rPr>
                      <w:rFonts w:hint="default" w:ascii="Times New Roman" w:hAnsi="Times New Roman" w:eastAsia="宋体" w:cs="Times New Roman"/>
                      <w:color w:val="auto"/>
                      <w:sz w:val="21"/>
                      <w:szCs w:val="21"/>
                    </w:rPr>
                    <w:t>不在国家确定的生态保护红线和永久基本农田范围内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本项目属于</w:t>
                  </w:r>
                  <w:r>
                    <w:rPr>
                      <w:rFonts w:hint="default" w:ascii="Times New Roman" w:hAnsi="Times New Roman" w:cs="Times New Roman"/>
                      <w:color w:val="auto"/>
                      <w:sz w:val="21"/>
                      <w:szCs w:val="21"/>
                      <w:lang w:eastAsia="zh-CN"/>
                    </w:rPr>
                    <w:t>C2929塑料零件及其他塑料制品制造</w:t>
                  </w:r>
                  <w:r>
                    <w:rPr>
                      <w:rFonts w:hint="default" w:ascii="Times New Roman" w:hAnsi="Times New Roman" w:eastAsia="宋体" w:cs="Times New Roman"/>
                      <w:color w:val="auto"/>
                      <w:sz w:val="21"/>
                      <w:szCs w:val="21"/>
                    </w:rPr>
                    <w:t>，不属于上述禁止建设的项目</w:t>
                  </w:r>
                  <w:r>
                    <w:rPr>
                      <w:rFonts w:hint="default" w:ascii="Times New Roman" w:hAnsi="Times New Roman" w:eastAsia="宋体" w:cs="Times New Roman"/>
                      <w:color w:val="auto"/>
                    </w:rPr>
                    <w:t>。</w:t>
                  </w:r>
                </w:p>
              </w:tc>
            </w:tr>
            <w:tr w14:paraId="2AB7B6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2F3C9B3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3627" w:type="pct"/>
                  <w:vAlign w:val="center"/>
                </w:tcPr>
                <w:p w14:paraId="7A4D840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1、根据《江苏省长江水污染防治条例》实施污染物总量控制制度。</w:t>
                  </w:r>
                </w:p>
                <w:p w14:paraId="6175C76D">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2、全面加强和规范长江入河排污口管理，有效管控入河污染物排放，形成权责清晰、监控到位、管理规范的长江入河排污口监管体系，加快改善长江水环境质量。</w:t>
                  </w:r>
                </w:p>
              </w:tc>
              <w:tc>
                <w:tcPr>
                  <w:tcW w:w="935" w:type="pct"/>
                  <w:vAlign w:val="center"/>
                </w:tcPr>
                <w:p w14:paraId="21D6C56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实施总量控制，不涉及长江入河排污口。</w:t>
                  </w:r>
                </w:p>
              </w:tc>
            </w:tr>
            <w:tr w14:paraId="7B8737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757523B5">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3627" w:type="pct"/>
                  <w:vAlign w:val="center"/>
                </w:tcPr>
                <w:p w14:paraId="65CD5627">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1、防范沿江环境风险。深化沿江石化、化工、医药、纺织、印染、化纤、危化品和石油类仓储、涉重金属和危险废物处置等重点企业环境风险防控。</w:t>
                  </w:r>
                </w:p>
                <w:p w14:paraId="39F83C74">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2、加强饮用水水源保护。优化水源保护区划定，推动饮用水水源地规范化建设。</w:t>
                  </w:r>
                </w:p>
              </w:tc>
              <w:tc>
                <w:tcPr>
                  <w:tcW w:w="935" w:type="pct"/>
                  <w:vAlign w:val="center"/>
                </w:tcPr>
                <w:p w14:paraId="08404E2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本项目建设单位不属于环境风险防控重点企业。</w:t>
                  </w:r>
                </w:p>
              </w:tc>
            </w:tr>
            <w:tr w14:paraId="783253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3"/>
                  <w:vAlign w:val="center"/>
                </w:tcPr>
                <w:p w14:paraId="5C6690DF">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太湖流域</w:t>
                  </w:r>
                </w:p>
              </w:tc>
            </w:tr>
            <w:tr w14:paraId="3527C8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4D607F7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3627" w:type="pct"/>
                  <w:vAlign w:val="center"/>
                </w:tcPr>
                <w:p w14:paraId="08BB1F68">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3BC2AE14">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2、在太湖流域一级保护区，禁止新建、扩建向水体排放污染物的建设项目，禁止新建、扩建畜禽养殖场，禁止新建、扩建高尔夫球场、水上游乐等开发项目以及设置水上餐饮经营设施。</w:t>
                  </w:r>
                </w:p>
                <w:p w14:paraId="3847FBBE">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3、在太湖流域二级保护区，禁止新建、扩建化工、医药生产项目，禁止新建、扩建污水集中处理设施排污口以外的排污口。</w:t>
                  </w:r>
                </w:p>
              </w:tc>
              <w:tc>
                <w:tcPr>
                  <w:tcW w:w="935" w:type="pct"/>
                  <w:vAlign w:val="center"/>
                </w:tcPr>
                <w:p w14:paraId="1256767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本项目位于</w:t>
                  </w:r>
                  <w:r>
                    <w:rPr>
                      <w:rFonts w:hint="default" w:ascii="Times New Roman" w:hAnsi="Times New Roman" w:cs="Times New Roman"/>
                      <w:color w:val="auto"/>
                      <w:sz w:val="21"/>
                      <w:szCs w:val="21"/>
                      <w:lang w:eastAsia="zh-CN"/>
                    </w:rPr>
                    <w:t>常州市金坛区良常中路249号32号</w:t>
                  </w:r>
                  <w:r>
                    <w:rPr>
                      <w:rFonts w:hint="default" w:ascii="Times New Roman" w:hAnsi="Times New Roman" w:eastAsia="宋体" w:cs="Times New Roman"/>
                      <w:color w:val="auto"/>
                      <w:szCs w:val="21"/>
                    </w:rPr>
                    <w:t>，属于太湖流域三级保护区；本项目</w:t>
                  </w:r>
                  <w:r>
                    <w:rPr>
                      <w:rFonts w:hint="default" w:ascii="Times New Roman" w:hAnsi="Times New Roman" w:eastAsia="宋体" w:cs="Times New Roman"/>
                      <w:b w:val="0"/>
                      <w:bCs w:val="0"/>
                      <w:color w:val="auto"/>
                      <w:sz w:val="21"/>
                      <w:szCs w:val="21"/>
                      <w:lang w:val="en-US" w:eastAsia="zh-CN"/>
                    </w:rPr>
                    <w:t>不属于禁止新建的行业</w:t>
                  </w:r>
                  <w:r>
                    <w:rPr>
                      <w:rFonts w:hint="default" w:ascii="Times New Roman" w:hAnsi="Times New Roman" w:eastAsia="宋体" w:cs="Times New Roman"/>
                      <w:color w:val="auto"/>
                      <w:szCs w:val="21"/>
                    </w:rPr>
                    <w:t>，</w:t>
                  </w:r>
                  <w:r>
                    <w:rPr>
                      <w:rFonts w:hint="default" w:ascii="Times New Roman" w:hAnsi="Times New Roman" w:eastAsia="宋体" w:cs="Times New Roman"/>
                      <w:b w:val="0"/>
                      <w:bCs w:val="0"/>
                      <w:color w:val="auto"/>
                      <w:sz w:val="21"/>
                      <w:szCs w:val="21"/>
                      <w:lang w:val="en-US" w:eastAsia="zh-CN"/>
                    </w:rPr>
                    <w:t>无含磷、氮生产废水排放</w:t>
                  </w:r>
                  <w:r>
                    <w:rPr>
                      <w:rFonts w:hint="default" w:ascii="Times New Roman" w:hAnsi="Times New Roman" w:eastAsia="宋体" w:cs="Times New Roman"/>
                      <w:color w:val="auto"/>
                      <w:szCs w:val="21"/>
                    </w:rPr>
                    <w:t>。</w:t>
                  </w:r>
                </w:p>
              </w:tc>
            </w:tr>
            <w:tr w14:paraId="51ED46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4300E444">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3627" w:type="pct"/>
                  <w:vAlign w:val="center"/>
                </w:tcPr>
                <w:p w14:paraId="10B504CE">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城镇污水处理厂、纺织工业、化学工业、造纸工业、钢铁工业、电镀工业和食品工业的污水处理设施执行《太湖地区城镇污水处理厂及重点工业行业主要水污染物排放限值》。</w:t>
                  </w:r>
                </w:p>
              </w:tc>
              <w:tc>
                <w:tcPr>
                  <w:tcW w:w="935" w:type="pct"/>
                  <w:vAlign w:val="center"/>
                </w:tcPr>
                <w:p w14:paraId="2BA547F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本项目不属于上述行业。</w:t>
                  </w:r>
                </w:p>
              </w:tc>
            </w:tr>
            <w:tr w14:paraId="366091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1314A16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3627" w:type="pct"/>
                  <w:vAlign w:val="center"/>
                </w:tcPr>
                <w:p w14:paraId="2FCA7C86">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1、运输剧毒物质、危险化学品的船舶不得进入太湖。</w:t>
                  </w:r>
                </w:p>
                <w:p w14:paraId="385C67D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2、禁止向太湖流域水体排放或者倾倒油类、酸液、碱液、剧毒废渣废液、含放射性废渣废液、含病原体污水、工业废渣以及其他废弃物。</w:t>
                  </w:r>
                </w:p>
                <w:p w14:paraId="55FD49FF">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3、加强太湖流域生态环境风险应急管控，着力提高防控太湖蓝藻水华风险预警和应急处置能力。</w:t>
                  </w:r>
                </w:p>
              </w:tc>
              <w:tc>
                <w:tcPr>
                  <w:tcW w:w="935" w:type="pct"/>
                  <w:vAlign w:val="center"/>
                </w:tcPr>
                <w:p w14:paraId="58B0A5E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不涉及文件中相关行为</w:t>
                  </w:r>
                  <w:r>
                    <w:rPr>
                      <w:rFonts w:hint="default" w:ascii="Times New Roman" w:hAnsi="Times New Roman" w:eastAsia="宋体" w:cs="Times New Roman"/>
                      <w:color w:val="auto"/>
                    </w:rPr>
                    <w:t>。</w:t>
                  </w:r>
                </w:p>
              </w:tc>
            </w:tr>
          </w:tbl>
          <w:p w14:paraId="115AA49D">
            <w:pPr>
              <w:autoSpaceDE w:val="0"/>
              <w:autoSpaceDN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综上，本项目与</w:t>
            </w:r>
            <w:r>
              <w:rPr>
                <w:rFonts w:hint="default" w:ascii="Times New Roman" w:hAnsi="Times New Roman" w:cs="Times New Roman"/>
                <w:bCs/>
                <w:color w:val="auto"/>
                <w:sz w:val="24"/>
                <w:lang w:eastAsia="zh-CN"/>
              </w:rPr>
              <w:t>《江苏省2023年度生态环境分区管控动态更新成果公告》、</w:t>
            </w:r>
            <w:r>
              <w:rPr>
                <w:rFonts w:hint="default" w:ascii="Times New Roman" w:hAnsi="Times New Roman" w:eastAsia="宋体" w:cs="Times New Roman"/>
                <w:bCs/>
                <w:color w:val="auto"/>
                <w:sz w:val="24"/>
              </w:rPr>
              <w:t>《江苏省政府关于印发江苏省“三线一单”生态环境分区管控方案的通知》（苏政发[2020]49号）的要求相符。</w:t>
            </w:r>
          </w:p>
          <w:p w14:paraId="36BA023D">
            <w:pPr>
              <w:autoSpaceDE w:val="0"/>
              <w:autoSpaceDN w:val="0"/>
              <w:snapToGrid w:val="0"/>
              <w:spacing w:line="500" w:lineRule="exact"/>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（3）与</w:t>
            </w:r>
            <w:r>
              <w:rPr>
                <w:rFonts w:hint="default" w:ascii="Times New Roman" w:hAnsi="Times New Roman" w:cs="Times New Roman"/>
                <w:b/>
                <w:color w:val="auto"/>
                <w:sz w:val="24"/>
                <w:lang w:eastAsia="zh-CN"/>
              </w:rPr>
              <w:t>《常州市生态环境分区管控动态更新成果》（2023年版）</w:t>
            </w:r>
            <w:r>
              <w:rPr>
                <w:rFonts w:hint="default" w:ascii="Times New Roman" w:hAnsi="Times New Roman" w:eastAsia="宋体" w:cs="Times New Roman"/>
                <w:b/>
                <w:color w:val="auto"/>
                <w:sz w:val="24"/>
              </w:rPr>
              <w:t>相符性分析</w:t>
            </w:r>
          </w:p>
          <w:p w14:paraId="00231860">
            <w:pPr>
              <w:autoSpaceDE w:val="0"/>
              <w:autoSpaceDN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本项目位于</w:t>
            </w:r>
            <w:r>
              <w:rPr>
                <w:rFonts w:hint="default" w:ascii="Times New Roman" w:hAnsi="Times New Roman" w:eastAsia="宋体" w:cs="Times New Roman"/>
                <w:color w:val="auto"/>
                <w:sz w:val="24"/>
                <w:szCs w:val="24"/>
                <w:lang w:eastAsia="zh-CN"/>
              </w:rPr>
              <w:t>金坛金城科技产业园</w:t>
            </w:r>
            <w:r>
              <w:rPr>
                <w:rFonts w:hint="default" w:ascii="Times New Roman" w:hAnsi="Times New Roman" w:eastAsia="宋体" w:cs="Times New Roman"/>
                <w:bCs/>
                <w:color w:val="auto"/>
                <w:sz w:val="24"/>
              </w:rPr>
              <w:t>，根据《常州市“三线一单”生态环境分区管控实施方案》附件3中常州市环境管控单元名录，</w:t>
            </w:r>
            <w:r>
              <w:rPr>
                <w:rFonts w:hint="default" w:ascii="Times New Roman" w:hAnsi="Times New Roman" w:eastAsia="宋体" w:cs="Times New Roman"/>
                <w:color w:val="auto"/>
                <w:sz w:val="24"/>
                <w:szCs w:val="24"/>
                <w:lang w:eastAsia="zh-CN"/>
              </w:rPr>
              <w:t>属于“重点管控单元”。</w:t>
            </w:r>
          </w:p>
          <w:p w14:paraId="657B713C">
            <w:pPr>
              <w:autoSpaceDE w:val="0"/>
              <w:autoSpaceDN w:val="0"/>
              <w:adjustRightInd w:val="0"/>
              <w:snapToGrid w:val="0"/>
              <w:spacing w:line="500" w:lineRule="exact"/>
              <w:ind w:firstLine="480" w:firstLineChars="200"/>
              <w:jc w:val="left"/>
              <w:rPr>
                <w:rFonts w:hint="default" w:ascii="Times New Roman" w:hAnsi="Times New Roman" w:eastAsia="宋体" w:cs="Times New Roman"/>
                <w:b/>
                <w:color w:val="auto"/>
                <w:sz w:val="24"/>
              </w:rPr>
            </w:pPr>
            <w:r>
              <w:rPr>
                <w:rFonts w:hint="default" w:ascii="Times New Roman" w:hAnsi="Times New Roman" w:eastAsia="宋体" w:cs="Times New Roman"/>
                <w:bCs/>
                <w:color w:val="auto"/>
                <w:sz w:val="24"/>
              </w:rPr>
              <w:t>其重点管控要求与本项目的相符性分析见</w:t>
            </w:r>
            <w:r>
              <w:rPr>
                <w:rFonts w:hint="default" w:ascii="Times New Roman" w:hAnsi="Times New Roman" w:eastAsia="宋体" w:cs="Times New Roman"/>
                <w:bCs/>
                <w:color w:val="auto"/>
                <w:sz w:val="24"/>
                <w:lang w:val="en-US" w:eastAsia="zh-CN"/>
              </w:rPr>
              <w:t>下表</w:t>
            </w:r>
            <w:r>
              <w:rPr>
                <w:rFonts w:hint="default" w:ascii="Times New Roman" w:hAnsi="Times New Roman" w:eastAsia="宋体" w:cs="Times New Roman"/>
                <w:bCs/>
                <w:color w:val="auto"/>
                <w:sz w:val="24"/>
              </w:rPr>
              <w:t>。</w:t>
            </w:r>
          </w:p>
          <w:p w14:paraId="1A8F1D66">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cs="Times New Roman"/>
                <w:b/>
                <w:bCs/>
                <w:color w:val="auto"/>
                <w:sz w:val="21"/>
                <w:szCs w:val="21"/>
                <w:lang w:val="en-US" w:eastAsia="zh-CN"/>
              </w:rPr>
              <w:t>6</w:t>
            </w:r>
            <w:r>
              <w:rPr>
                <w:rFonts w:hint="default" w:ascii="Times New Roman" w:hAnsi="Times New Roman" w:eastAsia="宋体" w:cs="Times New Roman"/>
                <w:b/>
                <w:bCs/>
                <w:color w:val="auto"/>
                <w:sz w:val="21"/>
                <w:szCs w:val="21"/>
              </w:rPr>
              <w:t>与常环〔2020〕95号相符性分析</w:t>
            </w:r>
          </w:p>
          <w:tbl>
            <w:tblPr>
              <w:tblStyle w:val="27"/>
              <w:tblW w:w="4996"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3699"/>
              <w:gridCol w:w="2462"/>
              <w:gridCol w:w="826"/>
            </w:tblGrid>
            <w:tr w14:paraId="2890C0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noWrap w:val="0"/>
                  <w:vAlign w:val="center"/>
                </w:tcPr>
                <w:p w14:paraId="0920736A">
                  <w:pPr>
                    <w:pStyle w:val="96"/>
                    <w:rPr>
                      <w:rFonts w:hint="default" w:ascii="Times New Roman" w:hAnsi="Times New Roman" w:cs="Times New Roman"/>
                      <w:b/>
                      <w:bCs/>
                      <w:color w:val="auto"/>
                      <w:szCs w:val="21"/>
                    </w:rPr>
                  </w:pPr>
                  <w:r>
                    <w:rPr>
                      <w:rFonts w:hint="default" w:ascii="Times New Roman" w:hAnsi="Times New Roman" w:cs="Times New Roman"/>
                      <w:b/>
                      <w:bCs/>
                      <w:color w:val="auto"/>
                      <w:szCs w:val="21"/>
                    </w:rPr>
                    <w:t>管控类别</w:t>
                  </w:r>
                </w:p>
              </w:tc>
              <w:tc>
                <w:tcPr>
                  <w:tcW w:w="2293" w:type="pct"/>
                  <w:noWrap w:val="0"/>
                  <w:vAlign w:val="center"/>
                </w:tcPr>
                <w:p w14:paraId="7DCB556B">
                  <w:pPr>
                    <w:pStyle w:val="96"/>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重点管控要求</w:t>
                  </w:r>
                  <w:r>
                    <w:rPr>
                      <w:rFonts w:hint="default" w:ascii="Times New Roman" w:hAnsi="Times New Roman" w:eastAsia="宋体" w:cs="Times New Roman"/>
                      <w:b/>
                      <w:bCs/>
                      <w:color w:val="auto"/>
                      <w:szCs w:val="21"/>
                      <w:lang w:eastAsia="zh-CN"/>
                    </w:rPr>
                    <w:t>（金城科技产业园</w:t>
                  </w:r>
                  <w:r>
                    <w:rPr>
                      <w:rFonts w:hint="default" w:ascii="Times New Roman" w:hAnsi="Times New Roman" w:eastAsia="宋体" w:cs="Times New Roman"/>
                      <w:b/>
                      <w:bCs/>
                      <w:color w:val="auto"/>
                      <w:szCs w:val="21"/>
                    </w:rPr>
                    <w:t>）</w:t>
                  </w:r>
                </w:p>
              </w:tc>
              <w:tc>
                <w:tcPr>
                  <w:tcW w:w="1526" w:type="pct"/>
                  <w:noWrap w:val="0"/>
                  <w:vAlign w:val="center"/>
                </w:tcPr>
                <w:p w14:paraId="38CC82D3">
                  <w:pPr>
                    <w:pStyle w:val="96"/>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w:t>
                  </w:r>
                </w:p>
              </w:tc>
              <w:tc>
                <w:tcPr>
                  <w:tcW w:w="512" w:type="pct"/>
                  <w:noWrap w:val="0"/>
                  <w:vAlign w:val="center"/>
                </w:tcPr>
                <w:p w14:paraId="6AA76BDA">
                  <w:pPr>
                    <w:pStyle w:val="96"/>
                    <w:rPr>
                      <w:rFonts w:hint="default" w:ascii="Times New Roman" w:hAnsi="Times New Roman" w:cs="Times New Roman"/>
                      <w:b/>
                      <w:bCs/>
                      <w:color w:val="auto"/>
                      <w:szCs w:val="21"/>
                    </w:rPr>
                  </w:pPr>
                  <w:r>
                    <w:rPr>
                      <w:rFonts w:hint="default" w:ascii="Times New Roman" w:hAnsi="Times New Roman" w:cs="Times New Roman"/>
                      <w:b/>
                      <w:bCs/>
                      <w:color w:val="auto"/>
                      <w:szCs w:val="21"/>
                    </w:rPr>
                    <w:t>相符性分析</w:t>
                  </w:r>
                </w:p>
              </w:tc>
            </w:tr>
            <w:tr w14:paraId="2E0C6D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40458CEF">
                  <w:pPr>
                    <w:pStyle w:val="96"/>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2293" w:type="pct"/>
                  <w:noWrap w:val="0"/>
                  <w:vAlign w:val="center"/>
                </w:tcPr>
                <w:p w14:paraId="7D8B2149">
                  <w:pPr>
                    <w:pStyle w:val="96"/>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由于园区现状大气因子HCl超标，故在HCl监测结果达到相应环境空气质量限制值之前禁止引进排放HCl大气污染物的企业项目</w:t>
                  </w:r>
                  <w:r>
                    <w:rPr>
                      <w:rFonts w:hint="default" w:ascii="Times New Roman" w:hAnsi="Times New Roman" w:eastAsia="宋体" w:cs="Times New Roman"/>
                      <w:color w:val="auto"/>
                      <w:szCs w:val="21"/>
                      <w:lang w:val="en-US" w:eastAsia="zh-CN"/>
                    </w:rPr>
                    <w:t>。</w:t>
                  </w:r>
                </w:p>
              </w:tc>
              <w:tc>
                <w:tcPr>
                  <w:tcW w:w="1526" w:type="pct"/>
                  <w:vMerge w:val="restart"/>
                  <w:noWrap w:val="0"/>
                  <w:vAlign w:val="center"/>
                </w:tcPr>
                <w:p w14:paraId="45A8A189">
                  <w:pPr>
                    <w:pStyle w:val="96"/>
                    <w:rPr>
                      <w:rFonts w:hint="default" w:ascii="Times New Roman" w:hAnsi="Times New Roman" w:cs="Times New Roman"/>
                      <w:b/>
                      <w:bCs/>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val="en-US" w:eastAsia="zh-CN"/>
                    </w:rPr>
                    <w:t>不产生</w:t>
                  </w:r>
                  <w:r>
                    <w:rPr>
                      <w:rFonts w:hint="default" w:ascii="Times New Roman" w:hAnsi="Times New Roman" w:eastAsia="宋体" w:cs="Times New Roman"/>
                      <w:color w:val="auto"/>
                      <w:szCs w:val="21"/>
                    </w:rPr>
                    <w:t>HCl大气污染物</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项目</w:t>
                  </w:r>
                  <w:r>
                    <w:rPr>
                      <w:rFonts w:hint="default" w:ascii="Times New Roman" w:hAnsi="Times New Roman" w:cs="Times New Roman"/>
                      <w:color w:val="auto"/>
                      <w:szCs w:val="21"/>
                    </w:rPr>
                    <w:t>位</w:t>
                  </w:r>
                  <w:r>
                    <w:rPr>
                      <w:rFonts w:hint="default" w:ascii="Times New Roman" w:hAnsi="Times New Roman" w:eastAsia="宋体" w:cs="Times New Roman"/>
                      <w:color w:val="auto"/>
                      <w:szCs w:val="21"/>
                    </w:rPr>
                    <w:t>于</w:t>
                  </w:r>
                  <w:r>
                    <w:rPr>
                      <w:rFonts w:hint="default" w:ascii="Times New Roman" w:hAnsi="Times New Roman" w:cs="Times New Roman"/>
                      <w:color w:val="auto"/>
                      <w:szCs w:val="21"/>
                      <w:lang w:eastAsia="zh-CN"/>
                    </w:rPr>
                    <w:t>金城科技产业园</w:t>
                  </w:r>
                  <w:r>
                    <w:rPr>
                      <w:rFonts w:hint="default" w:ascii="Times New Roman" w:hAnsi="Times New Roman" w:eastAsia="宋体" w:cs="Times New Roman"/>
                      <w:color w:val="auto"/>
                      <w:szCs w:val="21"/>
                    </w:rPr>
                    <w:t>，项目不属于禁止引入项目</w:t>
                  </w:r>
                  <w:r>
                    <w:rPr>
                      <w:rFonts w:hint="default" w:ascii="Times New Roman" w:hAnsi="Times New Roman" w:cs="Times New Roman"/>
                      <w:color w:val="auto"/>
                      <w:szCs w:val="21"/>
                    </w:rPr>
                    <w:t>。</w:t>
                  </w:r>
                </w:p>
              </w:tc>
              <w:tc>
                <w:tcPr>
                  <w:tcW w:w="512" w:type="pct"/>
                  <w:vMerge w:val="restart"/>
                  <w:noWrap w:val="0"/>
                  <w:vAlign w:val="center"/>
                </w:tcPr>
                <w:p w14:paraId="5EC2F037">
                  <w:pPr>
                    <w:pStyle w:val="96"/>
                    <w:rPr>
                      <w:rFonts w:hint="default" w:ascii="Times New Roman" w:hAnsi="Times New Roman" w:cs="Times New Roman"/>
                      <w:b/>
                      <w:bCs/>
                      <w:color w:val="auto"/>
                      <w:szCs w:val="21"/>
                    </w:rPr>
                  </w:pPr>
                  <w:r>
                    <w:rPr>
                      <w:rFonts w:hint="default" w:ascii="Times New Roman" w:hAnsi="Times New Roman" w:cs="Times New Roman"/>
                      <w:color w:val="auto"/>
                      <w:szCs w:val="21"/>
                    </w:rPr>
                    <w:t>符合</w:t>
                  </w:r>
                </w:p>
              </w:tc>
            </w:tr>
            <w:tr w14:paraId="29302E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243B8D10">
                  <w:pPr>
                    <w:pStyle w:val="96"/>
                    <w:rPr>
                      <w:rFonts w:hint="default" w:ascii="Times New Roman" w:hAnsi="Times New Roman" w:cs="Times New Roman"/>
                      <w:color w:val="auto"/>
                      <w:szCs w:val="21"/>
                    </w:rPr>
                  </w:pPr>
                </w:p>
              </w:tc>
              <w:tc>
                <w:tcPr>
                  <w:tcW w:w="2293" w:type="pct"/>
                  <w:noWrap w:val="0"/>
                  <w:vAlign w:val="center"/>
                </w:tcPr>
                <w:p w14:paraId="0ABA66E8">
                  <w:pPr>
                    <w:pStyle w:val="96"/>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禁止引进其他属于国家和地方产业政策淘汰类或禁止类的建设项目和工艺</w:t>
                  </w:r>
                </w:p>
              </w:tc>
              <w:tc>
                <w:tcPr>
                  <w:tcW w:w="1526" w:type="pct"/>
                  <w:vMerge w:val="continue"/>
                  <w:noWrap w:val="0"/>
                  <w:vAlign w:val="center"/>
                </w:tcPr>
                <w:p w14:paraId="3E80AE7F">
                  <w:pPr>
                    <w:pStyle w:val="96"/>
                    <w:rPr>
                      <w:rFonts w:hint="default" w:ascii="Times New Roman" w:hAnsi="Times New Roman" w:cs="Times New Roman"/>
                      <w:color w:val="auto"/>
                      <w:szCs w:val="21"/>
                    </w:rPr>
                  </w:pPr>
                </w:p>
              </w:tc>
              <w:tc>
                <w:tcPr>
                  <w:tcW w:w="512" w:type="pct"/>
                  <w:vMerge w:val="continue"/>
                  <w:noWrap w:val="0"/>
                  <w:vAlign w:val="center"/>
                </w:tcPr>
                <w:p w14:paraId="6936E1A7">
                  <w:pPr>
                    <w:pStyle w:val="96"/>
                    <w:rPr>
                      <w:rFonts w:hint="default" w:ascii="Times New Roman" w:hAnsi="Times New Roman" w:cs="Times New Roman"/>
                      <w:color w:val="auto"/>
                      <w:szCs w:val="21"/>
                    </w:rPr>
                  </w:pPr>
                </w:p>
              </w:tc>
            </w:tr>
            <w:tr w14:paraId="78670A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67" w:type="pct"/>
                  <w:vMerge w:val="continue"/>
                  <w:noWrap w:val="0"/>
                  <w:vAlign w:val="center"/>
                </w:tcPr>
                <w:p w14:paraId="1AEC4A88">
                  <w:pPr>
                    <w:pStyle w:val="96"/>
                    <w:rPr>
                      <w:rFonts w:hint="default" w:ascii="Times New Roman" w:hAnsi="Times New Roman" w:cs="Times New Roman"/>
                      <w:color w:val="auto"/>
                      <w:szCs w:val="21"/>
                    </w:rPr>
                  </w:pPr>
                </w:p>
              </w:tc>
              <w:tc>
                <w:tcPr>
                  <w:tcW w:w="2293" w:type="pct"/>
                  <w:noWrap w:val="0"/>
                  <w:vAlign w:val="center"/>
                </w:tcPr>
                <w:p w14:paraId="2B0A5D20">
                  <w:pPr>
                    <w:pStyle w:val="96"/>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未开展环境影响评价、未经环境保护行政主管部门批准的企业项目禁止建设</w:t>
                  </w:r>
                  <w:r>
                    <w:rPr>
                      <w:rFonts w:hint="default" w:ascii="Times New Roman" w:hAnsi="Times New Roman" w:eastAsia="宋体" w:cs="Times New Roman"/>
                      <w:color w:val="auto"/>
                      <w:szCs w:val="21"/>
                      <w:lang w:val="en-US" w:eastAsia="zh-CN"/>
                    </w:rPr>
                    <w:t>。</w:t>
                  </w:r>
                </w:p>
              </w:tc>
              <w:tc>
                <w:tcPr>
                  <w:tcW w:w="1526" w:type="pct"/>
                  <w:vMerge w:val="continue"/>
                  <w:noWrap w:val="0"/>
                  <w:vAlign w:val="center"/>
                </w:tcPr>
                <w:p w14:paraId="7BC4EBA9">
                  <w:pPr>
                    <w:pStyle w:val="96"/>
                    <w:rPr>
                      <w:rFonts w:hint="default" w:ascii="Times New Roman" w:hAnsi="Times New Roman" w:cs="Times New Roman"/>
                      <w:b/>
                      <w:bCs/>
                      <w:color w:val="auto"/>
                      <w:szCs w:val="21"/>
                    </w:rPr>
                  </w:pPr>
                </w:p>
              </w:tc>
              <w:tc>
                <w:tcPr>
                  <w:tcW w:w="512" w:type="pct"/>
                  <w:vMerge w:val="continue"/>
                  <w:noWrap w:val="0"/>
                  <w:vAlign w:val="center"/>
                </w:tcPr>
                <w:p w14:paraId="433675CC">
                  <w:pPr>
                    <w:pStyle w:val="96"/>
                    <w:rPr>
                      <w:rFonts w:hint="default" w:ascii="Times New Roman" w:hAnsi="Times New Roman" w:cs="Times New Roman"/>
                      <w:b/>
                      <w:bCs/>
                      <w:color w:val="auto"/>
                      <w:szCs w:val="21"/>
                    </w:rPr>
                  </w:pPr>
                </w:p>
              </w:tc>
            </w:tr>
            <w:tr w14:paraId="0B4D00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75E568B9">
                  <w:pPr>
                    <w:pStyle w:val="96"/>
                    <w:rPr>
                      <w:rFonts w:hint="default" w:ascii="Times New Roman" w:hAnsi="Times New Roman" w:cs="Times New Roman"/>
                      <w:color w:val="auto"/>
                      <w:szCs w:val="21"/>
                    </w:rPr>
                  </w:pPr>
                </w:p>
              </w:tc>
              <w:tc>
                <w:tcPr>
                  <w:tcW w:w="2293" w:type="pct"/>
                  <w:noWrap w:val="0"/>
                  <w:vAlign w:val="center"/>
                </w:tcPr>
                <w:p w14:paraId="7F13160B">
                  <w:pPr>
                    <w:pStyle w:val="96"/>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不符合《太湖流域管理条例》（中华人民共和国国务院令第604号）、《江苏省太湖水污染防治条例》等相关太湖流域管理规定的项目禁止建设。园区内禁止含氮、磷废水排放的企业入区</w:t>
                  </w:r>
                  <w:r>
                    <w:rPr>
                      <w:rFonts w:hint="default" w:ascii="Times New Roman" w:hAnsi="Times New Roman" w:eastAsia="宋体" w:cs="Times New Roman"/>
                      <w:color w:val="auto"/>
                      <w:szCs w:val="21"/>
                      <w:lang w:val="en-US" w:eastAsia="zh-CN"/>
                    </w:rPr>
                    <w:t>。</w:t>
                  </w:r>
                </w:p>
              </w:tc>
              <w:tc>
                <w:tcPr>
                  <w:tcW w:w="1526" w:type="pct"/>
                  <w:vMerge w:val="continue"/>
                  <w:noWrap w:val="0"/>
                  <w:vAlign w:val="center"/>
                </w:tcPr>
                <w:p w14:paraId="6051196A">
                  <w:pPr>
                    <w:pStyle w:val="96"/>
                    <w:rPr>
                      <w:rFonts w:hint="default" w:ascii="Times New Roman" w:hAnsi="Times New Roman" w:cs="Times New Roman"/>
                      <w:b/>
                      <w:bCs/>
                      <w:color w:val="auto"/>
                      <w:szCs w:val="21"/>
                    </w:rPr>
                  </w:pPr>
                </w:p>
              </w:tc>
              <w:tc>
                <w:tcPr>
                  <w:tcW w:w="512" w:type="pct"/>
                  <w:vMerge w:val="continue"/>
                  <w:noWrap w:val="0"/>
                  <w:vAlign w:val="center"/>
                </w:tcPr>
                <w:p w14:paraId="19BDC66D">
                  <w:pPr>
                    <w:pStyle w:val="96"/>
                    <w:rPr>
                      <w:rFonts w:hint="default" w:ascii="Times New Roman" w:hAnsi="Times New Roman" w:cs="Times New Roman"/>
                      <w:b/>
                      <w:bCs/>
                      <w:color w:val="auto"/>
                      <w:szCs w:val="21"/>
                    </w:rPr>
                  </w:pPr>
                </w:p>
              </w:tc>
            </w:tr>
            <w:tr w14:paraId="30057F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77045880">
                  <w:pPr>
                    <w:pStyle w:val="96"/>
                    <w:rPr>
                      <w:rFonts w:hint="default" w:ascii="Times New Roman" w:hAnsi="Times New Roman" w:cs="Times New Roman"/>
                      <w:color w:val="auto"/>
                      <w:szCs w:val="21"/>
                    </w:rPr>
                  </w:pPr>
                </w:p>
              </w:tc>
              <w:tc>
                <w:tcPr>
                  <w:tcW w:w="2293" w:type="pct"/>
                  <w:noWrap w:val="0"/>
                  <w:vAlign w:val="center"/>
                </w:tcPr>
                <w:p w14:paraId="1E34CA6C">
                  <w:pPr>
                    <w:pStyle w:val="96"/>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改建、扩建和技术改造项目属于下列情况之一的禁止建设：①无法通过采取“以新带老”措施，实现增产不增污、削减污染负荷的建设项目；②不履行环保“三同时”的建设项目；③建设单位目前污染物排放超过标准或总量控制指标，需要配套的污染防治设施和生态保护措施未落实的建设项目</w:t>
                  </w:r>
                  <w:r>
                    <w:rPr>
                      <w:rFonts w:hint="default" w:ascii="Times New Roman" w:hAnsi="Times New Roman" w:eastAsia="宋体" w:cs="Times New Roman"/>
                      <w:color w:val="auto"/>
                      <w:szCs w:val="21"/>
                      <w:lang w:val="en-US" w:eastAsia="zh-CN"/>
                    </w:rPr>
                    <w:t>。</w:t>
                  </w:r>
                </w:p>
              </w:tc>
              <w:tc>
                <w:tcPr>
                  <w:tcW w:w="1526" w:type="pct"/>
                  <w:vMerge w:val="continue"/>
                  <w:noWrap w:val="0"/>
                  <w:vAlign w:val="center"/>
                </w:tcPr>
                <w:p w14:paraId="1F3A2C72">
                  <w:pPr>
                    <w:pStyle w:val="96"/>
                    <w:rPr>
                      <w:rFonts w:hint="default" w:ascii="Times New Roman" w:hAnsi="Times New Roman" w:cs="Times New Roman"/>
                      <w:b/>
                      <w:bCs/>
                      <w:color w:val="auto"/>
                      <w:szCs w:val="21"/>
                    </w:rPr>
                  </w:pPr>
                </w:p>
              </w:tc>
              <w:tc>
                <w:tcPr>
                  <w:tcW w:w="512" w:type="pct"/>
                  <w:vMerge w:val="continue"/>
                  <w:noWrap w:val="0"/>
                  <w:vAlign w:val="center"/>
                </w:tcPr>
                <w:p w14:paraId="0610F821">
                  <w:pPr>
                    <w:pStyle w:val="96"/>
                    <w:rPr>
                      <w:rFonts w:hint="default" w:ascii="Times New Roman" w:hAnsi="Times New Roman" w:cs="Times New Roman"/>
                      <w:b/>
                      <w:bCs/>
                      <w:color w:val="auto"/>
                      <w:szCs w:val="21"/>
                    </w:rPr>
                  </w:pPr>
                </w:p>
              </w:tc>
            </w:tr>
            <w:tr w14:paraId="403F73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2DADECB0">
                  <w:pPr>
                    <w:pStyle w:val="96"/>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2293" w:type="pct"/>
                  <w:noWrap w:val="0"/>
                  <w:vAlign w:val="center"/>
                </w:tcPr>
                <w:p w14:paraId="307B2003">
                  <w:pPr>
                    <w:pStyle w:val="96"/>
                    <w:rPr>
                      <w:rFonts w:hint="default" w:ascii="Times New Roman" w:hAnsi="Times New Roman" w:cs="Times New Roman"/>
                      <w:color w:val="auto"/>
                      <w:szCs w:val="21"/>
                    </w:rPr>
                  </w:pPr>
                  <w:r>
                    <w:rPr>
                      <w:rFonts w:hint="default" w:ascii="Times New Roman" w:hAnsi="Times New Roman" w:cs="Times New Roman"/>
                      <w:color w:val="auto"/>
                      <w:szCs w:val="21"/>
                    </w:rPr>
                    <w:t>严格实施污染物总量</w:t>
                  </w:r>
                  <w:r>
                    <w:rPr>
                      <w:rFonts w:hint="default" w:ascii="Times New Roman" w:hAnsi="Times New Roman" w:cs="Times New Roman"/>
                      <w:color w:val="auto"/>
                      <w:spacing w:val="2"/>
                      <w:szCs w:val="21"/>
                    </w:rPr>
                    <w:t>控制制度，根据区域环境质</w:t>
                  </w:r>
                  <w:r>
                    <w:rPr>
                      <w:rFonts w:hint="default" w:ascii="Times New Roman" w:hAnsi="Times New Roman" w:cs="Times New Roman"/>
                      <w:color w:val="auto"/>
                      <w:spacing w:val="3"/>
                      <w:szCs w:val="21"/>
                    </w:rPr>
                    <w:t>量改善目标，采取有效措施减少主要污染物排放总量，</w:t>
                  </w:r>
                  <w:r>
                    <w:rPr>
                      <w:rFonts w:hint="default" w:ascii="Times New Roman" w:hAnsi="Times New Roman" w:cs="Times New Roman"/>
                      <w:color w:val="auto"/>
                      <w:szCs w:val="21"/>
                    </w:rPr>
                    <w:t>确保区域环境质量持续改善。</w:t>
                  </w:r>
                </w:p>
              </w:tc>
              <w:tc>
                <w:tcPr>
                  <w:tcW w:w="1526" w:type="pct"/>
                  <w:vMerge w:val="restart"/>
                  <w:noWrap w:val="0"/>
                  <w:vAlign w:val="center"/>
                </w:tcPr>
                <w:p w14:paraId="31A27D35">
                  <w:pPr>
                    <w:pStyle w:val="96"/>
                    <w:rPr>
                      <w:rFonts w:hint="default" w:ascii="Times New Roman" w:hAnsi="Times New Roman" w:cs="Times New Roman"/>
                      <w:color w:val="auto"/>
                      <w:szCs w:val="21"/>
                    </w:rPr>
                  </w:pPr>
                  <w:r>
                    <w:rPr>
                      <w:rFonts w:hint="default" w:ascii="Times New Roman" w:hAnsi="Times New Roman" w:cs="Times New Roman"/>
                      <w:color w:val="auto"/>
                      <w:szCs w:val="22"/>
                    </w:rPr>
                    <w:t>本</w:t>
                  </w:r>
                  <w:r>
                    <w:rPr>
                      <w:rFonts w:hint="default" w:ascii="Times New Roman" w:hAnsi="Times New Roman" w:cs="Times New Roman"/>
                      <w:color w:val="auto"/>
                      <w:szCs w:val="21"/>
                    </w:rPr>
                    <w:t>项目有机废气经处理后达标排放，废气排放总量不会突破园区环评报告及批复的总量。</w:t>
                  </w:r>
                </w:p>
              </w:tc>
              <w:tc>
                <w:tcPr>
                  <w:tcW w:w="512" w:type="pct"/>
                  <w:vMerge w:val="restart"/>
                  <w:noWrap w:val="0"/>
                  <w:vAlign w:val="center"/>
                </w:tcPr>
                <w:p w14:paraId="04B95DBF">
                  <w:pPr>
                    <w:pStyle w:val="96"/>
                    <w:rPr>
                      <w:rFonts w:hint="default" w:ascii="Times New Roman" w:hAnsi="Times New Roman" w:cs="Times New Roman"/>
                      <w:b/>
                      <w:bCs/>
                      <w:color w:val="auto"/>
                      <w:szCs w:val="21"/>
                    </w:rPr>
                  </w:pPr>
                  <w:r>
                    <w:rPr>
                      <w:rFonts w:hint="default" w:ascii="Times New Roman" w:hAnsi="Times New Roman" w:cs="Times New Roman"/>
                      <w:color w:val="auto"/>
                      <w:szCs w:val="21"/>
                    </w:rPr>
                    <w:t>符合</w:t>
                  </w:r>
                </w:p>
              </w:tc>
            </w:tr>
            <w:tr w14:paraId="363738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2AE82578">
                  <w:pPr>
                    <w:pStyle w:val="96"/>
                    <w:rPr>
                      <w:rFonts w:hint="default" w:ascii="Times New Roman" w:hAnsi="Times New Roman" w:cs="Times New Roman"/>
                      <w:color w:val="auto"/>
                      <w:szCs w:val="21"/>
                    </w:rPr>
                  </w:pPr>
                </w:p>
              </w:tc>
              <w:tc>
                <w:tcPr>
                  <w:tcW w:w="2293" w:type="pct"/>
                  <w:noWrap w:val="0"/>
                  <w:vAlign w:val="center"/>
                </w:tcPr>
                <w:p w14:paraId="1EB7B0BF">
                  <w:pPr>
                    <w:pStyle w:val="96"/>
                    <w:jc w:val="center"/>
                    <w:rPr>
                      <w:rFonts w:hint="default" w:ascii="Times New Roman" w:hAnsi="Times New Roman" w:cs="Times New Roman"/>
                      <w:color w:val="auto"/>
                      <w:szCs w:val="21"/>
                    </w:rPr>
                  </w:pPr>
                  <w:r>
                    <w:rPr>
                      <w:rFonts w:hint="default" w:ascii="Times New Roman" w:hAnsi="Times New Roman" w:cs="Times New Roman"/>
                      <w:color w:val="auto"/>
                      <w:szCs w:val="21"/>
                    </w:rPr>
                    <w:t>园区污染物排放总量不得突破环评报告及批复的总量。</w:t>
                  </w:r>
                </w:p>
              </w:tc>
              <w:tc>
                <w:tcPr>
                  <w:tcW w:w="1526" w:type="pct"/>
                  <w:vMerge w:val="continue"/>
                  <w:noWrap w:val="0"/>
                  <w:vAlign w:val="center"/>
                </w:tcPr>
                <w:p w14:paraId="619852FA">
                  <w:pPr>
                    <w:pStyle w:val="96"/>
                    <w:rPr>
                      <w:rFonts w:hint="default" w:ascii="Times New Roman" w:hAnsi="Times New Roman" w:cs="Times New Roman"/>
                      <w:color w:val="auto"/>
                      <w:szCs w:val="21"/>
                    </w:rPr>
                  </w:pPr>
                </w:p>
              </w:tc>
              <w:tc>
                <w:tcPr>
                  <w:tcW w:w="512" w:type="pct"/>
                  <w:vMerge w:val="continue"/>
                  <w:noWrap w:val="0"/>
                  <w:vAlign w:val="center"/>
                </w:tcPr>
                <w:p w14:paraId="314CDA9B">
                  <w:pPr>
                    <w:pStyle w:val="96"/>
                    <w:rPr>
                      <w:rFonts w:hint="default" w:ascii="Times New Roman" w:hAnsi="Times New Roman" w:cs="Times New Roman"/>
                      <w:b/>
                      <w:bCs/>
                      <w:color w:val="auto"/>
                      <w:szCs w:val="21"/>
                    </w:rPr>
                  </w:pPr>
                </w:p>
              </w:tc>
            </w:tr>
            <w:tr w14:paraId="02006F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6B6E67C6">
                  <w:pPr>
                    <w:pStyle w:val="96"/>
                    <w:rPr>
                      <w:rFonts w:hint="default" w:ascii="Times New Roman" w:hAnsi="Times New Roman" w:cs="Times New Roman"/>
                      <w:color w:val="auto"/>
                      <w:szCs w:val="21"/>
                    </w:rPr>
                  </w:pPr>
                  <w:r>
                    <w:rPr>
                      <w:rFonts w:hint="default" w:ascii="Times New Roman" w:hAnsi="Times New Roman" w:cs="Times New Roman"/>
                      <w:color w:val="auto"/>
                      <w:szCs w:val="21"/>
                    </w:rPr>
                    <w:t>环境风险防控</w:t>
                  </w:r>
                </w:p>
              </w:tc>
              <w:tc>
                <w:tcPr>
                  <w:tcW w:w="2293" w:type="pct"/>
                  <w:noWrap w:val="0"/>
                  <w:vAlign w:val="center"/>
                </w:tcPr>
                <w:p w14:paraId="2CAE6766">
                  <w:pPr>
                    <w:pStyle w:val="96"/>
                    <w:rPr>
                      <w:rFonts w:hint="default" w:ascii="Times New Roman" w:hAnsi="Times New Roman" w:cs="Times New Roman"/>
                      <w:color w:val="auto"/>
                      <w:szCs w:val="21"/>
                    </w:rPr>
                  </w:pPr>
                  <w:r>
                    <w:rPr>
                      <w:rFonts w:hint="default" w:ascii="Times New Roman" w:hAnsi="Times New Roman" w:cs="Times New Roman"/>
                      <w:color w:val="auto"/>
                      <w:szCs w:val="21"/>
                    </w:rPr>
                    <w:t>园区建立环境应急体系，完善事故应急救援体系，加强应急物资装备储备，编制突发环境事件应急预案，定期开展演练。</w:t>
                  </w:r>
                </w:p>
              </w:tc>
              <w:tc>
                <w:tcPr>
                  <w:tcW w:w="1526" w:type="pct"/>
                  <w:vMerge w:val="restart"/>
                  <w:noWrap w:val="0"/>
                  <w:vAlign w:val="center"/>
                </w:tcPr>
                <w:p w14:paraId="3AB0201B">
                  <w:pPr>
                    <w:pStyle w:val="96"/>
                    <w:rPr>
                      <w:rFonts w:hint="default" w:ascii="Times New Roman" w:hAnsi="Times New Roman" w:cs="Times New Roman"/>
                      <w:color w:val="auto"/>
                      <w:szCs w:val="21"/>
                    </w:rPr>
                  </w:pPr>
                  <w:r>
                    <w:rPr>
                      <w:rFonts w:hint="default" w:ascii="Times New Roman" w:hAnsi="Times New Roman" w:cs="Times New Roman"/>
                      <w:color w:val="auto"/>
                      <w:szCs w:val="21"/>
                    </w:rPr>
                    <w:t>本项目所在园区已建立环境应急体系，已加强应急物资装备储备，已编制突发环境事件应急预案并定期开展演练；项目建设</w:t>
                  </w:r>
                  <w:r>
                    <w:rPr>
                      <w:rFonts w:hint="default" w:ascii="Times New Roman" w:hAnsi="Times New Roman" w:cs="Times New Roman"/>
                      <w:color w:val="auto"/>
                      <w:szCs w:val="21"/>
                      <w:lang w:val="en-US" w:eastAsia="zh-CN"/>
                    </w:rPr>
                    <w:t>后将</w:t>
                  </w:r>
                  <w:r>
                    <w:rPr>
                      <w:rFonts w:hint="default" w:ascii="Times New Roman" w:hAnsi="Times New Roman" w:cs="Times New Roman"/>
                      <w:color w:val="auto"/>
                      <w:szCs w:val="21"/>
                    </w:rPr>
                    <w:t>委托专业单位编制突发环境事件应急预案并在金坛生态环境局备案；项目建成后将加强环境影响跟踪监测，建立健全各环境要素监控体系，完善并落实园区日常环境监测与污染源监控计划。</w:t>
                  </w:r>
                </w:p>
              </w:tc>
              <w:tc>
                <w:tcPr>
                  <w:tcW w:w="512" w:type="pct"/>
                  <w:vMerge w:val="restart"/>
                  <w:noWrap w:val="0"/>
                  <w:vAlign w:val="center"/>
                </w:tcPr>
                <w:p w14:paraId="5C1B33BE">
                  <w:pPr>
                    <w:pStyle w:val="96"/>
                    <w:rPr>
                      <w:rFonts w:hint="default" w:ascii="Times New Roman" w:hAnsi="Times New Roman" w:cs="Times New Roman"/>
                      <w:b/>
                      <w:bCs/>
                      <w:color w:val="auto"/>
                      <w:szCs w:val="21"/>
                    </w:rPr>
                  </w:pPr>
                  <w:r>
                    <w:rPr>
                      <w:rFonts w:hint="default" w:ascii="Times New Roman" w:hAnsi="Times New Roman" w:cs="Times New Roman"/>
                      <w:color w:val="auto"/>
                      <w:szCs w:val="21"/>
                    </w:rPr>
                    <w:t>符合</w:t>
                  </w:r>
                </w:p>
              </w:tc>
            </w:tr>
            <w:tr w14:paraId="73D896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07203C5C">
                  <w:pPr>
                    <w:pStyle w:val="96"/>
                    <w:rPr>
                      <w:rFonts w:hint="default" w:ascii="Times New Roman" w:hAnsi="Times New Roman" w:cs="Times New Roman"/>
                      <w:color w:val="auto"/>
                      <w:szCs w:val="21"/>
                    </w:rPr>
                  </w:pPr>
                </w:p>
              </w:tc>
              <w:tc>
                <w:tcPr>
                  <w:tcW w:w="2293" w:type="pct"/>
                  <w:noWrap w:val="0"/>
                  <w:vAlign w:val="center"/>
                </w:tcPr>
                <w:p w14:paraId="6903BA24">
                  <w:pPr>
                    <w:pStyle w:val="96"/>
                    <w:rPr>
                      <w:rFonts w:hint="default" w:ascii="Times New Roman" w:hAnsi="Times New Roman" w:cs="Times New Roman"/>
                      <w:color w:val="auto"/>
                      <w:szCs w:val="21"/>
                    </w:rPr>
                  </w:pPr>
                  <w:r>
                    <w:rPr>
                      <w:rFonts w:hint="default" w:ascii="Times New Roman" w:hAnsi="Times New Roman" w:cs="Times New Roman"/>
                      <w:color w:val="auto"/>
                      <w:szCs w:val="21"/>
                    </w:rPr>
                    <w:t>生产、使用、储存危险化学品或其他存在环境风险的企事业单位，应当制定风险防范措施，编制完善突发环境事件应急预案，防止发生环境污染事故。</w:t>
                  </w:r>
                </w:p>
              </w:tc>
              <w:tc>
                <w:tcPr>
                  <w:tcW w:w="1526" w:type="pct"/>
                  <w:vMerge w:val="continue"/>
                  <w:noWrap w:val="0"/>
                  <w:vAlign w:val="center"/>
                </w:tcPr>
                <w:p w14:paraId="25C8F468">
                  <w:pPr>
                    <w:pStyle w:val="96"/>
                    <w:rPr>
                      <w:rFonts w:hint="default" w:ascii="Times New Roman" w:hAnsi="Times New Roman" w:cs="Times New Roman"/>
                      <w:b/>
                      <w:bCs/>
                      <w:color w:val="auto"/>
                      <w:szCs w:val="21"/>
                    </w:rPr>
                  </w:pPr>
                </w:p>
              </w:tc>
              <w:tc>
                <w:tcPr>
                  <w:tcW w:w="512" w:type="pct"/>
                  <w:vMerge w:val="continue"/>
                  <w:noWrap w:val="0"/>
                  <w:vAlign w:val="center"/>
                </w:tcPr>
                <w:p w14:paraId="40A7DAD4">
                  <w:pPr>
                    <w:pStyle w:val="96"/>
                    <w:rPr>
                      <w:rFonts w:hint="default" w:ascii="Times New Roman" w:hAnsi="Times New Roman" w:cs="Times New Roman"/>
                      <w:b/>
                      <w:bCs/>
                      <w:color w:val="auto"/>
                      <w:szCs w:val="21"/>
                    </w:rPr>
                  </w:pPr>
                </w:p>
              </w:tc>
            </w:tr>
            <w:tr w14:paraId="2988BF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2B614E57">
                  <w:pPr>
                    <w:pStyle w:val="96"/>
                    <w:rPr>
                      <w:rFonts w:hint="default" w:ascii="Times New Roman" w:hAnsi="Times New Roman" w:cs="Times New Roman"/>
                      <w:color w:val="auto"/>
                      <w:szCs w:val="21"/>
                    </w:rPr>
                  </w:pPr>
                </w:p>
              </w:tc>
              <w:tc>
                <w:tcPr>
                  <w:tcW w:w="2293" w:type="pct"/>
                  <w:noWrap w:val="0"/>
                  <w:vAlign w:val="center"/>
                </w:tcPr>
                <w:p w14:paraId="34B8DD04">
                  <w:pPr>
                    <w:pStyle w:val="96"/>
                    <w:rPr>
                      <w:rFonts w:hint="default" w:ascii="Times New Roman" w:hAnsi="Times New Roman" w:cs="Times New Roman"/>
                      <w:color w:val="auto"/>
                      <w:szCs w:val="21"/>
                    </w:rPr>
                  </w:pPr>
                  <w:r>
                    <w:rPr>
                      <w:rFonts w:hint="default" w:ascii="Times New Roman" w:hAnsi="Times New Roman" w:cs="Times New Roman"/>
                      <w:color w:val="auto"/>
                      <w:szCs w:val="21"/>
                    </w:rPr>
                    <w:t>加强环境影响跟踪监测，建立健全各环境要素监控体系，完善并落实园区日常环境监测与污染源监控计划。</w:t>
                  </w:r>
                </w:p>
              </w:tc>
              <w:tc>
                <w:tcPr>
                  <w:tcW w:w="1526" w:type="pct"/>
                  <w:vMerge w:val="continue"/>
                  <w:noWrap w:val="0"/>
                  <w:vAlign w:val="center"/>
                </w:tcPr>
                <w:p w14:paraId="31BAB1F1">
                  <w:pPr>
                    <w:pStyle w:val="96"/>
                    <w:rPr>
                      <w:rFonts w:hint="default" w:ascii="Times New Roman" w:hAnsi="Times New Roman" w:cs="Times New Roman"/>
                      <w:b/>
                      <w:bCs/>
                      <w:color w:val="auto"/>
                      <w:szCs w:val="21"/>
                    </w:rPr>
                  </w:pPr>
                </w:p>
              </w:tc>
              <w:tc>
                <w:tcPr>
                  <w:tcW w:w="512" w:type="pct"/>
                  <w:vMerge w:val="continue"/>
                  <w:noWrap w:val="0"/>
                  <w:vAlign w:val="center"/>
                </w:tcPr>
                <w:p w14:paraId="422479BF">
                  <w:pPr>
                    <w:pStyle w:val="96"/>
                    <w:rPr>
                      <w:rFonts w:hint="default" w:ascii="Times New Roman" w:hAnsi="Times New Roman" w:cs="Times New Roman"/>
                      <w:b/>
                      <w:bCs/>
                      <w:color w:val="auto"/>
                      <w:szCs w:val="21"/>
                    </w:rPr>
                  </w:pPr>
                </w:p>
              </w:tc>
            </w:tr>
            <w:tr w14:paraId="31E254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01DD8999">
                  <w:pPr>
                    <w:pStyle w:val="96"/>
                    <w:rPr>
                      <w:rFonts w:hint="default" w:ascii="Times New Roman" w:hAnsi="Times New Roman" w:cs="Times New Roman"/>
                      <w:color w:val="auto"/>
                      <w:szCs w:val="21"/>
                    </w:rPr>
                  </w:pPr>
                  <w:r>
                    <w:rPr>
                      <w:rFonts w:hint="default" w:ascii="Times New Roman" w:hAnsi="Times New Roman" w:cs="Times New Roman"/>
                      <w:color w:val="auto"/>
                      <w:szCs w:val="21"/>
                    </w:rPr>
                    <w:t>资源开发效率要求</w:t>
                  </w:r>
                </w:p>
              </w:tc>
              <w:tc>
                <w:tcPr>
                  <w:tcW w:w="2293" w:type="pct"/>
                  <w:noWrap w:val="0"/>
                  <w:vAlign w:val="center"/>
                </w:tcPr>
                <w:p w14:paraId="017F1AF4">
                  <w:pPr>
                    <w:pStyle w:val="96"/>
                    <w:jc w:val="center"/>
                    <w:rPr>
                      <w:rFonts w:hint="default" w:ascii="Times New Roman" w:hAnsi="Times New Roman" w:cs="Times New Roman"/>
                      <w:color w:val="auto"/>
                      <w:szCs w:val="21"/>
                    </w:rPr>
                  </w:pPr>
                  <w:r>
                    <w:rPr>
                      <w:rFonts w:hint="default" w:ascii="Times New Roman" w:hAnsi="Times New Roman" w:cs="Times New Roman"/>
                      <w:color w:val="auto"/>
                      <w:szCs w:val="21"/>
                    </w:rPr>
                    <w:t>大力倡导使用清洁能源。</w:t>
                  </w:r>
                </w:p>
              </w:tc>
              <w:tc>
                <w:tcPr>
                  <w:tcW w:w="1526" w:type="pct"/>
                  <w:vMerge w:val="restart"/>
                  <w:noWrap w:val="0"/>
                  <w:vAlign w:val="center"/>
                </w:tcPr>
                <w:p w14:paraId="31F80F23">
                  <w:pPr>
                    <w:pStyle w:val="96"/>
                    <w:rPr>
                      <w:rFonts w:hint="default" w:ascii="Times New Roman" w:hAnsi="Times New Roman" w:cs="Times New Roman"/>
                      <w:color w:val="auto"/>
                      <w:szCs w:val="21"/>
                    </w:rPr>
                  </w:pPr>
                  <w:r>
                    <w:rPr>
                      <w:rFonts w:hint="default" w:ascii="Times New Roman" w:hAnsi="Times New Roman" w:cs="Times New Roman"/>
                      <w:color w:val="auto"/>
                      <w:szCs w:val="21"/>
                    </w:rPr>
                    <w:t>本项目使用清洁能源电力；项目</w:t>
                  </w:r>
                  <w:r>
                    <w:rPr>
                      <w:rFonts w:hint="default" w:ascii="Times New Roman" w:hAnsi="Times New Roman" w:cs="Times New Roman"/>
                      <w:color w:val="auto"/>
                      <w:sz w:val="20"/>
                      <w:lang w:val="en-US" w:eastAsia="zh-CN"/>
                    </w:rPr>
                    <w:t>无</w:t>
                  </w:r>
                  <w:r>
                    <w:rPr>
                      <w:rFonts w:hint="default" w:ascii="Times New Roman" w:hAnsi="Times New Roman" w:cs="Times New Roman"/>
                      <w:color w:val="auto"/>
                      <w:sz w:val="20"/>
                    </w:rPr>
                    <w:t>燃煤设施</w:t>
                  </w:r>
                  <w:r>
                    <w:rPr>
                      <w:rFonts w:hint="default" w:ascii="Times New Roman" w:hAnsi="Times New Roman" w:cs="Times New Roman"/>
                      <w:color w:val="auto"/>
                      <w:szCs w:val="21"/>
                    </w:rPr>
                    <w:t>。</w:t>
                  </w:r>
                </w:p>
              </w:tc>
              <w:tc>
                <w:tcPr>
                  <w:tcW w:w="512" w:type="pct"/>
                  <w:vMerge w:val="restart"/>
                  <w:noWrap w:val="0"/>
                  <w:vAlign w:val="center"/>
                </w:tcPr>
                <w:p w14:paraId="17B6B0E9">
                  <w:pPr>
                    <w:pStyle w:val="96"/>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183112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158C6F4D">
                  <w:pPr>
                    <w:pStyle w:val="96"/>
                    <w:rPr>
                      <w:rFonts w:hint="default" w:ascii="Times New Roman" w:hAnsi="Times New Roman" w:cs="Times New Roman"/>
                      <w:color w:val="auto"/>
                      <w:szCs w:val="21"/>
                    </w:rPr>
                  </w:pPr>
                </w:p>
              </w:tc>
              <w:tc>
                <w:tcPr>
                  <w:tcW w:w="2293" w:type="pct"/>
                  <w:noWrap w:val="0"/>
                  <w:vAlign w:val="center"/>
                </w:tcPr>
                <w:p w14:paraId="7BA0398E">
                  <w:pPr>
                    <w:pStyle w:val="96"/>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提升废水资源化技术，提高水资源回用率。</w:t>
                  </w:r>
                </w:p>
              </w:tc>
              <w:tc>
                <w:tcPr>
                  <w:tcW w:w="1526" w:type="pct"/>
                  <w:vMerge w:val="continue"/>
                  <w:noWrap w:val="0"/>
                  <w:vAlign w:val="center"/>
                </w:tcPr>
                <w:p w14:paraId="2D4EAD75">
                  <w:pPr>
                    <w:pStyle w:val="96"/>
                    <w:rPr>
                      <w:rFonts w:hint="default" w:ascii="Times New Roman" w:hAnsi="Times New Roman" w:cs="Times New Roman"/>
                      <w:color w:val="auto"/>
                      <w:szCs w:val="21"/>
                    </w:rPr>
                  </w:pPr>
                </w:p>
              </w:tc>
              <w:tc>
                <w:tcPr>
                  <w:tcW w:w="512" w:type="pct"/>
                  <w:vMerge w:val="continue"/>
                  <w:noWrap w:val="0"/>
                  <w:vAlign w:val="center"/>
                </w:tcPr>
                <w:p w14:paraId="7D3141E9">
                  <w:pPr>
                    <w:pStyle w:val="96"/>
                    <w:rPr>
                      <w:rFonts w:hint="default" w:ascii="Times New Roman" w:hAnsi="Times New Roman" w:cs="Times New Roman"/>
                      <w:color w:val="auto"/>
                      <w:szCs w:val="21"/>
                    </w:rPr>
                  </w:pPr>
                </w:p>
              </w:tc>
            </w:tr>
            <w:tr w14:paraId="4ED4A8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7" w:type="pct"/>
                  <w:vMerge w:val="continue"/>
                  <w:noWrap w:val="0"/>
                  <w:vAlign w:val="center"/>
                </w:tcPr>
                <w:p w14:paraId="6B5FCCB6">
                  <w:pPr>
                    <w:pStyle w:val="96"/>
                    <w:rPr>
                      <w:rFonts w:hint="default" w:ascii="Times New Roman" w:hAnsi="Times New Roman" w:cs="Times New Roman"/>
                      <w:color w:val="auto"/>
                      <w:szCs w:val="21"/>
                    </w:rPr>
                  </w:pPr>
                </w:p>
              </w:tc>
              <w:tc>
                <w:tcPr>
                  <w:tcW w:w="2293" w:type="pct"/>
                  <w:noWrap w:val="0"/>
                  <w:vAlign w:val="center"/>
                </w:tcPr>
                <w:p w14:paraId="062279DA">
                  <w:pPr>
                    <w:pStyle w:val="56"/>
                    <w:keepNext w:val="0"/>
                    <w:keepLines w:val="0"/>
                    <w:pageBreakBefore w:val="0"/>
                    <w:widowControl w:val="0"/>
                    <w:numPr>
                      <w:ilvl w:val="0"/>
                      <w:numId w:val="0"/>
                    </w:numPr>
                    <w:tabs>
                      <w:tab w:val="left" w:pos="609"/>
                    </w:tabs>
                    <w:kinsoku/>
                    <w:wordWrap/>
                    <w:overflowPunct/>
                    <w:topLinePunct w:val="0"/>
                    <w:bidi w:val="0"/>
                    <w:adjustRightInd w:val="0"/>
                    <w:snapToGrid/>
                    <w:spacing w:after="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0"/>
                    </w:rPr>
                    <w:t>严禁自建燃煤设施</w:t>
                  </w:r>
                </w:p>
              </w:tc>
              <w:tc>
                <w:tcPr>
                  <w:tcW w:w="1526" w:type="pct"/>
                  <w:vMerge w:val="continue"/>
                  <w:noWrap w:val="0"/>
                  <w:vAlign w:val="center"/>
                </w:tcPr>
                <w:p w14:paraId="7C1BBA7E">
                  <w:pPr>
                    <w:pStyle w:val="96"/>
                    <w:rPr>
                      <w:rFonts w:hint="default" w:ascii="Times New Roman" w:hAnsi="Times New Roman" w:cs="Times New Roman"/>
                      <w:color w:val="auto"/>
                      <w:szCs w:val="21"/>
                    </w:rPr>
                  </w:pPr>
                </w:p>
              </w:tc>
              <w:tc>
                <w:tcPr>
                  <w:tcW w:w="512" w:type="pct"/>
                  <w:vMerge w:val="continue"/>
                  <w:noWrap w:val="0"/>
                  <w:vAlign w:val="center"/>
                </w:tcPr>
                <w:p w14:paraId="73BC6245">
                  <w:pPr>
                    <w:pStyle w:val="96"/>
                    <w:rPr>
                      <w:rFonts w:hint="default" w:ascii="Times New Roman" w:hAnsi="Times New Roman" w:cs="Times New Roman"/>
                      <w:color w:val="auto"/>
                      <w:szCs w:val="21"/>
                    </w:rPr>
                  </w:pPr>
                </w:p>
              </w:tc>
            </w:tr>
          </w:tbl>
          <w:p w14:paraId="4664D873">
            <w:pPr>
              <w:autoSpaceDE w:val="0"/>
              <w:autoSpaceDN w:val="0"/>
              <w:adjustRightInd w:val="0"/>
              <w:snapToGrid w:val="0"/>
              <w:spacing w:line="500" w:lineRule="exact"/>
              <w:ind w:firstLine="480"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Cs/>
                <w:color w:val="auto"/>
                <w:sz w:val="24"/>
              </w:rPr>
              <w:t>综上，本项目与</w:t>
            </w:r>
            <w:r>
              <w:rPr>
                <w:rFonts w:hint="default" w:ascii="Times New Roman" w:hAnsi="Times New Roman" w:cs="Times New Roman"/>
                <w:bCs/>
                <w:color w:val="auto"/>
                <w:sz w:val="24"/>
                <w:lang w:eastAsia="zh-CN"/>
              </w:rPr>
              <w:t>《常州市生态环境分区管控动态更新成果》（2023年版）</w:t>
            </w:r>
            <w:r>
              <w:rPr>
                <w:rFonts w:hint="default" w:ascii="Times New Roman" w:hAnsi="Times New Roman" w:eastAsia="宋体" w:cs="Times New Roman"/>
                <w:bCs/>
                <w:color w:val="auto"/>
                <w:sz w:val="24"/>
              </w:rPr>
              <w:t>的要求相符。</w:t>
            </w:r>
          </w:p>
          <w:p w14:paraId="6067F8CF">
            <w:pPr>
              <w:autoSpaceDE w:val="0"/>
              <w:autoSpaceDN w:val="0"/>
              <w:adjustRightInd w:val="0"/>
              <w:snapToGrid w:val="0"/>
              <w:spacing w:line="500" w:lineRule="exact"/>
              <w:ind w:firstLine="482" w:firstLineChars="200"/>
              <w:rPr>
                <w:rFonts w:hint="default" w:ascii="Times New Roman" w:hAnsi="Times New Roman" w:eastAsia="宋体" w:cs="Times New Roman"/>
                <w:b/>
                <w:bCs/>
                <w:color w:val="auto"/>
                <w:sz w:val="24"/>
              </w:rPr>
            </w:pPr>
            <w:r>
              <w:rPr>
                <w:rFonts w:hint="eastAsia" w:cs="Times New Roman"/>
                <w:b/>
                <w:bCs/>
                <w:color w:val="auto"/>
                <w:sz w:val="24"/>
                <w:lang w:val="en-US" w:eastAsia="zh-CN"/>
              </w:rPr>
              <w:t>3、</w:t>
            </w:r>
            <w:r>
              <w:rPr>
                <w:rFonts w:hint="default" w:ascii="Times New Roman" w:hAnsi="Times New Roman" w:eastAsia="宋体" w:cs="Times New Roman"/>
                <w:b/>
                <w:bCs/>
                <w:color w:val="auto"/>
                <w:sz w:val="24"/>
              </w:rPr>
              <w:t>产业政策相符性分析</w:t>
            </w:r>
          </w:p>
          <w:p w14:paraId="4A1C5F1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7 </w:t>
            </w:r>
            <w:r>
              <w:rPr>
                <w:rFonts w:hint="default" w:ascii="Times New Roman" w:hAnsi="Times New Roman" w:eastAsia="宋体" w:cs="Times New Roman"/>
                <w:b/>
                <w:bCs/>
                <w:color w:val="auto"/>
                <w:sz w:val="21"/>
                <w:szCs w:val="21"/>
              </w:rPr>
              <w:t>与</w:t>
            </w:r>
            <w:r>
              <w:rPr>
                <w:rFonts w:hint="eastAsia" w:cs="Times New Roman"/>
                <w:b/>
                <w:bCs/>
                <w:color w:val="auto"/>
                <w:sz w:val="21"/>
                <w:szCs w:val="21"/>
                <w:lang w:val="en-US" w:eastAsia="zh-CN"/>
              </w:rPr>
              <w:t>产业政策</w:t>
            </w:r>
            <w:r>
              <w:rPr>
                <w:rFonts w:hint="default" w:ascii="Times New Roman" w:hAnsi="Times New Roman" w:eastAsia="宋体" w:cs="Times New Roman"/>
                <w:b/>
                <w:bCs/>
                <w:color w:val="auto"/>
                <w:sz w:val="21"/>
                <w:szCs w:val="21"/>
              </w:rPr>
              <w:t>相符性分析</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59"/>
              <w:gridCol w:w="6033"/>
              <w:gridCol w:w="847"/>
            </w:tblGrid>
            <w:tr w14:paraId="7DFCBB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Align w:val="center"/>
                </w:tcPr>
                <w:p w14:paraId="7CE293C2">
                  <w:pPr>
                    <w:adjustRightInd w:val="0"/>
                    <w:snapToGrid w:val="0"/>
                    <w:jc w:val="center"/>
                    <w:rPr>
                      <w:rFonts w:hint="eastAsia"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序号</w:t>
                  </w:r>
                </w:p>
              </w:tc>
              <w:tc>
                <w:tcPr>
                  <w:tcW w:w="471" w:type="pct"/>
                  <w:vAlign w:val="center"/>
                </w:tcPr>
                <w:p w14:paraId="2EA44B27">
                  <w:pPr>
                    <w:adjustRightInd w:val="0"/>
                    <w:snapToGrid w:val="0"/>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判断类型</w:t>
                  </w:r>
                </w:p>
              </w:tc>
              <w:tc>
                <w:tcPr>
                  <w:tcW w:w="3739" w:type="pct"/>
                  <w:vAlign w:val="center"/>
                </w:tcPr>
                <w:p w14:paraId="3D2ECD25">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对照简析</w:t>
                  </w:r>
                </w:p>
              </w:tc>
              <w:tc>
                <w:tcPr>
                  <w:tcW w:w="525" w:type="pct"/>
                  <w:vAlign w:val="center"/>
                </w:tcPr>
                <w:p w14:paraId="11CFAFEF">
                  <w:pPr>
                    <w:jc w:val="center"/>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是否满足要求</w:t>
                  </w:r>
                </w:p>
              </w:tc>
            </w:tr>
            <w:tr w14:paraId="7C38E8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bottom w:val="single" w:color="auto" w:sz="2" w:space="0"/>
                  </w:tcBorders>
                  <w:vAlign w:val="center"/>
                </w:tcPr>
                <w:p w14:paraId="112C719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c>
                <w:tcPr>
                  <w:tcW w:w="471" w:type="pct"/>
                  <w:vMerge w:val="restart"/>
                  <w:vAlign w:val="center"/>
                </w:tcPr>
                <w:p w14:paraId="2DDA06D5">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产业政策</w:t>
                  </w:r>
                </w:p>
              </w:tc>
              <w:tc>
                <w:tcPr>
                  <w:tcW w:w="3739" w:type="pct"/>
                  <w:tcBorders>
                    <w:bottom w:val="single" w:color="auto" w:sz="2" w:space="0"/>
                  </w:tcBorders>
                  <w:vAlign w:val="center"/>
                </w:tcPr>
                <w:p w14:paraId="6E7622BE">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本项目从事</w:t>
                  </w:r>
                  <w:r>
                    <w:rPr>
                      <w:rFonts w:hint="default" w:ascii="Times New Roman" w:hAnsi="Times New Roman" w:cs="Times New Roman"/>
                      <w:color w:val="auto"/>
                      <w:sz w:val="21"/>
                      <w:szCs w:val="21"/>
                      <w:lang w:eastAsia="zh-CN"/>
                    </w:rPr>
                    <w:t>风机叶轮、风机外壳和风机</w:t>
                  </w:r>
                  <w:r>
                    <w:rPr>
                      <w:rFonts w:hint="default" w:ascii="Times New Roman" w:hAnsi="Times New Roman" w:eastAsia="宋体" w:cs="Times New Roman"/>
                      <w:color w:val="auto"/>
                      <w:kern w:val="2"/>
                      <w:sz w:val="21"/>
                      <w:szCs w:val="21"/>
                      <w:lang w:val="en-US" w:eastAsia="zh-CN" w:bidi="ar-SA"/>
                    </w:rPr>
                    <w:t>的生产，采用的生产工艺、设备等均不属于国家发改委《产业结构调整指导目录（2024年本）》中限制类和淘汰类项目，不属于《市场准入负面清单（2022年版）》中的禁止类项目，不属于《江苏省产业结构调整限制、淘汰和禁止目录（2018年本）》中的限制、淘汰及禁止类项目</w:t>
                  </w:r>
                  <w:r>
                    <w:rPr>
                      <w:rFonts w:hint="default" w:ascii="Times New Roman" w:hAnsi="Times New Roman" w:eastAsia="宋体" w:cs="Times New Roman"/>
                      <w:color w:val="auto"/>
                      <w:kern w:val="2"/>
                      <w:sz w:val="21"/>
                      <w:szCs w:val="21"/>
                      <w:lang w:val="en-US" w:eastAsia="zh-CN" w:bidi="ar-SA"/>
                    </w:rPr>
                    <w:tab/>
                  </w:r>
                </w:p>
              </w:tc>
              <w:tc>
                <w:tcPr>
                  <w:tcW w:w="525" w:type="pct"/>
                  <w:tcBorders>
                    <w:bottom w:val="single" w:color="auto" w:sz="2" w:space="0"/>
                  </w:tcBorders>
                  <w:vAlign w:val="center"/>
                </w:tcPr>
                <w:p w14:paraId="2824D06F">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3D3705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0048318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471" w:type="pct"/>
                  <w:vMerge w:val="continue"/>
                  <w:vAlign w:val="center"/>
                </w:tcPr>
                <w:p w14:paraId="1456FDDE">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20383B5C">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本项目从事</w:t>
                  </w:r>
                  <w:r>
                    <w:rPr>
                      <w:rFonts w:hint="default" w:ascii="Times New Roman" w:hAnsi="Times New Roman" w:cs="Times New Roman"/>
                      <w:color w:val="auto"/>
                      <w:sz w:val="21"/>
                      <w:szCs w:val="21"/>
                      <w:lang w:eastAsia="zh-CN"/>
                    </w:rPr>
                    <w:t>风机叶轮、风机外壳和风机</w:t>
                  </w:r>
                  <w:r>
                    <w:rPr>
                      <w:rFonts w:hint="default" w:ascii="Times New Roman" w:hAnsi="Times New Roman" w:eastAsia="宋体" w:cs="Times New Roman"/>
                      <w:color w:val="auto"/>
                      <w:kern w:val="2"/>
                      <w:sz w:val="21"/>
                      <w:szCs w:val="21"/>
                      <w:lang w:val="en-US" w:eastAsia="zh-CN" w:bidi="ar-SA"/>
                    </w:rPr>
                    <w:t>的生产，属于“C2929塑料零件及其他塑料制品制造”，经对照不属于《江苏省产业结构调整限制、淘汰和禁止目录（2018年本）》中限制、淘汰和禁止类有关条款。</w:t>
                  </w:r>
                </w:p>
              </w:tc>
              <w:tc>
                <w:tcPr>
                  <w:tcW w:w="525" w:type="pct"/>
                  <w:tcBorders>
                    <w:top w:val="single" w:color="auto" w:sz="2" w:space="0"/>
                    <w:bottom w:val="single" w:color="auto" w:sz="2" w:space="0"/>
                  </w:tcBorders>
                  <w:vAlign w:val="center"/>
                </w:tcPr>
                <w:p w14:paraId="58159CA5">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284257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04615D42">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471" w:type="pct"/>
                  <w:vMerge w:val="continue"/>
                  <w:vAlign w:val="center"/>
                </w:tcPr>
                <w:p w14:paraId="195F18CC">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5EAFD033">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ab/>
                  </w:r>
                  <w:r>
                    <w:rPr>
                      <w:rFonts w:hint="default" w:ascii="Times New Roman" w:hAnsi="Times New Roman" w:eastAsia="宋体" w:cs="Times New Roman"/>
                      <w:color w:val="auto"/>
                      <w:kern w:val="2"/>
                      <w:sz w:val="21"/>
                      <w:szCs w:val="21"/>
                      <w:lang w:val="en-US" w:eastAsia="zh-CN" w:bidi="ar-SA"/>
                    </w:rPr>
                    <w:tab/>
                  </w:r>
                  <w:r>
                    <w:rPr>
                      <w:rFonts w:hint="default" w:ascii="Times New Roman" w:hAnsi="Times New Roman" w:eastAsia="宋体" w:cs="Times New Roman"/>
                      <w:color w:val="auto"/>
                      <w:kern w:val="2"/>
                      <w:sz w:val="21"/>
                      <w:szCs w:val="21"/>
                      <w:lang w:val="en-US" w:eastAsia="zh-CN" w:bidi="ar-SA"/>
                    </w:rPr>
                    <w:t>本项目从事</w:t>
                  </w:r>
                  <w:r>
                    <w:rPr>
                      <w:rFonts w:hint="default" w:ascii="Times New Roman" w:hAnsi="Times New Roman" w:cs="Times New Roman"/>
                      <w:color w:val="auto"/>
                      <w:sz w:val="21"/>
                      <w:szCs w:val="21"/>
                      <w:lang w:eastAsia="zh-CN"/>
                    </w:rPr>
                    <w:t>风机叶轮、风机外壳和风机</w:t>
                  </w:r>
                  <w:r>
                    <w:rPr>
                      <w:rFonts w:hint="default" w:ascii="Times New Roman" w:hAnsi="Times New Roman" w:eastAsia="宋体" w:cs="Times New Roman"/>
                      <w:color w:val="auto"/>
                      <w:kern w:val="2"/>
                      <w:sz w:val="21"/>
                      <w:szCs w:val="21"/>
                      <w:lang w:val="en-US" w:eastAsia="zh-CN" w:bidi="ar-SA"/>
                    </w:rPr>
                    <w:t>的生产，不属于《长江经济带发展负面清单指南（试行，2022年版）》未列入长江经济带发展负面清单，也不属于《市场准入负面清单（2022年版）》中禁止准入类</w:t>
                  </w:r>
                </w:p>
              </w:tc>
              <w:tc>
                <w:tcPr>
                  <w:tcW w:w="525" w:type="pct"/>
                  <w:tcBorders>
                    <w:top w:val="single" w:color="auto" w:sz="2" w:space="0"/>
                    <w:bottom w:val="single" w:color="auto" w:sz="2" w:space="0"/>
                  </w:tcBorders>
                  <w:vAlign w:val="center"/>
                </w:tcPr>
                <w:p w14:paraId="6325EF9D">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70C27A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02C32F56">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471" w:type="pct"/>
                  <w:vMerge w:val="continue"/>
                  <w:vAlign w:val="center"/>
                </w:tcPr>
                <w:p w14:paraId="4266C19F">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55A1835C">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本项目产品不在《江苏省太湖流域禁止和限制的产品目录（2024年本）》（苏发改规发〔2024〕3号）中禁止和限制的产业产品目录范围</w:t>
                  </w:r>
                  <w:r>
                    <w:rPr>
                      <w:rFonts w:hint="default" w:ascii="Times New Roman" w:hAnsi="Times New Roman" w:eastAsia="宋体" w:cs="Times New Roman"/>
                      <w:color w:val="auto"/>
                      <w:kern w:val="2"/>
                      <w:sz w:val="21"/>
                      <w:szCs w:val="21"/>
                      <w:lang w:val="en-US" w:eastAsia="zh-CN" w:bidi="ar-SA"/>
                    </w:rPr>
                    <w:tab/>
                  </w:r>
                </w:p>
              </w:tc>
              <w:tc>
                <w:tcPr>
                  <w:tcW w:w="525" w:type="pct"/>
                  <w:tcBorders>
                    <w:top w:val="single" w:color="auto" w:sz="2" w:space="0"/>
                    <w:bottom w:val="single" w:color="auto" w:sz="2" w:space="0"/>
                  </w:tcBorders>
                  <w:vAlign w:val="center"/>
                </w:tcPr>
                <w:p w14:paraId="5C599BB9">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415C45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646D8979">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471" w:type="pct"/>
                  <w:vMerge w:val="continue"/>
                  <w:vAlign w:val="center"/>
                </w:tcPr>
                <w:p w14:paraId="40E20DE5">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62A3E1EB">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本项目产品不属于《环境保护综合名录》（2021年版）中“高污染、高环境风险”产品名录范围</w:t>
                  </w:r>
                  <w:r>
                    <w:rPr>
                      <w:rFonts w:hint="default" w:ascii="Times New Roman" w:hAnsi="Times New Roman" w:eastAsia="宋体" w:cs="Times New Roman"/>
                      <w:color w:val="auto"/>
                      <w:kern w:val="2"/>
                      <w:sz w:val="21"/>
                      <w:szCs w:val="21"/>
                      <w:lang w:val="en-US" w:eastAsia="zh-CN" w:bidi="ar-SA"/>
                    </w:rPr>
                    <w:tab/>
                  </w:r>
                </w:p>
              </w:tc>
              <w:tc>
                <w:tcPr>
                  <w:tcW w:w="525" w:type="pct"/>
                  <w:tcBorders>
                    <w:top w:val="single" w:color="auto" w:sz="2" w:space="0"/>
                    <w:bottom w:val="single" w:color="auto" w:sz="2" w:space="0"/>
                  </w:tcBorders>
                  <w:vAlign w:val="center"/>
                </w:tcPr>
                <w:p w14:paraId="10E6D65F">
                  <w:pPr>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是</w:t>
                  </w:r>
                </w:p>
              </w:tc>
            </w:tr>
            <w:tr w14:paraId="74CE0E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1E72EE98">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471" w:type="pct"/>
                  <w:vMerge w:val="continue"/>
                  <w:tcBorders>
                    <w:bottom w:val="single" w:color="auto" w:sz="2" w:space="0"/>
                  </w:tcBorders>
                  <w:vAlign w:val="center"/>
                </w:tcPr>
                <w:p w14:paraId="580CBF91">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3A0F79C6">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本项目已于</w:t>
                  </w:r>
                  <w:r>
                    <w:rPr>
                      <w:rFonts w:hint="default" w:ascii="Times New Roman" w:hAnsi="Times New Roman" w:eastAsia="宋体" w:cs="Times New Roman"/>
                      <w:b w:val="0"/>
                      <w:bCs/>
                      <w:color w:val="auto"/>
                      <w:sz w:val="21"/>
                      <w:szCs w:val="21"/>
                      <w:lang w:val="en-US" w:eastAsia="zh-CN"/>
                    </w:rPr>
                    <w:t>于2024年10月29日</w:t>
                  </w:r>
                  <w:r>
                    <w:rPr>
                      <w:rFonts w:hint="default" w:ascii="Times New Roman" w:hAnsi="Times New Roman" w:eastAsia="宋体" w:cs="Times New Roman"/>
                      <w:color w:val="auto"/>
                      <w:kern w:val="2"/>
                      <w:sz w:val="21"/>
                      <w:szCs w:val="21"/>
                      <w:lang w:val="en-US" w:eastAsia="zh-CN" w:bidi="ar-SA"/>
                    </w:rPr>
                    <w:t>在</w:t>
                  </w:r>
                  <w:r>
                    <w:rPr>
                      <w:rFonts w:hint="default" w:ascii="Times New Roman" w:hAnsi="Times New Roman" w:eastAsia="宋体" w:cs="Times New Roman"/>
                      <w:b w:val="0"/>
                      <w:bCs/>
                      <w:color w:val="auto"/>
                      <w:sz w:val="21"/>
                      <w:szCs w:val="21"/>
                      <w:lang w:val="en-US" w:eastAsia="zh-CN"/>
                    </w:rPr>
                    <w:t>常州市金坛区发展和改革局</w:t>
                  </w:r>
                  <w:r>
                    <w:rPr>
                      <w:rFonts w:hint="default" w:ascii="Times New Roman" w:hAnsi="Times New Roman" w:eastAsia="宋体" w:cs="Times New Roman"/>
                      <w:color w:val="auto"/>
                      <w:kern w:val="2"/>
                      <w:sz w:val="21"/>
                      <w:szCs w:val="21"/>
                      <w:lang w:val="en-US" w:eastAsia="zh-CN" w:bidi="ar-SA"/>
                    </w:rPr>
                    <w:t>进行了备案（</w:t>
                  </w:r>
                  <w:r>
                    <w:rPr>
                      <w:rFonts w:hint="default" w:ascii="Times New Roman" w:hAnsi="Times New Roman" w:eastAsia="宋体" w:cs="Times New Roman"/>
                      <w:b w:val="0"/>
                      <w:bCs/>
                      <w:color w:val="auto"/>
                      <w:sz w:val="21"/>
                      <w:szCs w:val="21"/>
                      <w:lang w:val="en-US" w:eastAsia="zh-CN"/>
                    </w:rPr>
                    <w:t>坛发改备〔2024〕534号</w:t>
                  </w:r>
                  <w:r>
                    <w:rPr>
                      <w:rFonts w:hint="default" w:ascii="Times New Roman" w:hAnsi="Times New Roman" w:eastAsia="宋体" w:cs="Times New Roman"/>
                      <w:color w:val="auto"/>
                      <w:kern w:val="2"/>
                      <w:sz w:val="21"/>
                      <w:szCs w:val="21"/>
                      <w:lang w:val="en-US" w:eastAsia="zh-CN" w:bidi="ar-SA"/>
                    </w:rPr>
                    <w:t>，见附件1），符合区域产业政策</w:t>
                  </w:r>
                  <w:r>
                    <w:rPr>
                      <w:rFonts w:hint="default" w:ascii="Times New Roman" w:hAnsi="Times New Roman" w:eastAsia="宋体" w:cs="Times New Roman"/>
                      <w:color w:val="auto"/>
                      <w:kern w:val="2"/>
                      <w:sz w:val="21"/>
                      <w:szCs w:val="21"/>
                      <w:lang w:val="en-US" w:eastAsia="zh-CN" w:bidi="ar-SA"/>
                    </w:rPr>
                    <w:tab/>
                  </w:r>
                </w:p>
              </w:tc>
              <w:tc>
                <w:tcPr>
                  <w:tcW w:w="525" w:type="pct"/>
                  <w:tcBorders>
                    <w:top w:val="single" w:color="auto" w:sz="2" w:space="0"/>
                    <w:bottom w:val="single" w:color="auto" w:sz="2" w:space="0"/>
                  </w:tcBorders>
                  <w:vAlign w:val="center"/>
                </w:tcPr>
                <w:p w14:paraId="206B675F">
                  <w:pPr>
                    <w:ind w:firstLine="420" w:firstLineChars="200"/>
                    <w:rPr>
                      <w:rFonts w:hint="eastAsia"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是</w:t>
                  </w:r>
                </w:p>
              </w:tc>
            </w:tr>
          </w:tbl>
          <w:p w14:paraId="29EC7D62">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宋体" w:cs="Times New Roman"/>
                <w:b/>
                <w:bCs w:val="0"/>
                <w:color w:val="auto"/>
                <w:sz w:val="24"/>
                <w:szCs w:val="24"/>
              </w:rPr>
            </w:pPr>
            <w:r>
              <w:rPr>
                <w:rFonts w:hint="eastAsia" w:cs="Times New Roman"/>
                <w:b/>
                <w:bCs w:val="0"/>
                <w:color w:val="auto"/>
                <w:sz w:val="24"/>
                <w:szCs w:val="24"/>
                <w:highlight w:val="none"/>
                <w:lang w:val="en-US" w:eastAsia="zh-CN"/>
              </w:rPr>
              <w:t>4、</w:t>
            </w:r>
            <w:r>
              <w:rPr>
                <w:rFonts w:hint="default" w:ascii="Times New Roman" w:hAnsi="Times New Roman" w:eastAsia="宋体" w:cs="Times New Roman"/>
                <w:b/>
                <w:bCs w:val="0"/>
                <w:color w:val="auto"/>
                <w:sz w:val="24"/>
                <w:szCs w:val="24"/>
              </w:rPr>
              <w:t>与《太湖流域管理条例》（国务院令第604号）相符性分析</w:t>
            </w:r>
          </w:p>
          <w:p w14:paraId="493BDA13">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8 </w:t>
            </w:r>
            <w:r>
              <w:rPr>
                <w:rFonts w:hint="default" w:ascii="Times New Roman" w:hAnsi="Times New Roman" w:eastAsia="宋体" w:cs="Times New Roman"/>
                <w:b/>
                <w:bCs/>
                <w:color w:val="auto"/>
                <w:sz w:val="21"/>
                <w:szCs w:val="21"/>
              </w:rPr>
              <w:t>与国务院令第604号的相符性分析</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6200"/>
              <w:gridCol w:w="1151"/>
            </w:tblGrid>
            <w:tr w14:paraId="425CFF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14:paraId="4F54C87B">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Cs w:val="21"/>
                    </w:rPr>
                    <w:t>条款</w:t>
                  </w:r>
                </w:p>
              </w:tc>
              <w:tc>
                <w:tcPr>
                  <w:tcW w:w="3842" w:type="pct"/>
                  <w:vAlign w:val="center"/>
                </w:tcPr>
                <w:p w14:paraId="0EE5E7F1">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Cs w:val="21"/>
                    </w:rPr>
                    <w:t>内容</w:t>
                  </w:r>
                </w:p>
              </w:tc>
              <w:tc>
                <w:tcPr>
                  <w:tcW w:w="713" w:type="pct"/>
                  <w:vAlign w:val="center"/>
                </w:tcPr>
                <w:p w14:paraId="292E8A3B">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相符性分析</w:t>
                  </w:r>
                </w:p>
              </w:tc>
            </w:tr>
            <w:tr w14:paraId="03775C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4" w:type="pct"/>
                  <w:tcBorders>
                    <w:bottom w:val="single" w:color="auto" w:sz="2" w:space="0"/>
                  </w:tcBorders>
                  <w:vAlign w:val="center"/>
                </w:tcPr>
                <w:p w14:paraId="4379524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第二十八条</w:t>
                  </w:r>
                </w:p>
              </w:tc>
              <w:tc>
                <w:tcPr>
                  <w:tcW w:w="3842" w:type="pct"/>
                  <w:tcBorders>
                    <w:bottom w:val="single" w:color="auto" w:sz="2" w:space="0"/>
                  </w:tcBorders>
                  <w:vAlign w:val="center"/>
                </w:tcPr>
                <w:p w14:paraId="59EDD2F3">
                  <w:pPr>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排污单位排放水污染物，不得超过经核定的水污染物排放总量，并应当按照规定设置便于检查、采样的规范化排污口，悬挂标志牌；不得私设暗管或者采取其他规避监管的方式排放水污染物。</w:t>
                  </w:r>
                </w:p>
                <w:p w14:paraId="11FC9E86">
                  <w:pPr>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禁止在太湖流域设置不符合国家产业政策和水环境综合治理要求的造纸、制革、酒精、淀粉、冶金、酿造、印染、电镀等排放水污染物的生产项目，现有的生产项目不能实现达标排放的，应当依法关闭。</w:t>
                  </w:r>
                </w:p>
                <w:p w14:paraId="44BF69EB">
                  <w:pPr>
                    <w:ind w:firstLine="42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rPr>
                    <w:t>在太湖流域新设企业应当符合国家规定的清洁生产要求，现有的企业尚未达到清洁生产要求的，应当按照清洁生产规划要求进行技术改造，两省一市人民政府应当加强监督检查。</w:t>
                  </w:r>
                </w:p>
              </w:tc>
              <w:tc>
                <w:tcPr>
                  <w:tcW w:w="713" w:type="pct"/>
                  <w:tcBorders>
                    <w:bottom w:val="single" w:color="auto" w:sz="2" w:space="0"/>
                  </w:tcBorders>
                  <w:vAlign w:val="center"/>
                </w:tcPr>
                <w:p w14:paraId="37F6E163">
                  <w:pPr>
                    <w:ind w:firstLine="42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本项目属于</w:t>
                  </w:r>
                  <w:r>
                    <w:rPr>
                      <w:rFonts w:hint="default" w:ascii="Times New Roman" w:hAnsi="Times New Roman" w:cs="Times New Roman"/>
                      <w:color w:val="auto"/>
                      <w:lang w:val="en-US" w:eastAsia="zh-CN"/>
                    </w:rPr>
                    <w:t>C2929塑料零件及其他塑料制品制造</w:t>
                  </w:r>
                  <w:r>
                    <w:rPr>
                      <w:rFonts w:hint="default" w:ascii="Times New Roman" w:hAnsi="Times New Roman" w:eastAsia="宋体" w:cs="Times New Roman"/>
                      <w:color w:val="auto"/>
                    </w:rPr>
                    <w:t>，不属于禁止类项目。</w:t>
                  </w:r>
                </w:p>
              </w:tc>
            </w:tr>
            <w:tr w14:paraId="3988C4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444" w:type="pct"/>
                  <w:tcBorders>
                    <w:top w:val="single" w:color="auto" w:sz="2" w:space="0"/>
                    <w:bottom w:val="single" w:color="auto" w:sz="2" w:space="0"/>
                  </w:tcBorders>
                  <w:vAlign w:val="center"/>
                </w:tcPr>
                <w:p w14:paraId="456B333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第二十九条</w:t>
                  </w:r>
                </w:p>
              </w:tc>
              <w:tc>
                <w:tcPr>
                  <w:tcW w:w="3842" w:type="pct"/>
                  <w:tcBorders>
                    <w:top w:val="single" w:color="auto" w:sz="2" w:space="0"/>
                    <w:bottom w:val="single" w:color="auto" w:sz="2" w:space="0"/>
                  </w:tcBorders>
                  <w:vAlign w:val="center"/>
                </w:tcPr>
                <w:p w14:paraId="4E8CEBED">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新孟河、望虞河以外的其他主要入太湖河道，自河口1万米上溯至5万米河道岸线内及其岸线两侧各1000米范围内，禁止下列行为：</w:t>
                  </w:r>
                </w:p>
                <w:p w14:paraId="7039B32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（一）新建、扩建化工、医药生产项目；</w:t>
                  </w:r>
                </w:p>
                <w:p w14:paraId="1A40BF55">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（二）新建、扩建污水集中处理设施排污口以外的排污口；</w:t>
                  </w:r>
                </w:p>
                <w:p w14:paraId="0BDAE0D4">
                  <w:pPr>
                    <w:ind w:firstLine="42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（三）扩大水产养殖规模。</w:t>
                  </w:r>
                </w:p>
              </w:tc>
              <w:tc>
                <w:tcPr>
                  <w:tcW w:w="713" w:type="pct"/>
                  <w:tcBorders>
                    <w:top w:val="single" w:color="auto" w:sz="2" w:space="0"/>
                    <w:bottom w:val="single" w:color="auto" w:sz="2" w:space="0"/>
                  </w:tcBorders>
                  <w:vAlign w:val="center"/>
                </w:tcPr>
                <w:p w14:paraId="637E0EA5">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本项目周边不涉及入太湖河道。</w:t>
                  </w:r>
                </w:p>
              </w:tc>
            </w:tr>
            <w:tr w14:paraId="7D2D32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529" w:hRule="atLeast"/>
                <w:jc w:val="center"/>
              </w:trPr>
              <w:tc>
                <w:tcPr>
                  <w:tcW w:w="444" w:type="pct"/>
                  <w:tcBorders>
                    <w:top w:val="single" w:color="auto" w:sz="2" w:space="0"/>
                  </w:tcBorders>
                  <w:vAlign w:val="center"/>
                </w:tcPr>
                <w:p w14:paraId="07D18F2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第三十条</w:t>
                  </w:r>
                </w:p>
              </w:tc>
              <w:tc>
                <w:tcPr>
                  <w:tcW w:w="3842" w:type="pct"/>
                  <w:tcBorders>
                    <w:top w:val="single" w:color="auto" w:sz="2" w:space="0"/>
                  </w:tcBorders>
                  <w:vAlign w:val="center"/>
                </w:tcPr>
                <w:p w14:paraId="43D2D728">
                  <w:pPr>
                    <w:ind w:firstLine="42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已经设置前款第一项、第二项规定设施的，当地县级人民政府应当责令拆除或者关闭的项目。</w:t>
                  </w:r>
                </w:p>
              </w:tc>
              <w:tc>
                <w:tcPr>
                  <w:tcW w:w="713" w:type="pct"/>
                  <w:tcBorders>
                    <w:top w:val="single" w:color="auto" w:sz="2" w:space="0"/>
                  </w:tcBorders>
                  <w:vAlign w:val="center"/>
                </w:tcPr>
                <w:p w14:paraId="6BF42F3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本项目不属于上述区域内。</w:t>
                  </w:r>
                </w:p>
              </w:tc>
            </w:tr>
          </w:tbl>
          <w:p w14:paraId="66CDF05E">
            <w:pPr>
              <w:autoSpaceDE w:val="0"/>
              <w:autoSpaceDN w:val="0"/>
              <w:adjustRightInd w:val="0"/>
              <w:snapToGrid w:val="0"/>
              <w:spacing w:line="50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综上，本项目与《太湖流域管理条例》（国务院令第604号）的要求相符。</w:t>
            </w:r>
          </w:p>
          <w:p w14:paraId="4FEE8AD6">
            <w:pPr>
              <w:autoSpaceDE w:val="0"/>
              <w:autoSpaceDN w:val="0"/>
              <w:adjustRightInd w:val="0"/>
              <w:snapToGrid w:val="0"/>
              <w:spacing w:line="500" w:lineRule="exact"/>
              <w:ind w:firstLine="482" w:firstLineChars="200"/>
              <w:jc w:val="left"/>
              <w:rPr>
                <w:rFonts w:hint="default" w:ascii="Times New Roman" w:hAnsi="Times New Roman" w:eastAsia="宋体" w:cs="Times New Roman"/>
                <w:b/>
                <w:color w:val="auto"/>
                <w:sz w:val="24"/>
              </w:rPr>
            </w:pPr>
            <w:r>
              <w:rPr>
                <w:rFonts w:hint="eastAsia" w:cs="Times New Roman"/>
                <w:b/>
                <w:color w:val="auto"/>
                <w:sz w:val="24"/>
                <w:lang w:val="en-US" w:eastAsia="zh-CN"/>
              </w:rPr>
              <w:t>5、</w:t>
            </w:r>
            <w:r>
              <w:rPr>
                <w:rFonts w:hint="default" w:ascii="Times New Roman" w:hAnsi="Times New Roman" w:eastAsia="宋体" w:cs="Times New Roman"/>
                <w:b/>
                <w:color w:val="auto"/>
                <w:sz w:val="24"/>
              </w:rPr>
              <w:t>与《江苏省太湖水污染防治条例》（2021年修订）相符性分析</w:t>
            </w:r>
          </w:p>
          <w:p w14:paraId="043BA86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rPr>
              <w:t>《江苏省太湖水污染防治条例》分析对照表</w:t>
            </w:r>
          </w:p>
          <w:tbl>
            <w:tblPr>
              <w:tblStyle w:val="27"/>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5976"/>
              <w:gridCol w:w="1360"/>
            </w:tblGrid>
            <w:tr w14:paraId="1E5CB7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pct"/>
                  <w:noWrap w:val="0"/>
                  <w:vAlign w:val="center"/>
                </w:tcPr>
                <w:p w14:paraId="13FA458F">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条款</w:t>
                  </w:r>
                </w:p>
              </w:tc>
              <w:tc>
                <w:tcPr>
                  <w:tcW w:w="3703" w:type="pct"/>
                  <w:noWrap w:val="0"/>
                  <w:vAlign w:val="center"/>
                </w:tcPr>
                <w:p w14:paraId="04CAC49D">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内容</w:t>
                  </w:r>
                </w:p>
              </w:tc>
              <w:tc>
                <w:tcPr>
                  <w:tcW w:w="843" w:type="pct"/>
                  <w:noWrap w:val="0"/>
                  <w:vAlign w:val="center"/>
                </w:tcPr>
                <w:p w14:paraId="0686CE29">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相符性分析</w:t>
                  </w:r>
                </w:p>
              </w:tc>
            </w:tr>
            <w:tr w14:paraId="553B24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53" w:type="pct"/>
                  <w:noWrap w:val="0"/>
                  <w:vAlign w:val="center"/>
                </w:tcPr>
                <w:p w14:paraId="4B87E8C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第四十三条</w:t>
                  </w:r>
                </w:p>
              </w:tc>
              <w:tc>
                <w:tcPr>
                  <w:tcW w:w="3703" w:type="pct"/>
                  <w:noWrap w:val="0"/>
                  <w:vAlign w:val="center"/>
                </w:tcPr>
                <w:p w14:paraId="7F766F4F">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太湖流域一、二、三级保护区禁止下列行为：</w:t>
                  </w:r>
                </w:p>
                <w:p w14:paraId="4F8A813C">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color w:val="auto"/>
                      <w:sz w:val="21"/>
                      <w:szCs w:val="21"/>
                    </w:rPr>
                    <w:t>（一）</w:t>
                  </w:r>
                  <w:r>
                    <w:rPr>
                      <w:rFonts w:hint="default" w:ascii="Times New Roman" w:hAnsi="Times New Roman" w:eastAsia="宋体" w:cs="Times New Roman"/>
                      <w:i w:val="0"/>
                      <w:iCs w:val="0"/>
                      <w:caps w:val="0"/>
                      <w:color w:val="auto"/>
                      <w:spacing w:val="0"/>
                      <w:kern w:val="0"/>
                      <w:sz w:val="21"/>
                      <w:szCs w:val="21"/>
                      <w:lang w:val="en-US" w:eastAsia="zh-CN" w:bidi="ar"/>
                    </w:rPr>
                    <w:t>新建、改建、扩建化学制浆造纸、制革、酿造、染料、印染、电镀以及其他排放含磷、氮等污染物的企业和项目，城镇污水集中处理等环境基础设施项目和第四十六条规定的情形除外；</w:t>
                  </w:r>
                </w:p>
                <w:p w14:paraId="442F052D">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（二）销售、使用含磷洗涤用品；</w:t>
                  </w:r>
                </w:p>
                <w:p w14:paraId="42201273">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（三）向水体排放或者倾倒油类、酸液、碱液、剧毒废渣废液、含放射性废渣废液、含病原体污水、工业废渣以及其他废弃物；</w:t>
                  </w:r>
                </w:p>
                <w:p w14:paraId="118E1886">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（四）在水体清洗装贮过油类或者有毒有害污染物的车辆、船舶和容器等</w:t>
                  </w:r>
                  <w:r>
                    <w:rPr>
                      <w:rFonts w:hint="default" w:ascii="Times New Roman" w:hAnsi="Times New Roman" w:eastAsia="宋体" w:cs="Times New Roman"/>
                      <w:color w:val="auto"/>
                      <w:sz w:val="21"/>
                      <w:szCs w:val="21"/>
                    </w:rPr>
                    <w:t>；</w:t>
                  </w:r>
                </w:p>
                <w:p w14:paraId="1162FC13">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（五）使用农药等有毒物毒杀水生生物；</w:t>
                  </w:r>
                </w:p>
                <w:p w14:paraId="4D99483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（六）向水体直接排放人畜粪便、倾倒垃圾；</w:t>
                  </w:r>
                </w:p>
                <w:p w14:paraId="73E97F5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（七）围湖造地；</w:t>
                  </w:r>
                </w:p>
                <w:p w14:paraId="1E9F2EC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（八）违法开山采石，或者进行破坏林木、植被、水生生物的活动；</w:t>
                  </w:r>
                </w:p>
                <w:p w14:paraId="596ECE39">
                  <w:pPr>
                    <w:adjustRightInd w:val="0"/>
                    <w:snapToGrid w:val="0"/>
                    <w:spacing w:line="24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（九）法律、法规禁止的其他行为。</w:t>
                  </w:r>
                </w:p>
              </w:tc>
              <w:tc>
                <w:tcPr>
                  <w:tcW w:w="843" w:type="pct"/>
                  <w:noWrap w:val="0"/>
                  <w:vAlign w:val="center"/>
                </w:tcPr>
                <w:p w14:paraId="543E8832">
                  <w:pPr>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rPr>
                    <w:t>属于</w:t>
                  </w:r>
                  <w:r>
                    <w:rPr>
                      <w:rFonts w:hint="default" w:ascii="Times New Roman" w:hAnsi="Times New Roman" w:cs="Times New Roman"/>
                      <w:color w:val="auto"/>
                      <w:szCs w:val="21"/>
                      <w:lang w:eastAsia="zh-CN"/>
                    </w:rPr>
                    <w:t>C2929塑料零件及其他塑料制品制造</w:t>
                  </w:r>
                  <w:r>
                    <w:rPr>
                      <w:rFonts w:hint="default" w:ascii="Times New Roman" w:hAnsi="Times New Roman" w:eastAsia="宋体" w:cs="Times New Roman"/>
                      <w:color w:val="auto"/>
                    </w:rPr>
                    <w:t>，</w:t>
                  </w:r>
                  <w:r>
                    <w:rPr>
                      <w:rFonts w:hint="default" w:ascii="Times New Roman" w:hAnsi="Times New Roman" w:eastAsia="宋体" w:cs="Times New Roman"/>
                      <w:color w:val="auto"/>
                      <w:sz w:val="21"/>
                      <w:szCs w:val="21"/>
                    </w:rPr>
                    <w:t>位于太湖流域三级保护区内，生产过程中无含磷、氮生产废水排放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不属于禁止类。</w:t>
                  </w:r>
                </w:p>
              </w:tc>
            </w:tr>
          </w:tbl>
          <w:p w14:paraId="5CED9C0C">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sz w:val="24"/>
              </w:rPr>
            </w:pPr>
            <w:r>
              <w:rPr>
                <w:rFonts w:hint="eastAsia" w:cs="Times New Roman"/>
                <w:b/>
                <w:color w:val="auto"/>
                <w:sz w:val="24"/>
                <w:lang w:val="en-US" w:eastAsia="zh-CN"/>
              </w:rPr>
              <w:t>6</w:t>
            </w:r>
            <w:r>
              <w:rPr>
                <w:rFonts w:hint="default" w:ascii="Times New Roman" w:hAnsi="Times New Roman" w:eastAsia="宋体" w:cs="Times New Roman"/>
                <w:b/>
                <w:color w:val="auto"/>
                <w:sz w:val="24"/>
              </w:rPr>
              <w:t>、</w:t>
            </w:r>
            <w:r>
              <w:rPr>
                <w:rFonts w:hint="default" w:ascii="Times New Roman" w:hAnsi="Times New Roman" w:eastAsia="宋体" w:cs="Times New Roman"/>
                <w:b/>
                <w:bCs/>
                <w:color w:val="auto"/>
                <w:sz w:val="24"/>
              </w:rPr>
              <w:t>与其他环境保护管理要求的相符性分析</w:t>
            </w:r>
          </w:p>
          <w:p w14:paraId="0D567F63">
            <w:pPr>
              <w:keepNext w:val="0"/>
              <w:keepLines w:val="0"/>
              <w:pageBreakBefore w:val="0"/>
              <w:widowControl/>
              <w:kinsoku/>
              <w:wordWrap/>
              <w:overflowPunct/>
              <w:topLinePunct w:val="0"/>
              <w:autoSpaceDE/>
              <w:autoSpaceDN/>
              <w:bidi w:val="0"/>
              <w:adjustRightInd w:val="0"/>
              <w:snapToGrid/>
              <w:spacing w:line="500" w:lineRule="exact"/>
              <w:ind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（1）与《江苏省大气污染防治条例》（2018年修正）相符性分析</w:t>
            </w:r>
          </w:p>
          <w:p w14:paraId="42011915">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rPr>
              <w:t>与《江苏省大气污染防治条例》（2018年修正）相符性分析</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3140"/>
            </w:tblGrid>
            <w:tr w14:paraId="5DACF7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3" w:type="pct"/>
                  <w:vAlign w:val="center"/>
                </w:tcPr>
                <w:p w14:paraId="518DB13F">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要求</w:t>
                  </w:r>
                </w:p>
              </w:tc>
              <w:tc>
                <w:tcPr>
                  <w:tcW w:w="1946" w:type="pct"/>
                  <w:vAlign w:val="center"/>
                </w:tcPr>
                <w:p w14:paraId="6D719645">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相符性分析</w:t>
                  </w:r>
                </w:p>
              </w:tc>
            </w:tr>
            <w:tr w14:paraId="66801B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3" w:type="pct"/>
                  <w:vAlign w:val="center"/>
                </w:tcPr>
                <w:p w14:paraId="02ABABCD">
                  <w:pPr>
                    <w:autoSpaceDE w:val="0"/>
                    <w:autoSpaceDN w:val="0"/>
                    <w:snapToGrid w:val="0"/>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第三十九条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1946" w:type="pct"/>
                  <w:vAlign w:val="center"/>
                </w:tcPr>
                <w:p w14:paraId="1012F85B">
                  <w:pPr>
                    <w:autoSpaceDE w:val="0"/>
                    <w:autoSpaceDN w:val="0"/>
                    <w:snapToGrid w:val="0"/>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highlight w:val="none"/>
                    </w:rPr>
                    <w:t>本项目</w:t>
                  </w:r>
                  <w:r>
                    <w:rPr>
                      <w:rFonts w:hint="default" w:ascii="Times New Roman" w:hAnsi="Times New Roman" w:cs="Times New Roman"/>
                      <w:color w:val="auto"/>
                      <w:kern w:val="0"/>
                      <w:szCs w:val="21"/>
                      <w:highlight w:val="none"/>
                      <w:lang w:eastAsia="zh-CN"/>
                    </w:rPr>
                    <w:t>有机废气收集后进入</w:t>
                  </w:r>
                  <w:r>
                    <w:rPr>
                      <w:rFonts w:hint="default" w:ascii="Times New Roman" w:hAnsi="Times New Roman" w:eastAsia="宋体" w:cs="Times New Roman"/>
                      <w:color w:val="auto"/>
                      <w:kern w:val="0"/>
                      <w:szCs w:val="21"/>
                      <w:highlight w:val="none"/>
                      <w:lang w:val="en-US" w:eastAsia="zh-CN"/>
                    </w:rPr>
                    <w:t>二级活性炭吸附</w:t>
                  </w:r>
                  <w:r>
                    <w:rPr>
                      <w:rFonts w:hint="default" w:ascii="Times New Roman" w:hAnsi="Times New Roman" w:cs="Times New Roman"/>
                      <w:color w:val="auto"/>
                      <w:kern w:val="0"/>
                      <w:szCs w:val="21"/>
                      <w:highlight w:val="none"/>
                      <w:lang w:val="en-US" w:eastAsia="zh-CN"/>
                    </w:rPr>
                    <w:t>装置处理，尾气通过15m高排气筒排放</w:t>
                  </w:r>
                  <w:r>
                    <w:rPr>
                      <w:rFonts w:hint="default" w:ascii="Times New Roman" w:hAnsi="Times New Roman" w:eastAsia="宋体" w:cs="Times New Roman"/>
                      <w:color w:val="auto"/>
                      <w:kern w:val="0"/>
                      <w:szCs w:val="21"/>
                      <w:highlight w:val="none"/>
                    </w:rPr>
                    <w:t>，可有效减少挥发性</w:t>
                  </w:r>
                  <w:r>
                    <w:rPr>
                      <w:rFonts w:hint="default" w:ascii="Times New Roman" w:hAnsi="Times New Roman" w:eastAsia="宋体" w:cs="Times New Roman"/>
                      <w:color w:val="auto"/>
                      <w:szCs w:val="21"/>
                      <w:highlight w:val="none"/>
                    </w:rPr>
                    <w:t>有机物</w:t>
                  </w:r>
                  <w:r>
                    <w:rPr>
                      <w:rFonts w:hint="default" w:ascii="Times New Roman" w:hAnsi="Times New Roman" w:eastAsia="宋体" w:cs="Times New Roman"/>
                      <w:color w:val="auto"/>
                      <w:kern w:val="0"/>
                      <w:szCs w:val="21"/>
                      <w:highlight w:val="none"/>
                    </w:rPr>
                    <w:t>排放量。</w:t>
                  </w:r>
                </w:p>
              </w:tc>
            </w:tr>
          </w:tbl>
          <w:p w14:paraId="2B9EEE4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综上，本项目建设与《江苏省大气污染防治条例》（2018年修正）相符。</w:t>
            </w:r>
          </w:p>
          <w:p w14:paraId="407D4627">
            <w:pPr>
              <w:keepNext w:val="0"/>
              <w:keepLines w:val="0"/>
              <w:pageBreakBefore w:val="0"/>
              <w:widowControl/>
              <w:kinsoku/>
              <w:wordWrap/>
              <w:overflowPunct/>
              <w:topLinePunct w:val="0"/>
              <w:autoSpaceDE/>
              <w:autoSpaceDN/>
              <w:bidi w:val="0"/>
              <w:adjustRightInd w:val="0"/>
              <w:snapToGrid/>
              <w:spacing w:line="500" w:lineRule="exact"/>
              <w:ind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w:t>
            </w:r>
            <w:r>
              <w:rPr>
                <w:rFonts w:hint="default" w:ascii="Times New Roman" w:hAnsi="Times New Roman" w:eastAsia="宋体" w:cs="Times New Roman"/>
                <w:b/>
                <w:bCs w:val="0"/>
                <w:color w:val="auto"/>
                <w:sz w:val="24"/>
                <w:lang w:val="en-US" w:eastAsia="zh-CN"/>
              </w:rPr>
              <w:t>2</w:t>
            </w:r>
            <w:r>
              <w:rPr>
                <w:rFonts w:hint="default" w:ascii="Times New Roman" w:hAnsi="Times New Roman" w:eastAsia="宋体" w:cs="Times New Roman"/>
                <w:b/>
                <w:bCs w:val="0"/>
                <w:color w:val="auto"/>
                <w:sz w:val="24"/>
              </w:rPr>
              <w:t>）与《江苏省挥发性有机物污染物防治管理办法》（省政府令第119号）相符性分析</w:t>
            </w:r>
          </w:p>
          <w:p w14:paraId="76C93D0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cs="Times New Roman"/>
                <w:b/>
                <w:bCs/>
                <w:color w:val="auto"/>
                <w:sz w:val="21"/>
                <w:szCs w:val="21"/>
                <w:lang w:val="en-US" w:eastAsia="zh-CN"/>
              </w:rPr>
              <w:t>-</w:t>
            </w:r>
            <w:r>
              <w:rPr>
                <w:rFonts w:hint="eastAsia" w:cs="Times New Roman"/>
                <w:b/>
                <w:bCs/>
                <w:color w:val="auto"/>
                <w:sz w:val="21"/>
                <w:szCs w:val="21"/>
                <w:lang w:val="en-US" w:eastAsia="zh-CN"/>
              </w:rPr>
              <w:t>11</w:t>
            </w:r>
            <w:r>
              <w:rPr>
                <w:rFonts w:hint="default" w:ascii="Times New Roman" w:hAnsi="Times New Roman" w:eastAsia="宋体" w:cs="Times New Roman"/>
                <w:b/>
                <w:bCs/>
                <w:color w:val="auto"/>
                <w:sz w:val="21"/>
                <w:szCs w:val="21"/>
              </w:rPr>
              <w:t>与省政府令第119号的相符性分析</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62"/>
              <w:gridCol w:w="2605"/>
            </w:tblGrid>
            <w:tr w14:paraId="5036DC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5" w:type="pct"/>
                  <w:vAlign w:val="center"/>
                </w:tcPr>
                <w:p w14:paraId="6C1FAFEE">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要求</w:t>
                  </w:r>
                </w:p>
              </w:tc>
              <w:tc>
                <w:tcPr>
                  <w:tcW w:w="1614" w:type="pct"/>
                  <w:vAlign w:val="center"/>
                </w:tcPr>
                <w:p w14:paraId="789110FA">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相符性分析</w:t>
                  </w:r>
                </w:p>
              </w:tc>
            </w:tr>
            <w:tr w14:paraId="58E644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3385" w:type="pct"/>
                  <w:tcBorders>
                    <w:bottom w:val="single" w:color="auto" w:sz="2" w:space="0"/>
                  </w:tcBorders>
                  <w:vAlign w:val="center"/>
                </w:tcPr>
                <w:p w14:paraId="1E66CE68">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根据《江苏省挥发性有机物污染物防治管理办法》：</w:t>
                  </w:r>
                </w:p>
                <w:p w14:paraId="15FF30AE">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第十三条：新建、改建、扩建排放挥发性有机物的建设项目，应当依法进行环境影响评价。新增挥发性有机物排放总量指标的不足部分，可以依照有关规定通过排污权交易取得。</w:t>
                  </w:r>
                </w:p>
                <w:p w14:paraId="7A0503A8">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建设项目的环境影响评价文件未经审查或者审查后未予批准的，建设单位不得开工建设。</w:t>
                  </w:r>
                </w:p>
              </w:tc>
              <w:tc>
                <w:tcPr>
                  <w:tcW w:w="1614" w:type="pct"/>
                  <w:tcBorders>
                    <w:bottom w:val="single" w:color="auto" w:sz="2" w:space="0"/>
                  </w:tcBorders>
                  <w:vAlign w:val="center"/>
                </w:tcPr>
                <w:p w14:paraId="6FB4407B">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本项目建设性质为</w:t>
                  </w:r>
                  <w:r>
                    <w:rPr>
                      <w:rFonts w:hint="default" w:ascii="Times New Roman" w:hAnsi="Times New Roman" w:cs="Times New Roman"/>
                      <w:color w:val="auto"/>
                      <w:lang w:val="en-US" w:eastAsia="zh-CN"/>
                    </w:rPr>
                    <w:t>新</w:t>
                  </w:r>
                  <w:r>
                    <w:rPr>
                      <w:rFonts w:hint="default" w:ascii="Times New Roman" w:hAnsi="Times New Roman" w:eastAsia="宋体" w:cs="Times New Roman"/>
                      <w:color w:val="auto"/>
                      <w:lang w:val="en-US" w:eastAsia="zh-CN"/>
                    </w:rPr>
                    <w:t>建</w:t>
                  </w:r>
                  <w:r>
                    <w:rPr>
                      <w:rFonts w:hint="default" w:ascii="Times New Roman" w:hAnsi="Times New Roman" w:eastAsia="宋体" w:cs="Times New Roman"/>
                      <w:color w:val="auto"/>
                    </w:rPr>
                    <w:t>，正在进行环境影响评价</w:t>
                  </w:r>
                  <w:r>
                    <w:rPr>
                      <w:rFonts w:hint="default" w:ascii="Times New Roman" w:hAnsi="Times New Roman" w:cs="Times New Roman"/>
                      <w:color w:val="auto"/>
                      <w:lang w:eastAsia="zh-CN"/>
                    </w:rPr>
                    <w:t>工作</w:t>
                  </w:r>
                  <w:r>
                    <w:rPr>
                      <w:rFonts w:hint="default" w:ascii="Times New Roman" w:hAnsi="Times New Roman" w:eastAsia="宋体" w:cs="Times New Roman"/>
                      <w:color w:val="auto"/>
                    </w:rPr>
                    <w:t>，在环评审批前将严格落实主要污染物排放总量指标控制制度，取得主要污染物排放总量的控制指标和平衡方案，故符合文件要求。</w:t>
                  </w:r>
                </w:p>
              </w:tc>
            </w:tr>
            <w:tr w14:paraId="0AEFAB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3385" w:type="pct"/>
                  <w:tcBorders>
                    <w:top w:val="single" w:color="auto" w:sz="2" w:space="0"/>
                  </w:tcBorders>
                  <w:vAlign w:val="center"/>
                </w:tcPr>
                <w:p w14:paraId="08457F6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第二十一条：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6FDFBCE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无法在密闭空间进行的生产经营活动应当采取有效措施，减少挥发性有机物排放量。</w:t>
                  </w:r>
                </w:p>
              </w:tc>
              <w:tc>
                <w:tcPr>
                  <w:tcW w:w="1614" w:type="pct"/>
                  <w:tcBorders>
                    <w:top w:val="single" w:color="auto" w:sz="2" w:space="0"/>
                  </w:tcBorders>
                  <w:vAlign w:val="center"/>
                </w:tcPr>
                <w:p w14:paraId="1350D1C3">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本项目生产过程中产生的有机废气经收集装置收集进入</w:t>
                  </w:r>
                  <w:r>
                    <w:rPr>
                      <w:rFonts w:hint="default" w:ascii="Times New Roman" w:hAnsi="Times New Roman" w:eastAsia="宋体" w:cs="Times New Roman"/>
                      <w:color w:val="auto"/>
                      <w:highlight w:val="none"/>
                    </w:rPr>
                    <w:t>“二级活性炭吸附装置处理”</w:t>
                  </w:r>
                  <w:r>
                    <w:rPr>
                      <w:rFonts w:hint="default" w:ascii="Times New Roman" w:hAnsi="Times New Roman" w:eastAsia="宋体" w:cs="Times New Roman"/>
                      <w:color w:val="auto"/>
                    </w:rPr>
                    <w:t>，最后通过15m高排气筒排放，符合相关要求。</w:t>
                  </w:r>
                </w:p>
              </w:tc>
            </w:tr>
          </w:tbl>
          <w:p w14:paraId="331056A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rPr>
              <w:t>综上，本项目与</w:t>
            </w:r>
            <w:r>
              <w:rPr>
                <w:rFonts w:hint="default" w:ascii="Times New Roman" w:hAnsi="Times New Roman" w:eastAsia="宋体" w:cs="Times New Roman"/>
                <w:bCs/>
                <w:color w:val="auto"/>
                <w:sz w:val="24"/>
              </w:rPr>
              <w:t>《江苏省挥发性有机物污染物防治管理办法》（省政府令第119号）</w:t>
            </w:r>
            <w:r>
              <w:rPr>
                <w:rFonts w:hint="default" w:ascii="Times New Roman" w:hAnsi="Times New Roman" w:eastAsia="宋体" w:cs="Times New Roman"/>
                <w:color w:val="auto"/>
                <w:sz w:val="24"/>
              </w:rPr>
              <w:t>的要求相符。</w:t>
            </w:r>
          </w:p>
          <w:p w14:paraId="32794087">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lang w:val="en-US" w:eastAsia="zh-CN"/>
              </w:rPr>
              <w:t>与</w:t>
            </w:r>
            <w:r>
              <w:rPr>
                <w:rFonts w:hint="default" w:ascii="Times New Roman" w:hAnsi="Times New Roman" w:eastAsia="宋体" w:cs="Times New Roman"/>
                <w:b/>
                <w:bCs/>
                <w:color w:val="auto"/>
                <w:sz w:val="24"/>
              </w:rPr>
              <w:t>《挥发性有机物无组织排放控制标准》（GB37822-2019）相符性分析</w:t>
            </w:r>
          </w:p>
          <w:p w14:paraId="4C2568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rPr>
              <w:t>与《挥发性有机物无组织排放控制标准》相符性分析</w:t>
            </w:r>
          </w:p>
          <w:tbl>
            <w:tblPr>
              <w:tblStyle w:val="28"/>
              <w:tblW w:w="496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58"/>
              <w:gridCol w:w="2548"/>
            </w:tblGrid>
            <w:tr w14:paraId="5F4B61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8" w:type="pct"/>
                  <w:vAlign w:val="center"/>
                </w:tcPr>
                <w:p w14:paraId="3A061AB3">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要求</w:t>
                  </w:r>
                </w:p>
              </w:tc>
              <w:tc>
                <w:tcPr>
                  <w:tcW w:w="1591" w:type="pct"/>
                  <w:vAlign w:val="center"/>
                </w:tcPr>
                <w:p w14:paraId="2D2BCAAA">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相符性分析</w:t>
                  </w:r>
                </w:p>
              </w:tc>
            </w:tr>
            <w:tr w14:paraId="653362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8" w:type="pct"/>
                  <w:vAlign w:val="center"/>
                </w:tcPr>
                <w:p w14:paraId="0C3CB2E8">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tc>
              <w:tc>
                <w:tcPr>
                  <w:tcW w:w="1591" w:type="pct"/>
                  <w:vAlign w:val="center"/>
                </w:tcPr>
                <w:p w14:paraId="138A98CE">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本项目VOCs</w:t>
                  </w:r>
                  <w:r>
                    <w:rPr>
                      <w:rFonts w:hint="default" w:ascii="Times New Roman" w:hAnsi="Times New Roman" w:eastAsia="宋体" w:cs="Times New Roman"/>
                      <w:color w:val="auto"/>
                      <w:szCs w:val="21"/>
                      <w:lang w:val="en-US" w:eastAsia="zh-CN"/>
                    </w:rPr>
                    <w:t>物料储存于密闭的桶中，存放于室内，非取用状态时密闭</w:t>
                  </w:r>
                  <w:r>
                    <w:rPr>
                      <w:rFonts w:hint="default" w:ascii="Times New Roman" w:hAnsi="Times New Roman" w:eastAsia="宋体" w:cs="Times New Roman"/>
                      <w:color w:val="auto"/>
                      <w:szCs w:val="21"/>
                    </w:rPr>
                    <w:t>。</w:t>
                  </w:r>
                </w:p>
              </w:tc>
            </w:tr>
            <w:tr w14:paraId="1A2FAC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8" w:type="pct"/>
                  <w:vAlign w:val="center"/>
                </w:tcPr>
                <w:p w14:paraId="6321122D">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VOCs占比大于等于10%的含VOCs产品，其使用过程应采用密闭设备或在密闭空间内操作，废气应排放至VOCs废气收集处理系统；无法密闭的，应采取局部气体收集措施，废气应排放至VOCs废气收集处理系统</w:t>
                  </w:r>
                </w:p>
              </w:tc>
              <w:tc>
                <w:tcPr>
                  <w:tcW w:w="1591" w:type="pct"/>
                  <w:vMerge w:val="restart"/>
                  <w:vAlign w:val="center"/>
                </w:tcPr>
                <w:p w14:paraId="1EFF9952">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本项目生产过程中产生的有机废气经集气罩收集进入</w:t>
                  </w:r>
                  <w:r>
                    <w:rPr>
                      <w:rFonts w:hint="default" w:ascii="Times New Roman" w:hAnsi="Times New Roman" w:cs="Times New Roman"/>
                      <w:color w:val="auto"/>
                      <w:szCs w:val="21"/>
                      <w:lang w:eastAsia="zh-CN"/>
                    </w:rPr>
                    <w:t>“</w:t>
                  </w:r>
                  <w:r>
                    <w:rPr>
                      <w:rFonts w:hint="default" w:ascii="Times New Roman" w:hAnsi="Times New Roman" w:eastAsia="宋体" w:cs="Times New Roman"/>
                      <w:color w:val="auto"/>
                      <w:szCs w:val="21"/>
                    </w:rPr>
                    <w:t>二级活性炭吸附装置</w:t>
                  </w:r>
                  <w:r>
                    <w:rPr>
                      <w:rFonts w:hint="default" w:ascii="Times New Roman" w:hAnsi="Times New Roman" w:cs="Times New Roman"/>
                      <w:color w:val="auto"/>
                      <w:szCs w:val="21"/>
                      <w:lang w:eastAsia="zh-CN"/>
                    </w:rPr>
                    <w:t>”</w:t>
                  </w:r>
                  <w:r>
                    <w:rPr>
                      <w:rFonts w:hint="default" w:ascii="Times New Roman" w:hAnsi="Times New Roman" w:eastAsia="宋体" w:cs="Times New Roman"/>
                      <w:color w:val="auto"/>
                      <w:szCs w:val="21"/>
                    </w:rPr>
                    <w:t>处理后</w:t>
                  </w:r>
                  <w:r>
                    <w:rPr>
                      <w:rFonts w:hint="default" w:ascii="Times New Roman" w:hAnsi="Times New Roman" w:cs="Times New Roman"/>
                      <w:color w:val="auto"/>
                      <w:szCs w:val="21"/>
                      <w:lang w:eastAsia="zh-CN"/>
                    </w:rPr>
                    <w:t>可达标排放</w:t>
                  </w:r>
                  <w:r>
                    <w:rPr>
                      <w:rFonts w:hint="default" w:ascii="Times New Roman" w:hAnsi="Times New Roman" w:eastAsia="宋体" w:cs="Times New Roman"/>
                      <w:color w:val="auto"/>
                      <w:szCs w:val="21"/>
                    </w:rPr>
                    <w:t>，废气收集为90%，处理效率为</w:t>
                  </w:r>
                  <w:r>
                    <w:rPr>
                      <w:rFonts w:hint="default" w:ascii="Times New Roman" w:hAnsi="Times New Roman" w:eastAsia="宋体" w:cs="Times New Roman"/>
                      <w:color w:val="auto"/>
                      <w:szCs w:val="21"/>
                      <w:lang w:val="en-US" w:eastAsia="zh-CN"/>
                    </w:rPr>
                    <w:t>90</w:t>
                  </w:r>
                  <w:r>
                    <w:rPr>
                      <w:rFonts w:hint="default" w:ascii="Times New Roman" w:hAnsi="Times New Roman" w:eastAsia="宋体" w:cs="Times New Roman"/>
                      <w:color w:val="auto"/>
                      <w:szCs w:val="21"/>
                    </w:rPr>
                    <w:t>%，符合相关要求。</w:t>
                  </w:r>
                </w:p>
              </w:tc>
            </w:tr>
            <w:tr w14:paraId="239224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8" w:type="pct"/>
                  <w:vAlign w:val="center"/>
                </w:tcPr>
                <w:p w14:paraId="3DD6407B">
                  <w:pPr>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VOCs废气收集处理系统应与生产工艺设备同步运行；VOCs废气收集处理系统污染物排放应符合GB16297或相关行业排放标准的规定；对于重点地区，收集的废气中NMHC初始排放速率≥2kg/h时，应配置VOCs处理设施，处理效率不应低于80%</w:t>
                  </w:r>
                </w:p>
              </w:tc>
              <w:tc>
                <w:tcPr>
                  <w:tcW w:w="1591" w:type="pct"/>
                  <w:vMerge w:val="continue"/>
                  <w:vAlign w:val="center"/>
                </w:tcPr>
                <w:p w14:paraId="06E9F75B">
                  <w:pPr>
                    <w:ind w:firstLine="420" w:firstLineChars="200"/>
                    <w:rPr>
                      <w:rFonts w:hint="default" w:ascii="Times New Roman" w:hAnsi="Times New Roman" w:eastAsia="宋体" w:cs="Times New Roman"/>
                      <w:color w:val="auto"/>
                    </w:rPr>
                  </w:pPr>
                </w:p>
              </w:tc>
            </w:tr>
          </w:tbl>
          <w:p w14:paraId="534467E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综上，本项目建设与《挥发性有机物无组织排放控制标准》（GB37822-2019）相符。</w:t>
            </w:r>
          </w:p>
          <w:p w14:paraId="1FBAF975">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eastAsia="zh-CN"/>
              </w:rPr>
              <w:t>（</w:t>
            </w:r>
            <w:r>
              <w:rPr>
                <w:rFonts w:hint="eastAsia" w:cs="Times New Roman"/>
                <w:b/>
                <w:bCs/>
                <w:color w:val="auto"/>
                <w:sz w:val="24"/>
                <w:lang w:val="en-US" w:eastAsia="zh-CN"/>
              </w:rPr>
              <w:t>4</w:t>
            </w: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与《</w:t>
            </w:r>
            <w:r>
              <w:rPr>
                <w:rFonts w:hint="default" w:ascii="Times New Roman" w:hAnsi="Times New Roman" w:eastAsia="宋体" w:cs="Times New Roman"/>
                <w:b/>
                <w:bCs/>
                <w:color w:val="auto"/>
                <w:sz w:val="24"/>
              </w:rPr>
              <w:t>关于印发</w:t>
            </w:r>
            <w:r>
              <w:rPr>
                <w:rFonts w:hint="default" w:ascii="Times New Roman" w:hAnsi="Times New Roman" w:eastAsia="宋体" w:cs="Times New Roman"/>
                <w:b/>
                <w:bCs/>
                <w:color w:val="auto"/>
                <w:sz w:val="24"/>
                <w:lang w:val="en-US" w:eastAsia="zh-CN"/>
              </w:rPr>
              <w:t>&lt;</w:t>
            </w:r>
            <w:r>
              <w:rPr>
                <w:rFonts w:hint="default" w:ascii="Times New Roman" w:hAnsi="Times New Roman" w:eastAsia="宋体" w:cs="Times New Roman"/>
                <w:b/>
                <w:bCs/>
                <w:color w:val="auto"/>
                <w:sz w:val="24"/>
              </w:rPr>
              <w:t>深入打好重污染天气消除、臭氧污染防治和柴油货车污染治理攻坚战行动方案</w:t>
            </w:r>
            <w:r>
              <w:rPr>
                <w:rFonts w:hint="default" w:ascii="Times New Roman" w:hAnsi="Times New Roman" w:eastAsia="宋体" w:cs="Times New Roman"/>
                <w:b/>
                <w:bCs/>
                <w:color w:val="auto"/>
                <w:sz w:val="24"/>
                <w:lang w:val="en-US" w:eastAsia="zh-CN"/>
              </w:rPr>
              <w:t>&gt;</w:t>
            </w:r>
            <w:r>
              <w:rPr>
                <w:rFonts w:hint="default" w:ascii="Times New Roman" w:hAnsi="Times New Roman" w:eastAsia="宋体" w:cs="Times New Roman"/>
                <w:b/>
                <w:bCs/>
                <w:color w:val="auto"/>
                <w:sz w:val="24"/>
              </w:rPr>
              <w:t>的通知</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环大气〔2022〕68号</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相符性分析</w:t>
            </w:r>
          </w:p>
          <w:p w14:paraId="4FA46CBD">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default"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rPr>
              <w:t>与</w:t>
            </w:r>
            <w:r>
              <w:rPr>
                <w:rFonts w:hint="default" w:ascii="Times New Roman" w:hAnsi="Times New Roman" w:eastAsia="宋体" w:cs="Times New Roman"/>
                <w:b/>
                <w:bCs/>
                <w:color w:val="auto"/>
                <w:sz w:val="21"/>
                <w:szCs w:val="21"/>
              </w:rPr>
              <w:t>环大气〔2022〕68号</w:t>
            </w:r>
            <w:r>
              <w:rPr>
                <w:rFonts w:hint="default" w:ascii="Times New Roman" w:hAnsi="Times New Roman" w:cs="Times New Roman"/>
                <w:b/>
                <w:bCs/>
                <w:color w:val="auto"/>
                <w:sz w:val="21"/>
                <w:szCs w:val="21"/>
              </w:rPr>
              <w:t>的相符性分析</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4123"/>
              <w:gridCol w:w="3481"/>
            </w:tblGrid>
            <w:tr w14:paraId="454EAF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2" w:type="pct"/>
                  <w:gridSpan w:val="2"/>
                  <w:noWrap w:val="0"/>
                  <w:vAlign w:val="center"/>
                </w:tcPr>
                <w:p w14:paraId="3F3CA0F7">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要求</w:t>
                  </w:r>
                </w:p>
              </w:tc>
              <w:tc>
                <w:tcPr>
                  <w:tcW w:w="2157" w:type="pct"/>
                  <w:noWrap w:val="0"/>
                  <w:vAlign w:val="center"/>
                </w:tcPr>
                <w:p w14:paraId="332409FF">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相符性分析</w:t>
                  </w:r>
                </w:p>
              </w:tc>
            </w:tr>
            <w:tr w14:paraId="254068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restart"/>
                  <w:noWrap w:val="0"/>
                  <w:vAlign w:val="center"/>
                </w:tcPr>
                <w:p w14:paraId="06680188">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推进重点工程</w:t>
                  </w:r>
                </w:p>
              </w:tc>
              <w:tc>
                <w:tcPr>
                  <w:tcW w:w="2555" w:type="pct"/>
                  <w:noWrap w:val="0"/>
                  <w:vAlign w:val="center"/>
                </w:tcPr>
                <w:p w14:paraId="48D4ACC2">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促进产业绿色转型升级，坚决遏制高耗能、高排放、低水平项目盲目发展，开展传统产业集群升级改造。推动能源清洁低碳转型，开展分散、低效煤炭综合治理。</w:t>
                  </w:r>
                </w:p>
              </w:tc>
              <w:tc>
                <w:tcPr>
                  <w:tcW w:w="2157" w:type="pct"/>
                  <w:noWrap w:val="0"/>
                  <w:vAlign w:val="center"/>
                </w:tcPr>
                <w:p w14:paraId="1FA8CE4E">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w:t>
                  </w:r>
                  <w:r>
                    <w:rPr>
                      <w:rFonts w:hint="default" w:ascii="Times New Roman" w:hAnsi="Times New Roman" w:eastAsia="宋体" w:cs="Times New Roman"/>
                      <w:bCs/>
                      <w:color w:val="auto"/>
                      <w:szCs w:val="21"/>
                      <w:lang w:val="en-US" w:eastAsia="zh-CN"/>
                    </w:rPr>
                    <w:t>采用清洁能源，不属于</w:t>
                  </w:r>
                  <w:r>
                    <w:rPr>
                      <w:rFonts w:hint="default" w:ascii="Times New Roman" w:hAnsi="Times New Roman" w:eastAsia="宋体" w:cs="Times New Roman"/>
                      <w:bCs/>
                      <w:color w:val="auto"/>
                      <w:szCs w:val="21"/>
                    </w:rPr>
                    <w:t>高耗能、高排放、低水平</w:t>
                  </w:r>
                  <w:r>
                    <w:rPr>
                      <w:rFonts w:hint="default" w:ascii="Times New Roman" w:hAnsi="Times New Roman" w:eastAsia="宋体" w:cs="Times New Roman"/>
                      <w:bCs/>
                      <w:color w:val="auto"/>
                      <w:szCs w:val="21"/>
                      <w:lang w:val="en-US" w:eastAsia="zh-CN"/>
                    </w:rPr>
                    <w:t>项目</w:t>
                  </w:r>
                  <w:r>
                    <w:rPr>
                      <w:rFonts w:hint="default" w:ascii="Times New Roman" w:hAnsi="Times New Roman" w:eastAsia="宋体" w:cs="Times New Roman"/>
                      <w:bCs/>
                      <w:color w:val="auto"/>
                      <w:szCs w:val="21"/>
                    </w:rPr>
                    <w:t>，符合相关要求。</w:t>
                  </w:r>
                </w:p>
              </w:tc>
            </w:tr>
            <w:tr w14:paraId="4D8DBD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noWrap w:val="0"/>
                  <w:vAlign w:val="center"/>
                </w:tcPr>
                <w:p w14:paraId="282BA9EB">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2555" w:type="pct"/>
                  <w:noWrap w:val="0"/>
                  <w:vAlign w:val="center"/>
                </w:tcPr>
                <w:p w14:paraId="70E9C6D0">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强化挥发性有机物（VOCs）、氮氧化物等多污染物协同减排，以石化、化工、涂装、制药、包装印刷和油品储运销等为重点，加强VOCs源头、过程、末端全流程治理</w:t>
                  </w:r>
                  <w:r>
                    <w:rPr>
                      <w:rFonts w:hint="default" w:ascii="Times New Roman" w:hAnsi="Times New Roman" w:eastAsia="宋体" w:cs="Times New Roman"/>
                      <w:bCs/>
                      <w:color w:val="auto"/>
                      <w:szCs w:val="21"/>
                      <w:lang w:eastAsia="zh-CN"/>
                    </w:rPr>
                    <w:t>。</w:t>
                  </w:r>
                </w:p>
              </w:tc>
              <w:tc>
                <w:tcPr>
                  <w:tcW w:w="2157" w:type="pct"/>
                  <w:noWrap w:val="0"/>
                  <w:vAlign w:val="center"/>
                </w:tcPr>
                <w:p w14:paraId="0D8A20B9">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Cs w:val="21"/>
                    </w:rPr>
                  </w:pPr>
                  <w:r>
                    <w:rPr>
                      <w:rFonts w:hint="default" w:ascii="Times New Roman" w:hAnsi="Times New Roman" w:eastAsia="宋体" w:cs="Times New Roman"/>
                      <w:color w:val="auto"/>
                    </w:rPr>
                    <w:t>本项目不属于化工、涂装、医药、包装印刷、油品储运等高VOCs排放建设项目</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生产过程中产生的有机废气经集气罩收集进入“二级活性炭吸附装置”处理后</w:t>
                  </w:r>
                  <w:r>
                    <w:rPr>
                      <w:rFonts w:hint="default" w:ascii="Times New Roman" w:hAnsi="Times New Roman" w:cs="Times New Roman"/>
                      <w:color w:val="auto"/>
                      <w:szCs w:val="21"/>
                      <w:lang w:eastAsia="zh-CN"/>
                    </w:rPr>
                    <w:t>可达标</w:t>
                  </w:r>
                  <w:r>
                    <w:rPr>
                      <w:rFonts w:hint="default" w:ascii="Times New Roman" w:hAnsi="Times New Roman" w:eastAsia="宋体" w:cs="Times New Roman"/>
                      <w:color w:val="auto"/>
                      <w:szCs w:val="21"/>
                    </w:rPr>
                    <w:t>排放</w:t>
                  </w:r>
                  <w:r>
                    <w:rPr>
                      <w:rFonts w:hint="default" w:ascii="Times New Roman" w:hAnsi="Times New Roman" w:eastAsia="宋体" w:cs="Times New Roman"/>
                      <w:color w:val="auto"/>
                    </w:rPr>
                    <w:t>。</w:t>
                  </w:r>
                </w:p>
              </w:tc>
            </w:tr>
          </w:tbl>
          <w:p w14:paraId="25E2D54C">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cs="Times New Roman"/>
                <w:b/>
                <w:bCs/>
                <w:color w:val="auto"/>
                <w:sz w:val="24"/>
                <w:lang w:val="en-US" w:eastAsia="zh-CN"/>
              </w:rPr>
              <w:t>（</w:t>
            </w:r>
            <w:r>
              <w:rPr>
                <w:rFonts w:hint="eastAsia" w:cs="Times New Roman"/>
                <w:b/>
                <w:bCs/>
                <w:color w:val="auto"/>
                <w:sz w:val="24"/>
                <w:lang w:val="en-US" w:eastAsia="zh-CN"/>
              </w:rPr>
              <w:t>5</w:t>
            </w:r>
            <w:r>
              <w:rPr>
                <w:rFonts w:hint="default" w:ascii="Times New Roman" w:hAnsi="Times New Roman" w:cs="Times New Roman"/>
                <w:b/>
                <w:bCs/>
                <w:color w:val="auto"/>
                <w:sz w:val="24"/>
                <w:lang w:val="en-US" w:eastAsia="zh-CN"/>
              </w:rPr>
              <w:t>）</w:t>
            </w:r>
            <w:r>
              <w:rPr>
                <w:rFonts w:hint="default" w:ascii="Times New Roman" w:hAnsi="Times New Roman" w:eastAsia="宋体" w:cs="Times New Roman"/>
                <w:b/>
                <w:bCs/>
                <w:color w:val="auto"/>
                <w:sz w:val="24"/>
                <w:lang w:val="en-US" w:eastAsia="zh-CN"/>
              </w:rPr>
              <w:t>与《</w:t>
            </w:r>
            <w:r>
              <w:rPr>
                <w:rFonts w:hint="default" w:ascii="Times New Roman" w:hAnsi="Times New Roman" w:cs="Times New Roman"/>
                <w:b/>
                <w:bCs/>
                <w:color w:val="auto"/>
                <w:sz w:val="24"/>
                <w:lang w:val="en-US" w:eastAsia="zh-CN"/>
              </w:rPr>
              <w:t>江苏省</w:t>
            </w:r>
            <w:r>
              <w:rPr>
                <w:rFonts w:hint="default" w:ascii="Times New Roman" w:hAnsi="Times New Roman" w:eastAsia="宋体" w:cs="Times New Roman"/>
                <w:b/>
                <w:bCs/>
                <w:color w:val="auto"/>
                <w:sz w:val="24"/>
              </w:rPr>
              <w:t>深入打好重污染天气消除、臭氧污染防治和柴油货车污染治理攻坚战行动</w:t>
            </w:r>
            <w:r>
              <w:rPr>
                <w:rFonts w:hint="default" w:ascii="Times New Roman" w:hAnsi="Times New Roman" w:cs="Times New Roman"/>
                <w:b/>
                <w:bCs/>
                <w:color w:val="auto"/>
                <w:sz w:val="24"/>
                <w:lang w:eastAsia="zh-CN"/>
              </w:rPr>
              <w:t>实施</w:t>
            </w:r>
            <w:r>
              <w:rPr>
                <w:rFonts w:hint="default" w:ascii="Times New Roman" w:hAnsi="Times New Roman" w:eastAsia="宋体" w:cs="Times New Roman"/>
                <w:b/>
                <w:bCs/>
                <w:color w:val="auto"/>
                <w:sz w:val="24"/>
              </w:rPr>
              <w:t>方案</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苏环办[2023]35号文</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相符性分析</w:t>
            </w:r>
          </w:p>
          <w:p w14:paraId="07F1ECA6">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与苏环办[2023]35号</w:t>
            </w:r>
            <w:r>
              <w:rPr>
                <w:rFonts w:hint="default" w:ascii="Times New Roman" w:hAnsi="Times New Roman" w:cs="Times New Roman"/>
                <w:b/>
                <w:bCs/>
                <w:color w:val="auto"/>
                <w:sz w:val="21"/>
                <w:szCs w:val="21"/>
                <w:lang w:eastAsia="zh-CN"/>
              </w:rPr>
              <w:t>文</w:t>
            </w:r>
            <w:r>
              <w:rPr>
                <w:rFonts w:hint="default" w:ascii="Times New Roman" w:hAnsi="Times New Roman" w:eastAsia="宋体" w:cs="Times New Roman"/>
                <w:b/>
                <w:bCs/>
                <w:color w:val="auto"/>
                <w:sz w:val="21"/>
                <w:szCs w:val="21"/>
              </w:rPr>
              <w:t>的相符性分析</w:t>
            </w:r>
          </w:p>
          <w:tbl>
            <w:tblPr>
              <w:tblStyle w:val="28"/>
              <w:tblW w:w="494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41"/>
              <w:gridCol w:w="3446"/>
            </w:tblGrid>
            <w:tr w14:paraId="0D5621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2" w:type="pct"/>
                  <w:noWrap w:val="0"/>
                  <w:vAlign w:val="center"/>
                </w:tcPr>
                <w:p w14:paraId="27786DA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要求</w:t>
                  </w:r>
                </w:p>
              </w:tc>
              <w:tc>
                <w:tcPr>
                  <w:tcW w:w="2157" w:type="pct"/>
                  <w:noWrap w:val="0"/>
                  <w:vAlign w:val="center"/>
                </w:tcPr>
                <w:p w14:paraId="7E1E79A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相符性分析</w:t>
                  </w:r>
                </w:p>
              </w:tc>
            </w:tr>
            <w:tr w14:paraId="0A8A6D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2842" w:type="pct"/>
                  <w:noWrap w:val="0"/>
                  <w:vAlign w:val="center"/>
                </w:tcPr>
                <w:p w14:paraId="089900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大气减污降碳协同增效行动。大力推动产业转型升级和布局调整优化。坚决遏制高耗能、高排放、低水平项目盲目发展，严格落实国家和省产业规划、产业政策、“三线一单”、规划环评，以及</w:t>
                  </w:r>
                </w:p>
                <w:p w14:paraId="666DB1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val="en-US" w:eastAsia="zh-CN"/>
                    </w:rPr>
                    <w:t>产能置换、煤炭消费减量替代、污染物排放总量控制、区域污染物削减、碳排放达峰目标等要求，坚决叫停不符合要求的高耗能、高排放、低水平项目。……严格依法依规淘汰落后产能。强化法规标准等约束，利用能耗、环保、安全、质量、技术等综合标准，依法依规淘汰落后产能、落后工艺、落后产品，持续推进化工行业安全环保整治提升，大幅提升行业整体绿色发展水平</w:t>
                  </w:r>
                </w:p>
              </w:tc>
              <w:tc>
                <w:tcPr>
                  <w:tcW w:w="2157" w:type="pct"/>
                  <w:noWrap w:val="0"/>
                  <w:vAlign w:val="center"/>
                </w:tcPr>
                <w:p w14:paraId="7920388D">
                  <w:pPr>
                    <w:keepNext w:val="0"/>
                    <w:keepLines w:val="0"/>
                    <w:widowControl/>
                    <w:suppressLineNumbers w:val="0"/>
                    <w:adjustRightInd w:val="0"/>
                    <w:snapToGrid w:val="0"/>
                    <w:spacing w:before="0" w:beforeAutospacing="0" w:after="0" w:afterAutospacing="0"/>
                    <w:ind w:right="0"/>
                    <w:jc w:val="both"/>
                    <w:rPr>
                      <w:rFonts w:hint="default" w:ascii="Times New Roman" w:hAnsi="Times New Roman" w:eastAsia="宋体" w:cs="Times New Roman"/>
                      <w:bCs/>
                      <w:color w:val="auto"/>
                      <w:szCs w:val="21"/>
                    </w:rPr>
                  </w:pPr>
                  <w:r>
                    <w:rPr>
                      <w:rFonts w:hint="default" w:ascii="Times New Roman" w:hAnsi="Times New Roman" w:cs="Times New Roman"/>
                      <w:bCs/>
                      <w:color w:val="auto"/>
                      <w:szCs w:val="21"/>
                      <w:lang w:val="en-US" w:eastAsia="zh-CN"/>
                    </w:rPr>
                    <w:t>本项目</w:t>
                  </w:r>
                  <w:r>
                    <w:rPr>
                      <w:rFonts w:hint="default" w:ascii="Times New Roman" w:hAnsi="Times New Roman" w:eastAsia="宋体" w:cs="Times New Roman"/>
                      <w:bCs/>
                      <w:color w:val="auto"/>
                      <w:szCs w:val="21"/>
                      <w:lang w:val="en-US" w:eastAsia="zh-CN"/>
                    </w:rPr>
                    <w:t>属</w:t>
                  </w:r>
                  <w:r>
                    <w:rPr>
                      <w:rFonts w:hint="default" w:ascii="Times New Roman" w:hAnsi="Times New Roman" w:eastAsia="宋体" w:cs="Times New Roman"/>
                      <w:bCs/>
                      <w:color w:val="auto"/>
                      <w:sz w:val="21"/>
                      <w:szCs w:val="21"/>
                      <w:lang w:val="en-US" w:eastAsia="zh-CN"/>
                    </w:rPr>
                    <w:t>于</w:t>
                  </w:r>
                  <w:r>
                    <w:rPr>
                      <w:rFonts w:hint="default" w:ascii="Times New Roman" w:hAnsi="Times New Roman" w:cs="Times New Roman"/>
                      <w:color w:val="auto"/>
                      <w:sz w:val="21"/>
                      <w:szCs w:val="21"/>
                      <w:lang w:val="en-US" w:eastAsia="zh-CN"/>
                    </w:rPr>
                    <w:t>C2929塑料零件及其他塑料制品制造</w:t>
                  </w:r>
                  <w:r>
                    <w:rPr>
                      <w:rFonts w:hint="default" w:ascii="Times New Roman" w:hAnsi="Times New Roman" w:eastAsia="宋体" w:cs="Times New Roman"/>
                      <w:bCs/>
                      <w:color w:val="auto"/>
                      <w:sz w:val="21"/>
                      <w:szCs w:val="21"/>
                      <w:lang w:val="en-US" w:eastAsia="zh-CN"/>
                    </w:rPr>
                    <w:t>，不属于高耗能、高排放、低水平项目，符合规划要求。本项目产品为</w:t>
                  </w:r>
                  <w:r>
                    <w:rPr>
                      <w:rFonts w:hint="default" w:ascii="Times New Roman" w:hAnsi="Times New Roman" w:cs="Times New Roman"/>
                      <w:bCs/>
                      <w:color w:val="auto"/>
                      <w:sz w:val="21"/>
                      <w:szCs w:val="21"/>
                      <w:lang w:val="en-US" w:eastAsia="zh-CN"/>
                    </w:rPr>
                    <w:t>风机及风机配件</w:t>
                  </w:r>
                  <w:r>
                    <w:rPr>
                      <w:rFonts w:hint="default" w:ascii="Times New Roman" w:hAnsi="Times New Roman" w:eastAsia="宋体" w:cs="Times New Roman"/>
                      <w:bCs/>
                      <w:color w:val="auto"/>
                      <w:sz w:val="21"/>
                      <w:szCs w:val="21"/>
                      <w:lang w:val="en-US" w:eastAsia="zh-CN"/>
                    </w:rPr>
                    <w:t>，不涉及落后工艺、落后产</w:t>
                  </w:r>
                  <w:r>
                    <w:rPr>
                      <w:rFonts w:hint="default" w:ascii="Times New Roman" w:hAnsi="Times New Roman" w:eastAsia="宋体" w:cs="Times New Roman"/>
                      <w:bCs/>
                      <w:color w:val="auto"/>
                      <w:szCs w:val="21"/>
                      <w:lang w:val="en-US" w:eastAsia="zh-CN"/>
                    </w:rPr>
                    <w:t>品。</w:t>
                  </w:r>
                </w:p>
              </w:tc>
            </w:tr>
          </w:tbl>
          <w:p w14:paraId="13C95163">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z w:val="24"/>
              </w:rPr>
              <w:t>（</w:t>
            </w:r>
            <w:r>
              <w:rPr>
                <w:rFonts w:hint="eastAsia" w:cs="Times New Roman"/>
                <w:b/>
                <w:bCs/>
                <w:color w:val="auto"/>
                <w:sz w:val="24"/>
                <w:lang w:val="en-US" w:eastAsia="zh-CN"/>
              </w:rPr>
              <w:t>6</w:t>
            </w: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lang w:val="en-US" w:eastAsia="zh-CN"/>
              </w:rPr>
              <w:t>与</w:t>
            </w:r>
            <w:r>
              <w:rPr>
                <w:rFonts w:hint="default" w:ascii="Times New Roman" w:hAnsi="Times New Roman" w:eastAsia="宋体" w:cs="Times New Roman"/>
                <w:b/>
                <w:bCs/>
                <w:color w:val="auto"/>
                <w:sz w:val="24"/>
              </w:rPr>
              <w:t>《市生态环境局关于建设项目的审批指导意见（试行）》（常州市生态环境局，2021年</w:t>
            </w:r>
            <w:r>
              <w:rPr>
                <w:rFonts w:hint="default" w:ascii="Times New Roman" w:hAnsi="Times New Roman" w:cs="Times New Roman"/>
                <w:b/>
                <w:bCs/>
                <w:color w:val="auto"/>
                <w:sz w:val="24"/>
                <w:lang w:val="en-US" w:eastAsia="zh-CN"/>
              </w:rPr>
              <w:t>11</w:t>
            </w:r>
            <w:r>
              <w:rPr>
                <w:rFonts w:hint="default" w:ascii="Times New Roman" w:hAnsi="Times New Roman" w:eastAsia="宋体" w:cs="Times New Roman"/>
                <w:b/>
                <w:bCs/>
                <w:color w:val="auto"/>
                <w:sz w:val="24"/>
              </w:rPr>
              <w:t>月</w:t>
            </w:r>
            <w:r>
              <w:rPr>
                <w:rFonts w:hint="default" w:ascii="Times New Roman" w:hAnsi="Times New Roman" w:cs="Times New Roman"/>
                <w:b/>
                <w:bCs/>
                <w:color w:val="auto"/>
                <w:sz w:val="24"/>
                <w:lang w:val="en-US" w:eastAsia="zh-CN"/>
              </w:rPr>
              <w:t>10</w:t>
            </w:r>
            <w:r>
              <w:rPr>
                <w:rFonts w:hint="default" w:ascii="Times New Roman" w:hAnsi="Times New Roman" w:eastAsia="宋体" w:cs="Times New Roman"/>
                <w:b/>
                <w:bCs/>
                <w:color w:val="auto"/>
                <w:sz w:val="24"/>
              </w:rPr>
              <w:t>日</w:t>
            </w:r>
            <w:r>
              <w:rPr>
                <w:rFonts w:hint="default" w:ascii="Times New Roman" w:hAnsi="Times New Roman" w:cs="Times New Roman"/>
                <w:b/>
                <w:bCs/>
                <w:color w:val="auto"/>
                <w:sz w:val="24"/>
                <w:lang w:eastAsia="zh-CN"/>
              </w:rPr>
              <w:t>调整</w:t>
            </w: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lang w:val="en-US" w:eastAsia="zh-CN"/>
              </w:rPr>
              <w:t>的对照</w:t>
            </w:r>
            <w:r>
              <w:rPr>
                <w:rFonts w:hint="default" w:ascii="Times New Roman" w:hAnsi="Times New Roman" w:eastAsia="宋体" w:cs="Times New Roman"/>
                <w:b/>
                <w:bCs/>
                <w:color w:val="auto"/>
                <w:sz w:val="24"/>
              </w:rPr>
              <w:t>分析</w:t>
            </w:r>
          </w:p>
          <w:p w14:paraId="11FD0B96">
            <w:pPr>
              <w:pStyle w:val="86"/>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表1-1</w:t>
            </w:r>
            <w:r>
              <w:rPr>
                <w:rFonts w:hint="eastAsia" w:cs="Times New Roman"/>
                <w:b/>
                <w:bCs/>
                <w:color w:val="auto"/>
                <w:kern w:val="0"/>
                <w:sz w:val="21"/>
                <w:szCs w:val="21"/>
                <w:lang w:val="en-US" w:eastAsia="zh-CN" w:bidi="ar-SA"/>
              </w:rPr>
              <w:t>5</w:t>
            </w:r>
            <w:r>
              <w:rPr>
                <w:rFonts w:hint="default" w:ascii="Times New Roman" w:hAnsi="Times New Roman" w:eastAsia="宋体" w:cs="Times New Roman"/>
                <w:b/>
                <w:bCs/>
                <w:color w:val="auto"/>
                <w:kern w:val="0"/>
                <w:sz w:val="21"/>
                <w:szCs w:val="21"/>
                <w:lang w:val="en-US" w:eastAsia="zh-CN" w:bidi="ar-SA"/>
              </w:rPr>
              <w:t>与“常州市生态环境局关于建设项目</w:t>
            </w:r>
            <w:r>
              <w:rPr>
                <w:rFonts w:hint="default" w:ascii="Times New Roman" w:hAnsi="Times New Roman" w:eastAsia="宋体" w:cs="Times New Roman"/>
                <w:b/>
                <w:bCs/>
                <w:color w:val="auto"/>
                <w:kern w:val="0"/>
                <w:sz w:val="21"/>
                <w:szCs w:val="21"/>
                <w:shd w:val="clear" w:fill="auto"/>
                <w:lang w:val="en-US" w:eastAsia="zh-CN" w:bidi="ar-SA"/>
              </w:rPr>
              <w:t>的审批</w:t>
            </w:r>
            <w:r>
              <w:rPr>
                <w:rFonts w:hint="default" w:ascii="Times New Roman" w:hAnsi="Times New Roman" w:eastAsia="宋体" w:cs="Times New Roman"/>
                <w:b/>
                <w:bCs/>
                <w:color w:val="auto"/>
                <w:kern w:val="0"/>
                <w:sz w:val="21"/>
                <w:szCs w:val="21"/>
                <w:lang w:val="en-US" w:eastAsia="zh-CN" w:bidi="ar-SA"/>
              </w:rPr>
              <w:t>指导意见（试行）”</w:t>
            </w:r>
            <w:r>
              <w:rPr>
                <w:rFonts w:hint="default" w:ascii="Times New Roman" w:hAnsi="Times New Roman" w:eastAsia="宋体" w:cs="Times New Roman"/>
                <w:b/>
                <w:bCs/>
                <w:color w:val="auto"/>
                <w:kern w:val="0"/>
                <w:sz w:val="21"/>
                <w:szCs w:val="21"/>
                <w:shd w:val="clear" w:fill="auto"/>
                <w:lang w:val="en-US" w:eastAsia="zh-CN" w:bidi="ar-SA"/>
              </w:rPr>
              <w:t>相符</w:t>
            </w:r>
            <w:r>
              <w:rPr>
                <w:rFonts w:hint="default" w:ascii="Times New Roman" w:hAnsi="Times New Roman" w:eastAsia="宋体" w:cs="Times New Roman"/>
                <w:b/>
                <w:bCs/>
                <w:color w:val="auto"/>
                <w:kern w:val="0"/>
                <w:sz w:val="21"/>
                <w:szCs w:val="21"/>
                <w:lang w:val="en-US" w:eastAsia="zh-CN" w:bidi="ar-SA"/>
              </w:rPr>
              <w:t>性分析</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59"/>
              <w:gridCol w:w="2316"/>
              <w:gridCol w:w="691"/>
            </w:tblGrid>
            <w:tr w14:paraId="0F92B7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37347FE4">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文件要求（建设项目环评审批要点）</w:t>
                  </w:r>
                </w:p>
              </w:tc>
              <w:tc>
                <w:tcPr>
                  <w:tcW w:w="1435" w:type="pct"/>
                  <w:noWrap w:val="0"/>
                  <w:tcMar>
                    <w:top w:w="0" w:type="dxa"/>
                    <w:left w:w="28" w:type="dxa"/>
                    <w:bottom w:w="0" w:type="dxa"/>
                    <w:right w:w="28" w:type="dxa"/>
                  </w:tcMar>
                  <w:vAlign w:val="center"/>
                </w:tcPr>
                <w:p w14:paraId="0F384BB1">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5EBCE095">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59B4C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59FA95D6">
                  <w:pPr>
                    <w:pStyle w:val="8"/>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1、实施建设项目大气污染物总量负增长原则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即重点区域内建设项目使用大气污染物总量，原则上在重点区域范围内实施总量平衡，且必须实行总量2倍减量替代。</w:t>
                  </w:r>
                </w:p>
              </w:tc>
              <w:tc>
                <w:tcPr>
                  <w:tcW w:w="1435" w:type="pct"/>
                  <w:vMerge w:val="restart"/>
                  <w:noWrap w:val="0"/>
                  <w:tcMar>
                    <w:top w:w="0" w:type="dxa"/>
                    <w:left w:w="28" w:type="dxa"/>
                    <w:bottom w:w="0" w:type="dxa"/>
                    <w:right w:w="28" w:type="dxa"/>
                  </w:tcMar>
                  <w:vAlign w:val="center"/>
                </w:tcPr>
                <w:p w14:paraId="314B65CD">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（1）</w:t>
                  </w: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val="en-US" w:eastAsia="zh-CN"/>
                    </w:rPr>
                    <w:t>江苏省常州市金坛区</w:t>
                  </w:r>
                  <w:r>
                    <w:rPr>
                      <w:rFonts w:hint="default" w:ascii="Times New Roman" w:hAnsi="Times New Roman" w:cs="Times New Roman"/>
                      <w:color w:val="auto"/>
                      <w:sz w:val="21"/>
                      <w:szCs w:val="21"/>
                      <w:lang w:eastAsia="zh-CN"/>
                    </w:rPr>
                    <w:t>良常中路249号32号</w:t>
                  </w:r>
                  <w:r>
                    <w:rPr>
                      <w:rFonts w:hint="default" w:ascii="Times New Roman" w:hAnsi="Times New Roman" w:eastAsia="宋体" w:cs="Times New Roman"/>
                      <w:color w:val="auto"/>
                      <w:sz w:val="21"/>
                      <w:szCs w:val="21"/>
                      <w:lang w:val="en-US" w:eastAsia="zh-CN"/>
                    </w:rPr>
                    <w:t>，本项目不在国控站点3km范围内，不属于重点区域</w:t>
                  </w:r>
                  <w:r>
                    <w:rPr>
                      <w:rFonts w:hint="default" w:ascii="Times New Roman" w:hAnsi="Times New Roman" w:eastAsia="宋体" w:cs="Times New Roman"/>
                      <w:color w:val="auto"/>
                      <w:kern w:val="0"/>
                      <w:sz w:val="21"/>
                      <w:szCs w:val="21"/>
                      <w:lang w:val="en-US" w:eastAsia="zh-CN"/>
                    </w:rPr>
                    <w:t>。</w:t>
                  </w:r>
                </w:p>
                <w:p w14:paraId="3BED220E">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kern w:val="0"/>
                      <w:sz w:val="21"/>
                      <w:szCs w:val="21"/>
                    </w:rPr>
                    <w:t>本项目为</w:t>
                  </w:r>
                  <w:r>
                    <w:rPr>
                      <w:rFonts w:hint="default" w:ascii="Times New Roman" w:hAnsi="Times New Roman" w:cs="Times New Roman"/>
                      <w:color w:val="auto"/>
                      <w:sz w:val="21"/>
                      <w:szCs w:val="21"/>
                      <w:lang w:val="en-US" w:eastAsia="zh-CN"/>
                    </w:rPr>
                    <w:t>C2929塑料零件及其他塑料制品制造</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2"/>
                      <w:sz w:val="21"/>
                      <w:szCs w:val="21"/>
                    </w:rPr>
                    <w:t>不属于高能耗项目。</w:t>
                  </w:r>
                  <w:r>
                    <w:rPr>
                      <w:rFonts w:hint="default" w:ascii="Times New Roman" w:hAnsi="Times New Roman" w:eastAsia="宋体" w:cs="Times New Roman"/>
                      <w:color w:val="auto"/>
                      <w:sz w:val="21"/>
                      <w:szCs w:val="21"/>
                    </w:rPr>
                    <w:t>本项目拟在环境影响评价文件审批前，取得主要污染物排放总量指标。</w:t>
                  </w:r>
                </w:p>
              </w:tc>
              <w:tc>
                <w:tcPr>
                  <w:tcW w:w="428" w:type="pct"/>
                  <w:vMerge w:val="restart"/>
                  <w:noWrap w:val="0"/>
                  <w:tcMar>
                    <w:top w:w="0" w:type="dxa"/>
                    <w:left w:w="28" w:type="dxa"/>
                    <w:bottom w:w="0" w:type="dxa"/>
                    <w:right w:w="28" w:type="dxa"/>
                  </w:tcMar>
                  <w:vAlign w:val="center"/>
                </w:tcPr>
                <w:p w14:paraId="0DC228B3">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278771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07BFCFE">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强化环评审批。对重点区域内新上的大气污染物排放的建设项目及全市范围内新上高能耗项目，审批部门对其环评文本应实施质量评估。</w:t>
                  </w:r>
                </w:p>
              </w:tc>
              <w:tc>
                <w:tcPr>
                  <w:tcW w:w="1435" w:type="pct"/>
                  <w:vMerge w:val="continue"/>
                  <w:noWrap w:val="0"/>
                  <w:tcMar>
                    <w:top w:w="0" w:type="dxa"/>
                    <w:left w:w="28" w:type="dxa"/>
                    <w:bottom w:w="0" w:type="dxa"/>
                    <w:right w:w="28" w:type="dxa"/>
                  </w:tcMar>
                  <w:vAlign w:val="center"/>
                </w:tcPr>
                <w:p w14:paraId="6E90C448">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3716FA4A">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r w14:paraId="080EB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2412188">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推进减污降碳。对重点区域内新上的涉及大气污染排放的建设项目及全市范围内新上高能耗建设项目的严格审批，区级审批部门审批前需向生态环境局报备，审批部门方可出具审批文件。</w:t>
                  </w:r>
                </w:p>
              </w:tc>
              <w:tc>
                <w:tcPr>
                  <w:tcW w:w="1435" w:type="pct"/>
                  <w:vMerge w:val="continue"/>
                  <w:noWrap w:val="0"/>
                  <w:tcMar>
                    <w:top w:w="0" w:type="dxa"/>
                    <w:left w:w="28" w:type="dxa"/>
                    <w:bottom w:w="0" w:type="dxa"/>
                    <w:right w:w="28" w:type="dxa"/>
                  </w:tcMar>
                  <w:vAlign w:val="center"/>
                </w:tcPr>
                <w:p w14:paraId="58E08B2D">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751C609E">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bl>
          <w:p w14:paraId="47E3C07E">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①高能耗项目为：石油、煤炭及其他燃料加工业，电力、热力生产和供应业，非金属矿物制品业，食品制造业，黑色金属冶炼和压延加工业，有色金属冶炼和压延加工业，造纸及纸制品业，化学原料和化学制品制造业；本项目不属于高能耗项目；②本项目</w:t>
            </w:r>
            <w:r>
              <w:rPr>
                <w:rFonts w:hint="default" w:ascii="Times New Roman" w:hAnsi="Times New Roman" w:cs="Times New Roman"/>
                <w:color w:val="auto"/>
                <w:sz w:val="21"/>
                <w:szCs w:val="21"/>
                <w:lang w:val="en-US" w:eastAsia="zh-CN"/>
              </w:rPr>
              <w:t>距离</w:t>
            </w:r>
            <w:r>
              <w:rPr>
                <w:rFonts w:hint="default" w:ascii="Times New Roman" w:hAnsi="Times New Roman" w:eastAsia="宋体" w:cs="Times New Roman"/>
                <w:color w:val="auto"/>
                <w:sz w:val="21"/>
                <w:szCs w:val="21"/>
                <w:lang w:val="en-US" w:eastAsia="zh-CN"/>
              </w:rPr>
              <w:t>大气质量国控站点（金坛区政府D座楼）直线距离约为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km，本项目不在国控点三公里范围内。</w:t>
            </w:r>
          </w:p>
          <w:p w14:paraId="2F98BA0F">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eastAsia="宋体" w:cs="Times New Roman"/>
                <w:b/>
                <w:bCs w:val="0"/>
                <w:color w:val="auto"/>
                <w:kern w:val="0"/>
                <w:sz w:val="24"/>
                <w:szCs w:val="24"/>
                <w:lang w:val="en-US" w:eastAsia="zh-CN"/>
              </w:rPr>
            </w:pPr>
            <w:r>
              <w:rPr>
                <w:rFonts w:hint="default" w:ascii="Times New Roman" w:hAnsi="Times New Roman" w:cs="Times New Roman"/>
                <w:b/>
                <w:bCs/>
                <w:color w:val="auto"/>
                <w:sz w:val="24"/>
                <w:lang w:eastAsia="zh-CN"/>
              </w:rPr>
              <w:t>（</w:t>
            </w:r>
            <w:r>
              <w:rPr>
                <w:rFonts w:hint="eastAsia" w:ascii="Times New Roman" w:cs="Times New Roman"/>
                <w:b/>
                <w:bCs/>
                <w:color w:val="auto"/>
                <w:sz w:val="24"/>
                <w:lang w:val="en-US" w:eastAsia="zh-CN"/>
              </w:rPr>
              <w:t>7</w:t>
            </w:r>
            <w:r>
              <w:rPr>
                <w:rFonts w:hint="default" w:ascii="Times New Roman" w:hAnsi="Times New Roman" w:cs="Times New Roman"/>
                <w:b/>
                <w:bCs/>
                <w:color w:val="auto"/>
                <w:sz w:val="24"/>
                <w:lang w:eastAsia="zh-CN"/>
              </w:rPr>
              <w:t>）</w:t>
            </w:r>
            <w:r>
              <w:rPr>
                <w:rFonts w:hint="default" w:ascii="Times New Roman" w:hAnsi="Times New Roman" w:cs="Times New Roman"/>
                <w:b/>
                <w:bCs w:val="0"/>
                <w:color w:val="auto"/>
                <w:kern w:val="0"/>
                <w:sz w:val="24"/>
                <w:szCs w:val="24"/>
                <w:lang w:val="en-US" w:eastAsia="zh-CN"/>
              </w:rPr>
              <w:t>与</w:t>
            </w:r>
            <w:r>
              <w:rPr>
                <w:rFonts w:hint="default" w:ascii="Times New Roman" w:hAnsi="Times New Roman" w:eastAsia="宋体" w:cs="Times New Roman"/>
                <w:b/>
                <w:bCs w:val="0"/>
                <w:color w:val="auto"/>
                <w:kern w:val="0"/>
                <w:sz w:val="24"/>
                <w:szCs w:val="24"/>
              </w:rPr>
              <w:t>《省生态环境厅关于印发江苏省环境影响评价文件环境应急相关内容编制要点的通知》（苏环办[2022]338）号</w:t>
            </w:r>
            <w:r>
              <w:rPr>
                <w:rFonts w:hint="default" w:ascii="Times New Roman" w:hAnsi="Times New Roman" w:eastAsia="宋体" w:cs="Times New Roman"/>
                <w:b/>
                <w:bCs w:val="0"/>
                <w:color w:val="auto"/>
                <w:kern w:val="0"/>
                <w:sz w:val="24"/>
                <w:szCs w:val="24"/>
                <w:lang w:val="en-US" w:eastAsia="zh-CN"/>
              </w:rPr>
              <w:t>相符性分析</w:t>
            </w:r>
          </w:p>
          <w:p w14:paraId="5582F6B9">
            <w:pPr>
              <w:pStyle w:val="101"/>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表1-</w:t>
            </w:r>
            <w:r>
              <w:rPr>
                <w:rFonts w:hint="default" w:ascii="Times New Roman" w:hAnsi="Times New Roman" w:cs="Times New Roman"/>
                <w:color w:val="auto"/>
                <w:lang w:val="en-US" w:eastAsia="zh-CN"/>
              </w:rPr>
              <w:t>1</w:t>
            </w:r>
            <w:r>
              <w:rPr>
                <w:rFonts w:hint="eastAsia" w:cs="Times New Roman"/>
                <w:color w:val="auto"/>
                <w:lang w:val="en-US" w:eastAsia="zh-CN"/>
              </w:rPr>
              <w:t>6</w:t>
            </w:r>
            <w:r>
              <w:rPr>
                <w:rFonts w:hint="default" w:ascii="Times New Roman" w:hAnsi="Times New Roman" w:cs="Times New Roman"/>
                <w:color w:val="auto"/>
                <w:lang w:val="en-US" w:eastAsia="zh-CN"/>
              </w:rPr>
              <w:t xml:space="preserve"> </w:t>
            </w:r>
            <w:r>
              <w:rPr>
                <w:rFonts w:hint="default" w:ascii="Times New Roman" w:hAnsi="Times New Roman" w:eastAsia="宋体" w:cs="Times New Roman"/>
                <w:color w:val="auto"/>
                <w:lang w:val="en-US" w:eastAsia="zh-CN"/>
              </w:rPr>
              <w:t>与</w:t>
            </w:r>
            <w:r>
              <w:rPr>
                <w:rFonts w:hint="default" w:ascii="Times New Roman" w:hAnsi="Times New Roman" w:eastAsia="宋体" w:cs="Times New Roman"/>
                <w:color w:val="auto"/>
              </w:rPr>
              <w:t>苏环办[2022]338号</w:t>
            </w:r>
            <w:r>
              <w:rPr>
                <w:rFonts w:hint="default" w:ascii="Times New Roman" w:hAnsi="Times New Roman" w:eastAsia="宋体" w:cs="Times New Roman"/>
                <w:color w:val="auto"/>
                <w:lang w:val="en-US" w:eastAsia="zh-CN"/>
              </w:rPr>
              <w:t>文相符性分析</w:t>
            </w:r>
          </w:p>
          <w:tbl>
            <w:tblPr>
              <w:tblStyle w:val="28"/>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075"/>
              <w:gridCol w:w="1858"/>
              <w:gridCol w:w="706"/>
            </w:tblGrid>
            <w:tr w14:paraId="2F226E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5" w:type="pct"/>
                  <w:noWrap w:val="0"/>
                  <w:vAlign w:val="center"/>
                </w:tcPr>
                <w:p w14:paraId="32966DD1">
                  <w:pPr>
                    <w:pStyle w:val="102"/>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序号</w:t>
                  </w:r>
                </w:p>
              </w:tc>
              <w:tc>
                <w:tcPr>
                  <w:tcW w:w="3152" w:type="pct"/>
                  <w:noWrap w:val="0"/>
                  <w:vAlign w:val="center"/>
                </w:tcPr>
                <w:p w14:paraId="0FEDCD98">
                  <w:pPr>
                    <w:pStyle w:val="102"/>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要求</w:t>
                  </w:r>
                </w:p>
              </w:tc>
              <w:tc>
                <w:tcPr>
                  <w:tcW w:w="1158" w:type="pct"/>
                  <w:noWrap w:val="0"/>
                  <w:vAlign w:val="center"/>
                </w:tcPr>
                <w:p w14:paraId="5CD7BB19">
                  <w:pPr>
                    <w:pStyle w:val="102"/>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对照分析</w:t>
                  </w:r>
                </w:p>
              </w:tc>
              <w:tc>
                <w:tcPr>
                  <w:tcW w:w="444" w:type="pct"/>
                  <w:noWrap w:val="0"/>
                  <w:vAlign w:val="center"/>
                </w:tcPr>
                <w:p w14:paraId="27E04BC1">
                  <w:pPr>
                    <w:pStyle w:val="102"/>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相符性</w:t>
                  </w:r>
                </w:p>
              </w:tc>
            </w:tr>
            <w:tr w14:paraId="048473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45" w:type="pct"/>
                  <w:noWrap w:val="0"/>
                  <w:vAlign w:val="center"/>
                </w:tcPr>
                <w:p w14:paraId="0DAC1C1C">
                  <w:pPr>
                    <w:pStyle w:val="102"/>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3152" w:type="pct"/>
                  <w:noWrap w:val="0"/>
                  <w:vAlign w:val="center"/>
                </w:tcPr>
                <w:p w14:paraId="7483B5AC">
                  <w:pPr>
                    <w:pStyle w:val="102"/>
                    <w:bidi w:val="0"/>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建设项目的编制要点适用于环境影响报告书、环境影响报告表所附环境风险专项的环境应急内容编制。</w:t>
                  </w:r>
                </w:p>
                <w:p w14:paraId="71E6BF21">
                  <w:pPr>
                    <w:pStyle w:val="102"/>
                    <w:bidi w:val="0"/>
                    <w:ind w:firstLine="420" w:firstLineChars="200"/>
                    <w:jc w:val="left"/>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、科学判定环境风险评价工作等级和评价范围，系统识别环境风险。合理分析代表性风险事故情形，预测其影响范围与程度；</w:t>
                  </w:r>
                </w:p>
                <w:p w14:paraId="7BD724A5">
                  <w:pPr>
                    <w:pStyle w:val="102"/>
                    <w:bidi w:val="0"/>
                    <w:ind w:firstLine="420" w:firstLineChars="200"/>
                    <w:jc w:val="left"/>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明确环境风险防范措施的建设任务。大气环境风险防范应结合风险源实际状况明确环境风险的防范、减缓措施，提出环境风险监控要求，特别是有毒有害气体厂界监控预警措施，并提供事故状态下区域人员疏散通道和安置场所位置图。事故废水环境风险防范应按照“单元-厂区-园区/区域”环境风险防控体系的要求，结合环境风险事故情形和预测结果，提出必要的应急设施（包括围堰、防火堤、应急池、雨污水排口闸阀及配套管网设施等)建设要求，并明确事故废水有效收集和妥善处理方式，以防进入外环境。要提供雨污水、事故废水收集排放管网示意图、环境应急设施分布图等防止事故废水进入外环境的控制、封堵系统图。明确企业与所在园区/区域的环境风险防控体系、设施的衔接和配套。</w:t>
                  </w:r>
                </w:p>
                <w:p w14:paraId="7FD977BE">
                  <w:pPr>
                    <w:pStyle w:val="102"/>
                    <w:bidi w:val="0"/>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明确环境应急管理制度内容。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tc>
              <w:tc>
                <w:tcPr>
                  <w:tcW w:w="1158" w:type="pct"/>
                  <w:noWrap w:val="0"/>
                  <w:vAlign w:val="center"/>
                </w:tcPr>
                <w:p w14:paraId="251FC243">
                  <w:pPr>
                    <w:pStyle w:val="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建设单位需按照文件要求自行或者委托相关符合要求机构编制单位进行应急预案的编制，科学判定环境风险评价工作等级和评价范围，系统识别环境风险。合理分析代表性风险事故情形，预测其影响范围与程度，明确环境风险防范措施的建设任务，明确环境应急管理制度内容等。</w:t>
                  </w:r>
                </w:p>
              </w:tc>
              <w:tc>
                <w:tcPr>
                  <w:tcW w:w="444" w:type="pct"/>
                  <w:noWrap w:val="0"/>
                  <w:vAlign w:val="center"/>
                </w:tcPr>
                <w:p w14:paraId="1C241514">
                  <w:pPr>
                    <w:pStyle w:val="102"/>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相符</w:t>
                  </w:r>
                </w:p>
              </w:tc>
            </w:tr>
          </w:tbl>
          <w:p w14:paraId="365EB3CE">
            <w:pPr>
              <w:autoSpaceDE w:val="0"/>
              <w:autoSpaceDN w:val="0"/>
              <w:adjustRightInd w:val="0"/>
              <w:snapToGrid w:val="0"/>
              <w:rPr>
                <w:rFonts w:hint="default" w:ascii="Times New Roman" w:hAnsi="Times New Roman" w:eastAsia="宋体" w:cs="Times New Roman"/>
                <w:color w:val="auto"/>
                <w:kern w:val="0"/>
                <w:szCs w:val="21"/>
              </w:rPr>
            </w:pPr>
          </w:p>
        </w:tc>
      </w:tr>
    </w:tbl>
    <w:p w14:paraId="432D4D79">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0"/>
        <w:rPr>
          <w:rFonts w:hint="default" w:ascii="Times New Roman" w:hAnsi="Times New Roman" w:eastAsia="黑体" w:cs="Times New Roman"/>
          <w:color w:val="auto"/>
          <w:sz w:val="10"/>
          <w:szCs w:val="10"/>
        </w:rPr>
        <w:sectPr>
          <w:footerReference r:id="rId3"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4F412932">
      <w:pPr>
        <w:pStyle w:val="22"/>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2" w:name="_Toc19526"/>
      <w:r>
        <w:rPr>
          <w:rFonts w:hint="default" w:ascii="Times New Roman" w:hAnsi="Times New Roman" w:eastAsia="黑体" w:cs="Times New Roman"/>
          <w:snapToGrid w:val="0"/>
          <w:color w:val="auto"/>
          <w:sz w:val="30"/>
          <w:szCs w:val="30"/>
        </w:rPr>
        <w:t>二、建设项目工程分析</w:t>
      </w:r>
      <w:bookmarkEnd w:id="2"/>
    </w:p>
    <w:tbl>
      <w:tblPr>
        <w:tblStyle w:val="27"/>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8760"/>
      </w:tblGrid>
      <w:tr w14:paraId="6CCF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0" w:hRule="atLeast"/>
        </w:trPr>
        <w:tc>
          <w:tcPr>
            <w:tcW w:w="777" w:type="dxa"/>
            <w:vAlign w:val="center"/>
          </w:tcPr>
          <w:p w14:paraId="36BF7930">
            <w:pPr>
              <w:pStyle w:val="22"/>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color w:val="auto"/>
                <w:szCs w:val="24"/>
              </w:rPr>
              <w:t>建设内容</w:t>
            </w:r>
          </w:p>
        </w:tc>
        <w:tc>
          <w:tcPr>
            <w:tcW w:w="8283" w:type="dxa"/>
          </w:tcPr>
          <w:p w14:paraId="02B3D975">
            <w:pPr>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rPr>
              <w:t>1、项目由来</w:t>
            </w:r>
          </w:p>
          <w:p w14:paraId="453FBD21">
            <w:pPr>
              <w:widowControl/>
              <w:spacing w:line="500" w:lineRule="exact"/>
              <w:ind w:firstLine="480" w:firstLineChars="200"/>
              <w:rPr>
                <w:rFonts w:hint="default" w:ascii="Times New Roman" w:hAnsi="Times New Roman" w:eastAsia="宋体" w:cs="Times New Roman"/>
                <w:color w:val="auto"/>
                <w:sz w:val="24"/>
                <w:lang w:eastAsia="zh-CN"/>
              </w:rPr>
            </w:pPr>
            <w:bookmarkStart w:id="12" w:name="_GoBack"/>
            <w:r>
              <w:rPr>
                <w:rFonts w:hint="default" w:ascii="Times New Roman" w:hAnsi="Times New Roman" w:cs="Times New Roman"/>
                <w:bCs/>
                <w:color w:val="auto"/>
                <w:sz w:val="24"/>
                <w:lang w:eastAsia="zh-CN"/>
              </w:rPr>
              <w:t>常州市恒运塑业科技有限公司</w:t>
            </w:r>
            <w:bookmarkEnd w:id="12"/>
            <w:r>
              <w:rPr>
                <w:rFonts w:hint="default" w:ascii="Times New Roman" w:hAnsi="Times New Roman" w:eastAsia="宋体" w:cs="Times New Roman"/>
                <w:bCs/>
                <w:color w:val="auto"/>
                <w:sz w:val="24"/>
              </w:rPr>
              <w:t>（以下简称</w:t>
            </w:r>
            <w:r>
              <w:rPr>
                <w:rFonts w:hint="default" w:ascii="Times New Roman" w:hAnsi="Times New Roman" w:cs="Times New Roman"/>
                <w:bCs/>
                <w:color w:val="auto"/>
                <w:sz w:val="24"/>
                <w:lang w:eastAsia="zh-CN"/>
              </w:rPr>
              <w:t>“恒运塑业”</w:t>
            </w:r>
            <w:r>
              <w:rPr>
                <w:rFonts w:hint="default" w:ascii="Times New Roman" w:hAnsi="Times New Roman" w:eastAsia="宋体" w:cs="Times New Roman"/>
                <w:bCs/>
                <w:color w:val="auto"/>
                <w:sz w:val="24"/>
              </w:rPr>
              <w:t>）成立于20</w:t>
            </w:r>
            <w:r>
              <w:rPr>
                <w:rFonts w:hint="default" w:ascii="Times New Roman" w:hAnsi="Times New Roman" w:cs="Times New Roman"/>
                <w:bCs/>
                <w:color w:val="auto"/>
                <w:sz w:val="24"/>
                <w:lang w:val="en-US" w:eastAsia="zh-CN"/>
              </w:rPr>
              <w:t>20</w:t>
            </w:r>
            <w:r>
              <w:rPr>
                <w:rFonts w:hint="default" w:ascii="Times New Roman" w:hAnsi="Times New Roman" w:eastAsia="宋体" w:cs="Times New Roman"/>
                <w:bCs/>
                <w:color w:val="auto"/>
                <w:sz w:val="24"/>
              </w:rPr>
              <w:t>年</w:t>
            </w:r>
            <w:r>
              <w:rPr>
                <w:rFonts w:hint="default" w:ascii="Times New Roman" w:hAnsi="Times New Roman" w:cs="Times New Roman"/>
                <w:bCs/>
                <w:color w:val="auto"/>
                <w:sz w:val="24"/>
                <w:lang w:val="en-US" w:eastAsia="zh-CN"/>
              </w:rPr>
              <w:t>8</w:t>
            </w:r>
            <w:r>
              <w:rPr>
                <w:rFonts w:hint="default" w:ascii="Times New Roman" w:hAnsi="Times New Roman" w:eastAsia="宋体" w:cs="Times New Roman"/>
                <w:bCs/>
                <w:color w:val="auto"/>
                <w:sz w:val="24"/>
              </w:rPr>
              <w:t>月</w:t>
            </w:r>
            <w:r>
              <w:rPr>
                <w:rFonts w:hint="default" w:ascii="Times New Roman" w:hAnsi="Times New Roman" w:cs="Times New Roman"/>
                <w:bCs/>
                <w:color w:val="auto"/>
                <w:sz w:val="24"/>
                <w:lang w:val="en-US" w:eastAsia="zh-CN"/>
              </w:rPr>
              <w:t>24</w:t>
            </w:r>
            <w:r>
              <w:rPr>
                <w:rFonts w:hint="default" w:ascii="Times New Roman" w:hAnsi="Times New Roman" w:eastAsia="宋体" w:cs="Times New Roman"/>
                <w:bCs/>
                <w:color w:val="auto"/>
                <w:sz w:val="24"/>
              </w:rPr>
              <w:t>日，企业类型为有限责任公司（自然人投资），地址为</w:t>
            </w:r>
            <w:r>
              <w:rPr>
                <w:rFonts w:hint="default" w:ascii="Times New Roman" w:hAnsi="Times New Roman" w:cs="Times New Roman"/>
                <w:bCs/>
                <w:color w:val="auto"/>
                <w:sz w:val="24"/>
                <w:lang w:eastAsia="zh-CN"/>
              </w:rPr>
              <w:t>常州市金坛区良常中路249号32号</w:t>
            </w:r>
            <w:r>
              <w:rPr>
                <w:rFonts w:hint="default" w:ascii="Times New Roman" w:hAnsi="Times New Roman" w:eastAsia="宋体" w:cs="Times New Roman"/>
                <w:bCs/>
                <w:color w:val="auto"/>
                <w:sz w:val="24"/>
              </w:rPr>
              <w:t>，</w:t>
            </w:r>
            <w:r>
              <w:rPr>
                <w:rFonts w:hint="default" w:ascii="Times New Roman" w:hAnsi="Times New Roman" w:eastAsia="宋体" w:cs="Times New Roman"/>
                <w:color w:val="auto"/>
                <w:sz w:val="24"/>
                <w:lang w:eastAsia="zh-CN"/>
              </w:rPr>
              <w:t>经营范围包括一般项目：技术服务、技术开发、技术咨询、技术交流、技术转让、技术推广；塑料制品制造；塑料制品销售；风机、风扇制造；风机、风扇销售。</w:t>
            </w:r>
          </w:p>
          <w:p w14:paraId="23A49057">
            <w:pPr>
              <w:widowControl/>
              <w:spacing w:line="5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恒运塑业</w:t>
            </w:r>
            <w:r>
              <w:rPr>
                <w:rFonts w:hint="default" w:ascii="Times New Roman" w:hAnsi="Times New Roman" w:eastAsia="宋体" w:cs="Times New Roman"/>
                <w:color w:val="auto"/>
                <w:sz w:val="24"/>
                <w:szCs w:val="24"/>
                <w:highlight w:val="none"/>
                <w:lang w:eastAsia="zh-CN"/>
              </w:rPr>
              <w:t>拟投资</w:t>
            </w:r>
            <w:r>
              <w:rPr>
                <w:rFonts w:hint="default" w:ascii="Times New Roman" w:hAnsi="Times New Roman"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lang w:eastAsia="zh-CN"/>
              </w:rPr>
              <w:t>0万元，</w:t>
            </w:r>
            <w:r>
              <w:rPr>
                <w:rFonts w:hint="default" w:ascii="Times New Roman" w:hAnsi="Times New Roman" w:cs="Times New Roman"/>
                <w:color w:val="auto"/>
                <w:sz w:val="24"/>
                <w:szCs w:val="24"/>
                <w:highlight w:val="none"/>
                <w:lang w:val="en-US" w:eastAsia="zh-CN"/>
              </w:rPr>
              <w:t>租用天津国源港通燃料油有限公司位于</w:t>
            </w:r>
            <w:r>
              <w:rPr>
                <w:rFonts w:hint="default" w:ascii="Times New Roman" w:hAnsi="Times New Roman" w:cs="Times New Roman"/>
                <w:color w:val="auto"/>
                <w:sz w:val="24"/>
                <w:szCs w:val="24"/>
              </w:rPr>
              <w:t>凤凰城经济工业园</w:t>
            </w:r>
            <w:r>
              <w:rPr>
                <w:rFonts w:hint="eastAsia" w:cs="Times New Roman"/>
                <w:color w:val="auto"/>
                <w:sz w:val="24"/>
                <w:lang w:eastAsia="zh-CN"/>
              </w:rPr>
              <w:t>（</w:t>
            </w:r>
            <w:r>
              <w:rPr>
                <w:rFonts w:hint="default" w:ascii="Times New Roman" w:hAnsi="Times New Roman" w:cs="Times New Roman"/>
                <w:color w:val="auto"/>
                <w:sz w:val="24"/>
                <w:lang w:eastAsia="zh-CN"/>
              </w:rPr>
              <w:t>常州市金坛区良常中路249号32号</w:t>
            </w:r>
            <w:r>
              <w:rPr>
                <w:rFonts w:hint="eastAsia" w:cs="Times New Roman"/>
                <w:color w:val="auto"/>
                <w:sz w:val="24"/>
                <w:lang w:eastAsia="zh-CN"/>
              </w:rPr>
              <w:t>）</w:t>
            </w:r>
            <w:r>
              <w:rPr>
                <w:rFonts w:hint="default" w:ascii="Times New Roman" w:hAnsi="Times New Roman" w:cs="Times New Roman"/>
                <w:color w:val="auto"/>
                <w:sz w:val="24"/>
                <w:lang w:val="en-US" w:eastAsia="zh-CN"/>
              </w:rPr>
              <w:t>的</w:t>
            </w:r>
            <w:r>
              <w:rPr>
                <w:rFonts w:hint="default" w:ascii="Times New Roman" w:hAnsi="Times New Roman" w:cs="Times New Roman"/>
                <w:color w:val="auto"/>
                <w:sz w:val="24"/>
                <w:szCs w:val="24"/>
                <w:highlight w:val="none"/>
                <w:lang w:val="en-US" w:eastAsia="zh-CN"/>
              </w:rPr>
              <w:t>厂房4101平方米，</w:t>
            </w:r>
            <w:r>
              <w:rPr>
                <w:rFonts w:hint="default" w:ascii="Times New Roman" w:hAnsi="Times New Roman" w:cs="Times New Roman"/>
                <w:color w:val="auto"/>
                <w:sz w:val="24"/>
                <w:lang w:eastAsia="zh-CN"/>
              </w:rPr>
              <w:t>新建年产1万只风机叶轮、1500套风机外壳和1000台风机项目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购置吹塑机、挤出机、压塑机等设备，</w:t>
            </w:r>
            <w:r>
              <w:rPr>
                <w:rFonts w:hint="default" w:ascii="Times New Roman" w:hAnsi="Times New Roman" w:eastAsia="宋体" w:cs="Times New Roman"/>
                <w:color w:val="auto"/>
                <w:sz w:val="24"/>
                <w:szCs w:val="24"/>
                <w:highlight w:val="none"/>
                <w:lang w:val="en-US" w:eastAsia="zh-CN"/>
              </w:rPr>
              <w:t>建成后可</w:t>
            </w:r>
            <w:r>
              <w:rPr>
                <w:rFonts w:hint="default" w:ascii="Times New Roman" w:hAnsi="Times New Roman" w:cs="Times New Roman"/>
                <w:color w:val="auto"/>
                <w:sz w:val="24"/>
                <w:szCs w:val="24"/>
                <w:highlight w:val="none"/>
                <w:lang w:val="en-US" w:eastAsia="zh-CN"/>
              </w:rPr>
              <w:t>形成</w:t>
            </w:r>
            <w:r>
              <w:rPr>
                <w:rFonts w:hint="default" w:ascii="Times New Roman" w:hAnsi="Times New Roman" w:cs="Times New Roman"/>
                <w:color w:val="auto"/>
                <w:sz w:val="24"/>
                <w:lang w:eastAsia="zh-CN"/>
              </w:rPr>
              <w:t>年产1万只风机叶轮、1500套风机外壳和1000台风机</w:t>
            </w:r>
            <w:r>
              <w:rPr>
                <w:rFonts w:hint="default" w:ascii="Times New Roman" w:hAnsi="Times New Roman" w:eastAsia="宋体" w:cs="Times New Roman"/>
                <w:color w:val="auto"/>
                <w:sz w:val="24"/>
                <w:szCs w:val="24"/>
                <w:highlight w:val="none"/>
                <w:lang w:val="en-US" w:eastAsia="zh-CN"/>
              </w:rPr>
              <w:t>的生产规模</w:t>
            </w:r>
            <w:r>
              <w:rPr>
                <w:rFonts w:hint="default" w:ascii="Times New Roman" w:hAnsi="Times New Roman" w:eastAsia="宋体" w:cs="Times New Roman"/>
                <w:color w:val="auto"/>
                <w:sz w:val="24"/>
                <w:lang w:eastAsia="zh-CN"/>
              </w:rPr>
              <w:t>。</w:t>
            </w:r>
          </w:p>
          <w:p w14:paraId="199E6566">
            <w:pPr>
              <w:widowControl/>
              <w:spacing w:line="50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本</w:t>
            </w:r>
            <w:r>
              <w:rPr>
                <w:rFonts w:hint="default" w:ascii="Times New Roman" w:hAnsi="Times New Roman" w:cs="Times New Roman"/>
                <w:color w:val="auto"/>
                <w:sz w:val="24"/>
              </w:rPr>
              <w:t>项目已于</w:t>
            </w:r>
            <w:r>
              <w:rPr>
                <w:rFonts w:hint="default" w:ascii="Times New Roman" w:hAnsi="Times New Roman" w:cs="Times New Roman"/>
                <w:color w:val="auto"/>
                <w:sz w:val="24"/>
                <w:lang w:eastAsia="zh-CN"/>
              </w:rPr>
              <w:t>202</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lang w:eastAsia="zh-CN"/>
              </w:rPr>
              <w:t>年</w:t>
            </w:r>
            <w:r>
              <w:rPr>
                <w:rFonts w:hint="default" w:ascii="Times New Roman" w:hAnsi="Times New Roman" w:cs="Times New Roman"/>
                <w:color w:val="auto"/>
                <w:sz w:val="24"/>
                <w:lang w:val="en-US" w:eastAsia="zh-CN"/>
              </w:rPr>
              <w:t>10月29日</w:t>
            </w:r>
            <w:r>
              <w:rPr>
                <w:rFonts w:hint="default" w:ascii="Times New Roman" w:hAnsi="Times New Roman" w:cs="Times New Roman"/>
                <w:color w:val="auto"/>
                <w:sz w:val="24"/>
              </w:rPr>
              <w:t>取得</w:t>
            </w:r>
            <w:r>
              <w:rPr>
                <w:rFonts w:hint="default" w:ascii="Times New Roman" w:hAnsi="Times New Roman" w:cs="Times New Roman"/>
                <w:color w:val="auto"/>
                <w:sz w:val="24"/>
                <w:lang w:eastAsia="zh-CN"/>
              </w:rPr>
              <w:t>常州市金坛区发展和改革局</w:t>
            </w:r>
            <w:r>
              <w:rPr>
                <w:rFonts w:hint="default" w:ascii="Times New Roman" w:hAnsi="Times New Roman" w:cs="Times New Roman"/>
                <w:color w:val="auto"/>
                <w:sz w:val="24"/>
              </w:rPr>
              <w:t>的项目备案证明，备案证号：</w:t>
            </w:r>
            <w:r>
              <w:rPr>
                <w:rFonts w:hint="default" w:ascii="Times New Roman" w:hAnsi="Times New Roman" w:cs="Times New Roman"/>
                <w:color w:val="auto"/>
                <w:sz w:val="24"/>
                <w:lang w:eastAsia="zh-CN"/>
              </w:rPr>
              <w:t>坛发改备〔2024〕534号</w:t>
            </w:r>
            <w:r>
              <w:rPr>
                <w:rFonts w:hint="default" w:ascii="Times New Roman" w:hAnsi="Times New Roman" w:cs="Times New Roman"/>
                <w:color w:val="auto"/>
                <w:sz w:val="24"/>
              </w:rPr>
              <w:t>。</w:t>
            </w:r>
          </w:p>
          <w:p w14:paraId="20E37B8F">
            <w:pPr>
              <w:widowControl/>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中华人民共和国环境保护法》（2014年修订）、《中华人民共和国环境影响评价法》（2018年修订）和《建设项目环境影响评价分类管理名录》（2021年）的有关规定，本项目应进行环境影响评价。根据《建设项目环境影响评价分类管理名录》（2021年），本项目属于</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rPr>
              <w:t>二十六、橡胶和塑料制品业-53塑料制品业-其他（年用非溶剂型低VOCs含量涂料10吨以下的除外）</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类别，应编制环境影响评价报告表。</w:t>
            </w:r>
            <w:r>
              <w:rPr>
                <w:rFonts w:hint="default" w:ascii="Times New Roman" w:hAnsi="Times New Roman" w:cs="Times New Roman"/>
                <w:color w:val="auto"/>
                <w:sz w:val="24"/>
                <w:lang w:eastAsia="zh-CN"/>
              </w:rPr>
              <w:t>常州市恒运塑业科技有限公司</w:t>
            </w:r>
            <w:r>
              <w:rPr>
                <w:rFonts w:hint="default" w:ascii="Times New Roman" w:hAnsi="Times New Roman" w:cs="Times New Roman"/>
                <w:color w:val="auto"/>
                <w:sz w:val="24"/>
              </w:rPr>
              <w:t>委托专业环评单位承担该项目的环境影响评价工作。环评单位在现场踏勘、调查的基础上，通过对有关资料的收集、整理和分析计算，编制完成了该项目的环境影响报告表，报请审批。</w:t>
            </w:r>
          </w:p>
          <w:p w14:paraId="4065D2BB">
            <w:pPr>
              <w:autoSpaceDE w:val="0"/>
              <w:autoSpaceDN w:val="0"/>
              <w:adjustRightInd w:val="0"/>
              <w:snapToGrid w:val="0"/>
              <w:spacing w:line="500" w:lineRule="exact"/>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2</w:t>
            </w:r>
            <w:r>
              <w:rPr>
                <w:rFonts w:hint="default" w:ascii="Times New Roman" w:hAnsi="Times New Roman" w:cs="Times New Roman"/>
                <w:b/>
                <w:bCs/>
                <w:color w:val="auto"/>
                <w:kern w:val="0"/>
                <w:sz w:val="24"/>
              </w:rPr>
              <w:t>、产品方案</w:t>
            </w:r>
          </w:p>
          <w:p w14:paraId="6679ADB5">
            <w:pPr>
              <w:autoSpaceDE w:val="0"/>
              <w:autoSpaceDN w:val="0"/>
              <w:adjustRightInd w:val="0"/>
              <w:snapToGrid w:val="0"/>
              <w:spacing w:line="500" w:lineRule="exact"/>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本项目建成后，产品方案见</w:t>
            </w:r>
            <w:r>
              <w:rPr>
                <w:rFonts w:hint="default" w:ascii="Times New Roman" w:hAnsi="Times New Roman" w:cs="Times New Roman"/>
                <w:color w:val="auto"/>
                <w:kern w:val="0"/>
                <w:sz w:val="24"/>
                <w:lang w:val="en-US" w:eastAsia="zh-CN"/>
              </w:rPr>
              <w:t>下</w:t>
            </w:r>
            <w:r>
              <w:rPr>
                <w:rFonts w:hint="default" w:ascii="Times New Roman" w:hAnsi="Times New Roman" w:cs="Times New Roman"/>
                <w:color w:val="auto"/>
                <w:kern w:val="0"/>
                <w:sz w:val="24"/>
              </w:rPr>
              <w:t>表。</w:t>
            </w:r>
          </w:p>
          <w:p w14:paraId="282F2A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p>
          <w:p w14:paraId="559CDD5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p>
          <w:p w14:paraId="379A2B3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p>
          <w:p w14:paraId="634913B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p>
          <w:p w14:paraId="6B1796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本项目产品方案一览表</w:t>
            </w:r>
          </w:p>
          <w:tbl>
            <w:tblPr>
              <w:tblStyle w:val="27"/>
              <w:tblW w:w="502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37"/>
              <w:gridCol w:w="1489"/>
              <w:gridCol w:w="3050"/>
              <w:gridCol w:w="1587"/>
              <w:gridCol w:w="1722"/>
            </w:tblGrid>
            <w:tr w14:paraId="778115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9" w:type="pct"/>
                  <w:noWrap w:val="0"/>
                  <w:vAlign w:val="center"/>
                </w:tcPr>
                <w:p w14:paraId="5F547963">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867" w:type="pct"/>
                  <w:noWrap w:val="0"/>
                  <w:vAlign w:val="center"/>
                </w:tcPr>
                <w:p w14:paraId="6FA1F5AE">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产品名称</w:t>
                  </w:r>
                </w:p>
              </w:tc>
              <w:tc>
                <w:tcPr>
                  <w:tcW w:w="1776" w:type="pct"/>
                  <w:noWrap w:val="0"/>
                  <w:vAlign w:val="center"/>
                </w:tcPr>
                <w:p w14:paraId="3D64D5D8">
                  <w:pPr>
                    <w:spacing w:line="240" w:lineRule="atLeast"/>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产品</w:t>
                  </w:r>
                  <w:r>
                    <w:rPr>
                      <w:rFonts w:hint="default" w:ascii="Times New Roman" w:hAnsi="Times New Roman" w:cs="Times New Roman"/>
                      <w:b/>
                      <w:bCs/>
                      <w:color w:val="auto"/>
                      <w:sz w:val="21"/>
                      <w:szCs w:val="21"/>
                      <w:lang w:val="en-US" w:eastAsia="zh-CN"/>
                    </w:rPr>
                    <w:t>照片</w:t>
                  </w:r>
                </w:p>
              </w:tc>
              <w:tc>
                <w:tcPr>
                  <w:tcW w:w="924" w:type="pct"/>
                  <w:noWrap w:val="0"/>
                  <w:vAlign w:val="center"/>
                </w:tcPr>
                <w:p w14:paraId="5753C554">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设计能力</w:t>
                  </w:r>
                </w:p>
              </w:tc>
              <w:tc>
                <w:tcPr>
                  <w:tcW w:w="1002" w:type="pct"/>
                  <w:noWrap w:val="0"/>
                  <w:vAlign w:val="center"/>
                </w:tcPr>
                <w:p w14:paraId="5A831C11">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年运行时数</w:t>
                  </w:r>
                </w:p>
              </w:tc>
            </w:tr>
            <w:tr w14:paraId="560F43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9" w:type="pct"/>
                  <w:noWrap w:val="0"/>
                  <w:vAlign w:val="center"/>
                </w:tcPr>
                <w:p w14:paraId="236B66D1">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583" w:type="dxa"/>
                  <w:noWrap w:val="0"/>
                  <w:vAlign w:val="center"/>
                </w:tcPr>
                <w:p w14:paraId="481DE2C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风机叶轮</w:t>
                  </w:r>
                </w:p>
              </w:tc>
              <w:tc>
                <w:tcPr>
                  <w:tcW w:w="3243" w:type="dxa"/>
                  <w:noWrap w:val="0"/>
                  <w:vAlign w:val="center"/>
                </w:tcPr>
                <w:p w14:paraId="64FFA7A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drawing>
                      <wp:inline distT="0" distB="0" distL="114300" distR="114300">
                        <wp:extent cx="1722755" cy="1675765"/>
                        <wp:effectExtent l="0" t="0" r="14605" b="6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4"/>
                                <a:stretch>
                                  <a:fillRect/>
                                </a:stretch>
                              </pic:blipFill>
                              <pic:spPr>
                                <a:xfrm>
                                  <a:off x="0" y="0"/>
                                  <a:ext cx="1722755" cy="1675765"/>
                                </a:xfrm>
                                <a:prstGeom prst="rect">
                                  <a:avLst/>
                                </a:prstGeom>
                                <a:noFill/>
                                <a:ln>
                                  <a:noFill/>
                                </a:ln>
                              </pic:spPr>
                            </pic:pic>
                          </a:graphicData>
                        </a:graphic>
                      </wp:inline>
                    </w:drawing>
                  </w:r>
                </w:p>
              </w:tc>
              <w:tc>
                <w:tcPr>
                  <w:tcW w:w="924" w:type="pct"/>
                  <w:noWrap w:val="0"/>
                  <w:vAlign w:val="center"/>
                </w:tcPr>
                <w:p w14:paraId="4C5D06BB">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万</w:t>
                  </w:r>
                  <w:r>
                    <w:rPr>
                      <w:rFonts w:hint="default" w:ascii="Times New Roman" w:hAnsi="Times New Roman" w:cs="Times New Roman"/>
                      <w:i w:val="0"/>
                      <w:iCs w:val="0"/>
                      <w:color w:val="auto"/>
                      <w:kern w:val="0"/>
                      <w:sz w:val="21"/>
                      <w:szCs w:val="21"/>
                      <w:u w:val="none"/>
                      <w:lang w:val="en-US" w:eastAsia="zh-CN" w:bidi="ar"/>
                    </w:rPr>
                    <w:t>只</w:t>
                  </w:r>
                  <w:r>
                    <w:rPr>
                      <w:rFonts w:hint="default" w:ascii="Times New Roman" w:hAnsi="Times New Roman" w:eastAsia="宋体" w:cs="Times New Roman"/>
                      <w:i w:val="0"/>
                      <w:iCs w:val="0"/>
                      <w:color w:val="auto"/>
                      <w:kern w:val="0"/>
                      <w:sz w:val="21"/>
                      <w:szCs w:val="21"/>
                      <w:u w:val="none"/>
                      <w:lang w:val="en-US" w:eastAsia="zh-CN" w:bidi="ar"/>
                    </w:rPr>
                    <w:t>/a</w:t>
                  </w:r>
                </w:p>
              </w:tc>
              <w:tc>
                <w:tcPr>
                  <w:tcW w:w="1002" w:type="pct"/>
                  <w:noWrap w:val="0"/>
                  <w:vAlign w:val="center"/>
                </w:tcPr>
                <w:p w14:paraId="7071200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2400</w:t>
                  </w:r>
                  <w:r>
                    <w:rPr>
                      <w:rFonts w:hint="default" w:ascii="Times New Roman" w:hAnsi="Times New Roman" w:eastAsia="仿宋" w:cs="Times New Roman"/>
                      <w:color w:val="auto"/>
                      <w:sz w:val="21"/>
                      <w:szCs w:val="21"/>
                    </w:rPr>
                    <w:t>h</w:t>
                  </w:r>
                </w:p>
              </w:tc>
            </w:tr>
            <w:tr w14:paraId="63A555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9" w:type="pct"/>
                  <w:noWrap w:val="0"/>
                  <w:vAlign w:val="center"/>
                </w:tcPr>
                <w:p w14:paraId="5F11AF0E">
                  <w:pPr>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583" w:type="dxa"/>
                  <w:noWrap w:val="0"/>
                  <w:vAlign w:val="center"/>
                </w:tcPr>
                <w:p w14:paraId="4CA9C990">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风机外壳</w:t>
                  </w:r>
                </w:p>
              </w:tc>
              <w:tc>
                <w:tcPr>
                  <w:tcW w:w="3243" w:type="dxa"/>
                  <w:noWrap w:val="0"/>
                  <w:vAlign w:val="center"/>
                </w:tcPr>
                <w:p w14:paraId="0D3B4CA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drawing>
                      <wp:inline distT="0" distB="0" distL="114300" distR="114300">
                        <wp:extent cx="1690370" cy="1431290"/>
                        <wp:effectExtent l="0" t="0" r="1270"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tretch>
                                  <a:fillRect/>
                                </a:stretch>
                              </pic:blipFill>
                              <pic:spPr>
                                <a:xfrm>
                                  <a:off x="0" y="0"/>
                                  <a:ext cx="1690370" cy="1431290"/>
                                </a:xfrm>
                                <a:prstGeom prst="rect">
                                  <a:avLst/>
                                </a:prstGeom>
                                <a:noFill/>
                                <a:ln>
                                  <a:noFill/>
                                </a:ln>
                              </pic:spPr>
                            </pic:pic>
                          </a:graphicData>
                        </a:graphic>
                      </wp:inline>
                    </w:drawing>
                  </w:r>
                </w:p>
              </w:tc>
              <w:tc>
                <w:tcPr>
                  <w:tcW w:w="924" w:type="pct"/>
                  <w:noWrap w:val="0"/>
                  <w:vAlign w:val="center"/>
                </w:tcPr>
                <w:p w14:paraId="4B1F831D">
                  <w:pPr>
                    <w:spacing w:line="300" w:lineRule="exact"/>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1500</w:t>
                  </w:r>
                  <w:r>
                    <w:rPr>
                      <w:rFonts w:hint="default" w:ascii="Times New Roman" w:hAnsi="Times New Roman" w:eastAsia="宋体" w:cs="Times New Roman"/>
                      <w:i w:val="0"/>
                      <w:iCs w:val="0"/>
                      <w:color w:val="auto"/>
                      <w:kern w:val="0"/>
                      <w:sz w:val="21"/>
                      <w:szCs w:val="21"/>
                      <w:u w:val="none"/>
                      <w:lang w:val="en-US" w:eastAsia="zh-CN" w:bidi="ar"/>
                    </w:rPr>
                    <w:t>套/a</w:t>
                  </w:r>
                </w:p>
              </w:tc>
              <w:tc>
                <w:tcPr>
                  <w:tcW w:w="1002" w:type="pct"/>
                  <w:noWrap w:val="0"/>
                  <w:vAlign w:val="center"/>
                </w:tcPr>
                <w:p w14:paraId="2AE6DF39">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2400</w:t>
                  </w:r>
                  <w:r>
                    <w:rPr>
                      <w:rFonts w:hint="default" w:ascii="Times New Roman" w:hAnsi="Times New Roman" w:eastAsia="仿宋" w:cs="Times New Roman"/>
                      <w:color w:val="auto"/>
                      <w:sz w:val="21"/>
                      <w:szCs w:val="21"/>
                    </w:rPr>
                    <w:t>h</w:t>
                  </w:r>
                </w:p>
              </w:tc>
            </w:tr>
            <w:tr w14:paraId="62543A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9" w:type="pct"/>
                  <w:noWrap w:val="0"/>
                  <w:vAlign w:val="center"/>
                </w:tcPr>
                <w:p w14:paraId="33455142">
                  <w:pPr>
                    <w:spacing w:line="240" w:lineRule="atLeas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583" w:type="dxa"/>
                  <w:noWrap w:val="0"/>
                  <w:vAlign w:val="center"/>
                </w:tcPr>
                <w:p w14:paraId="266F3E34">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风机</w:t>
                  </w:r>
                </w:p>
              </w:tc>
              <w:tc>
                <w:tcPr>
                  <w:tcW w:w="3243" w:type="dxa"/>
                  <w:noWrap w:val="0"/>
                  <w:vAlign w:val="center"/>
                </w:tcPr>
                <w:p w14:paraId="71853D9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drawing>
                      <wp:inline distT="0" distB="0" distL="114300" distR="114300">
                        <wp:extent cx="1721485" cy="1804670"/>
                        <wp:effectExtent l="0" t="0" r="635" b="889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6"/>
                                <a:stretch>
                                  <a:fillRect/>
                                </a:stretch>
                              </pic:blipFill>
                              <pic:spPr>
                                <a:xfrm>
                                  <a:off x="0" y="0"/>
                                  <a:ext cx="1721485" cy="1804670"/>
                                </a:xfrm>
                                <a:prstGeom prst="rect">
                                  <a:avLst/>
                                </a:prstGeom>
                                <a:noFill/>
                                <a:ln>
                                  <a:noFill/>
                                </a:ln>
                              </pic:spPr>
                            </pic:pic>
                          </a:graphicData>
                        </a:graphic>
                      </wp:inline>
                    </w:drawing>
                  </w:r>
                </w:p>
              </w:tc>
              <w:tc>
                <w:tcPr>
                  <w:tcW w:w="924" w:type="pct"/>
                  <w:noWrap w:val="0"/>
                  <w:vAlign w:val="center"/>
                </w:tcPr>
                <w:p w14:paraId="47C49B12">
                  <w:pPr>
                    <w:spacing w:line="300" w:lineRule="exact"/>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1000台</w:t>
                  </w:r>
                  <w:r>
                    <w:rPr>
                      <w:rFonts w:hint="default" w:ascii="Times New Roman" w:hAnsi="Times New Roman" w:eastAsia="宋体" w:cs="Times New Roman"/>
                      <w:i w:val="0"/>
                      <w:iCs w:val="0"/>
                      <w:color w:val="auto"/>
                      <w:kern w:val="0"/>
                      <w:sz w:val="21"/>
                      <w:szCs w:val="21"/>
                      <w:u w:val="none"/>
                      <w:lang w:val="en-US" w:eastAsia="zh-CN" w:bidi="ar"/>
                    </w:rPr>
                    <w:t>/a</w:t>
                  </w:r>
                </w:p>
              </w:tc>
              <w:tc>
                <w:tcPr>
                  <w:tcW w:w="1002" w:type="pct"/>
                  <w:noWrap w:val="0"/>
                  <w:vAlign w:val="center"/>
                </w:tcPr>
                <w:p w14:paraId="1FB76F5B">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2400</w:t>
                  </w:r>
                  <w:r>
                    <w:rPr>
                      <w:rFonts w:hint="default" w:ascii="Times New Roman" w:hAnsi="Times New Roman" w:eastAsia="仿宋" w:cs="Times New Roman"/>
                      <w:color w:val="auto"/>
                      <w:sz w:val="21"/>
                      <w:szCs w:val="21"/>
                    </w:rPr>
                    <w:t>h</w:t>
                  </w:r>
                </w:p>
              </w:tc>
            </w:tr>
          </w:tbl>
          <w:p w14:paraId="3E9AE3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color w:val="auto"/>
                <w:sz w:val="21"/>
                <w:szCs w:val="21"/>
                <w:lang w:val="en-US" w:eastAsia="zh-CN"/>
              </w:rPr>
            </w:pPr>
            <w:r>
              <w:rPr>
                <w:rFonts w:hint="eastAsia" w:cs="Times New Roman"/>
                <w:b w:val="0"/>
                <w:bCs/>
                <w:color w:val="auto"/>
                <w:sz w:val="21"/>
                <w:szCs w:val="21"/>
                <w:lang w:val="en-US" w:eastAsia="zh-CN"/>
              </w:rPr>
              <w:t>注：项目生产的</w:t>
            </w:r>
            <w:r>
              <w:rPr>
                <w:rFonts w:hint="default" w:ascii="Times New Roman" w:hAnsi="Times New Roman" w:cs="Times New Roman"/>
                <w:color w:val="auto"/>
                <w:sz w:val="21"/>
                <w:szCs w:val="21"/>
                <w:lang w:eastAsia="zh-CN"/>
              </w:rPr>
              <w:t>1万只风机叶轮、1500套风机外壳</w:t>
            </w:r>
            <w:r>
              <w:rPr>
                <w:rFonts w:hint="eastAsia" w:cs="Times New Roman"/>
                <w:color w:val="auto"/>
                <w:sz w:val="21"/>
                <w:szCs w:val="21"/>
                <w:highlight w:val="none"/>
                <w:lang w:val="en-US" w:eastAsia="zh-CN"/>
              </w:rPr>
              <w:t>主要作为</w:t>
            </w:r>
            <w:r>
              <w:rPr>
                <w:rFonts w:hint="default" w:ascii="Times New Roman" w:hAnsi="Times New Roman" w:cs="Times New Roman"/>
                <w:color w:val="auto"/>
                <w:sz w:val="21"/>
                <w:szCs w:val="21"/>
                <w:lang w:eastAsia="zh-CN"/>
              </w:rPr>
              <w:t>风机</w:t>
            </w:r>
            <w:r>
              <w:rPr>
                <w:rFonts w:hint="eastAsia" w:cs="Times New Roman"/>
                <w:color w:val="auto"/>
                <w:sz w:val="21"/>
                <w:szCs w:val="21"/>
                <w:highlight w:val="none"/>
                <w:lang w:val="en-US" w:eastAsia="zh-CN"/>
              </w:rPr>
              <w:t>组装配件，</w:t>
            </w:r>
            <w:r>
              <w:rPr>
                <w:rFonts w:hint="default" w:ascii="Times New Roman" w:hAnsi="Times New Roman" w:cs="Times New Roman"/>
                <w:color w:val="auto"/>
                <w:sz w:val="21"/>
                <w:szCs w:val="21"/>
                <w:lang w:eastAsia="zh-CN"/>
              </w:rPr>
              <w:t>风机叶轮</w:t>
            </w:r>
            <w:r>
              <w:rPr>
                <w:rFonts w:hint="eastAsia" w:cs="Times New Roman"/>
                <w:color w:val="auto"/>
                <w:sz w:val="21"/>
                <w:szCs w:val="21"/>
                <w:highlight w:val="none"/>
                <w:lang w:val="en-US" w:eastAsia="zh-CN"/>
              </w:rPr>
              <w:t>外售量约9000</w:t>
            </w:r>
            <w:r>
              <w:rPr>
                <w:rFonts w:hint="default" w:ascii="Times New Roman" w:hAnsi="Times New Roman" w:cs="Times New Roman"/>
                <w:color w:val="auto"/>
                <w:sz w:val="21"/>
                <w:szCs w:val="21"/>
                <w:lang w:eastAsia="zh-CN"/>
              </w:rPr>
              <w:t>只</w:t>
            </w:r>
            <w:r>
              <w:rPr>
                <w:rFonts w:hint="eastAsia" w:cs="Times New Roman"/>
                <w:color w:val="auto"/>
                <w:sz w:val="21"/>
                <w:szCs w:val="21"/>
                <w:highlight w:val="none"/>
                <w:lang w:val="en-US" w:eastAsia="zh-CN"/>
              </w:rPr>
              <w:t>/a，</w:t>
            </w:r>
            <w:r>
              <w:rPr>
                <w:rFonts w:hint="default" w:ascii="Times New Roman" w:hAnsi="Times New Roman" w:cs="Times New Roman"/>
                <w:color w:val="auto"/>
                <w:sz w:val="21"/>
                <w:szCs w:val="21"/>
                <w:lang w:eastAsia="zh-CN"/>
              </w:rPr>
              <w:t>风机外壳</w:t>
            </w:r>
            <w:r>
              <w:rPr>
                <w:rFonts w:hint="eastAsia" w:cs="Times New Roman"/>
                <w:color w:val="auto"/>
                <w:sz w:val="21"/>
                <w:szCs w:val="21"/>
                <w:highlight w:val="none"/>
                <w:lang w:val="en-US" w:eastAsia="zh-CN"/>
              </w:rPr>
              <w:t>外售量约</w:t>
            </w:r>
            <w:r>
              <w:rPr>
                <w:rFonts w:hint="default" w:ascii="Times New Roman" w:hAnsi="Times New Roman" w:cs="Times New Roman"/>
                <w:color w:val="auto"/>
                <w:sz w:val="21"/>
                <w:szCs w:val="21"/>
                <w:lang w:eastAsia="zh-CN"/>
              </w:rPr>
              <w:t>500套</w:t>
            </w:r>
            <w:r>
              <w:rPr>
                <w:rFonts w:hint="eastAsia" w:cs="Times New Roman"/>
                <w:color w:val="auto"/>
                <w:sz w:val="21"/>
                <w:szCs w:val="21"/>
                <w:highlight w:val="none"/>
                <w:lang w:val="en-US" w:eastAsia="zh-CN"/>
              </w:rPr>
              <w:t>/a。</w:t>
            </w:r>
          </w:p>
          <w:p w14:paraId="4031AF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drawing>
                <wp:inline distT="0" distB="0" distL="114300" distR="114300">
                  <wp:extent cx="5193665" cy="2555875"/>
                  <wp:effectExtent l="0" t="0" r="3175" b="44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5193665" cy="2555875"/>
                          </a:xfrm>
                          <a:prstGeom prst="rect">
                            <a:avLst/>
                          </a:prstGeom>
                          <a:noFill/>
                          <a:ln>
                            <a:noFill/>
                          </a:ln>
                        </pic:spPr>
                      </pic:pic>
                    </a:graphicData>
                  </a:graphic>
                </wp:inline>
              </w:drawing>
            </w:r>
          </w:p>
          <w:p w14:paraId="64496F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4"/>
                <w:lang w:val="en-US" w:eastAsia="zh-CN"/>
              </w:rPr>
            </w:pPr>
            <w:r>
              <w:rPr>
                <w:rFonts w:hint="eastAsia"/>
                <w:b/>
                <w:bCs/>
                <w:color w:val="auto"/>
                <w:lang w:eastAsia="zh-CN"/>
              </w:rPr>
              <w:t>附图</w:t>
            </w:r>
            <w:r>
              <w:rPr>
                <w:rFonts w:hint="eastAsia"/>
                <w:b/>
                <w:bCs/>
                <w:color w:val="auto"/>
                <w:lang w:val="en-US" w:eastAsia="zh-CN"/>
              </w:rPr>
              <w:t>2-1 产品流向示意图</w:t>
            </w:r>
          </w:p>
          <w:p w14:paraId="78B14331">
            <w:pPr>
              <w:adjustRightInd w:val="0"/>
              <w:snapToGrid w:val="0"/>
              <w:spacing w:before="48" w:beforeLines="20" w:line="500" w:lineRule="exact"/>
              <w:rPr>
                <w:rFonts w:hint="default" w:ascii="Times New Roman" w:hAnsi="Times New Roman" w:cs="Times New Roman"/>
                <w:b/>
                <w:color w:val="auto"/>
                <w:sz w:val="24"/>
                <w:lang w:val="en-US" w:eastAsia="zh-CN"/>
              </w:rPr>
            </w:pPr>
          </w:p>
          <w:p w14:paraId="129CF695">
            <w:pPr>
              <w:adjustRightInd w:val="0"/>
              <w:snapToGrid w:val="0"/>
              <w:spacing w:before="48" w:beforeLines="20" w:line="500" w:lineRule="exact"/>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3</w:t>
            </w:r>
            <w:r>
              <w:rPr>
                <w:rFonts w:hint="default" w:ascii="Times New Roman" w:hAnsi="Times New Roman" w:cs="Times New Roman"/>
                <w:b/>
                <w:color w:val="auto"/>
                <w:sz w:val="24"/>
              </w:rPr>
              <w:t>、原辅材料</w:t>
            </w:r>
          </w:p>
          <w:p w14:paraId="27EF279F">
            <w:pPr>
              <w:adjustRightInd w:val="0"/>
              <w:snapToGrid w:val="0"/>
              <w:spacing w:line="500" w:lineRule="exact"/>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本项目原辅料消耗情况</w:t>
            </w:r>
            <w:r>
              <w:rPr>
                <w:rFonts w:hint="default" w:ascii="Times New Roman" w:hAnsi="Times New Roman" w:cs="Times New Roman"/>
                <w:b/>
                <w:bCs/>
                <w:color w:val="auto"/>
                <w:sz w:val="21"/>
                <w:szCs w:val="21"/>
                <w:highlight w:val="none"/>
                <w:lang w:eastAsia="zh-CN"/>
              </w:rPr>
              <w:t>一览表</w:t>
            </w:r>
          </w:p>
          <w:tbl>
            <w:tblPr>
              <w:tblStyle w:val="2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455"/>
              <w:gridCol w:w="1112"/>
              <w:gridCol w:w="2285"/>
              <w:gridCol w:w="946"/>
              <w:gridCol w:w="956"/>
              <w:gridCol w:w="1157"/>
              <w:gridCol w:w="1578"/>
            </w:tblGrid>
            <w:tr w14:paraId="4F20FF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vAlign w:val="center"/>
                </w:tcPr>
                <w:p w14:paraId="3D471E5A">
                  <w:pPr>
                    <w:adjustRightInd w:val="0"/>
                    <w:snapToGrid w:val="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序号</w:t>
                  </w:r>
                </w:p>
              </w:tc>
              <w:tc>
                <w:tcPr>
                  <w:tcW w:w="1112" w:type="dxa"/>
                  <w:vAlign w:val="center"/>
                </w:tcPr>
                <w:p w14:paraId="794B881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285" w:type="dxa"/>
                  <w:vAlign w:val="center"/>
                </w:tcPr>
                <w:p w14:paraId="0877C7B7">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Cs w:val="21"/>
                    </w:rPr>
                    <w:t>规格、成分</w:t>
                  </w:r>
                </w:p>
              </w:tc>
              <w:tc>
                <w:tcPr>
                  <w:tcW w:w="946" w:type="dxa"/>
                  <w:tcBorders>
                    <w:bottom w:val="single" w:color="auto" w:sz="4" w:space="0"/>
                  </w:tcBorders>
                  <w:vAlign w:val="center"/>
                </w:tcPr>
                <w:p w14:paraId="5E219BF5">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消耗量（</w:t>
                  </w:r>
                  <w:r>
                    <w:rPr>
                      <w:rFonts w:hint="default" w:ascii="Times New Roman" w:hAnsi="Times New Roman" w:cs="Times New Roman"/>
                      <w:b/>
                      <w:bCs/>
                      <w:color w:val="auto"/>
                      <w:sz w:val="21"/>
                      <w:szCs w:val="21"/>
                      <w:lang w:val="en-US" w:eastAsia="zh-CN"/>
                    </w:rPr>
                    <w:t>t</w:t>
                  </w:r>
                  <w:r>
                    <w:rPr>
                      <w:rFonts w:hint="default" w:ascii="Times New Roman" w:hAnsi="Times New Roman" w:eastAsia="宋体" w:cs="Times New Roman"/>
                      <w:b/>
                      <w:bCs/>
                      <w:color w:val="auto"/>
                      <w:sz w:val="21"/>
                      <w:szCs w:val="21"/>
                    </w:rPr>
                    <w:t>/a）</w:t>
                  </w:r>
                </w:p>
              </w:tc>
              <w:tc>
                <w:tcPr>
                  <w:tcW w:w="956" w:type="dxa"/>
                  <w:tcBorders>
                    <w:bottom w:val="single" w:color="auto" w:sz="4" w:space="0"/>
                  </w:tcBorders>
                  <w:vAlign w:val="center"/>
                </w:tcPr>
                <w:p w14:paraId="1A1EE4A0">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包装规格</w:t>
                  </w:r>
                </w:p>
              </w:tc>
              <w:tc>
                <w:tcPr>
                  <w:tcW w:w="0" w:type="auto"/>
                  <w:vAlign w:val="center"/>
                </w:tcPr>
                <w:p w14:paraId="0512DF7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Cs w:val="21"/>
                    </w:rPr>
                    <w:t>最</w:t>
                  </w:r>
                  <w:r>
                    <w:rPr>
                      <w:rFonts w:hint="default" w:ascii="Times New Roman" w:hAnsi="Times New Roman" w:eastAsia="宋体" w:cs="Times New Roman"/>
                      <w:b/>
                      <w:bCs/>
                      <w:color w:val="auto"/>
                      <w:szCs w:val="21"/>
                    </w:rPr>
                    <w:t>大储存量</w:t>
                  </w:r>
                </w:p>
              </w:tc>
              <w:tc>
                <w:tcPr>
                  <w:tcW w:w="0" w:type="auto"/>
                  <w:vAlign w:val="center"/>
                </w:tcPr>
                <w:p w14:paraId="7B1E0AA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Cs w:val="21"/>
                    </w:rPr>
                    <w:t>来源及运输方式</w:t>
                  </w:r>
                </w:p>
              </w:tc>
            </w:tr>
            <w:tr w14:paraId="60D7DF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2385E011">
                  <w:pPr>
                    <w:pStyle w:val="22"/>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1112" w:type="dxa"/>
                  <w:vAlign w:val="center"/>
                </w:tcPr>
                <w:p w14:paraId="1A40C845">
                  <w:pPr>
                    <w:pStyle w:val="22"/>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塑料粒子</w:t>
                  </w:r>
                </w:p>
              </w:tc>
              <w:tc>
                <w:tcPr>
                  <w:tcW w:w="2285" w:type="dxa"/>
                  <w:tcBorders>
                    <w:top w:val="single" w:color="auto" w:sz="4" w:space="0"/>
                  </w:tcBorders>
                  <w:vAlign w:val="center"/>
                </w:tcPr>
                <w:p w14:paraId="78E7A07A">
                  <w:pPr>
                    <w:pStyle w:val="22"/>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PP</w:t>
                  </w:r>
                </w:p>
              </w:tc>
              <w:tc>
                <w:tcPr>
                  <w:tcW w:w="0" w:type="auto"/>
                  <w:tcBorders>
                    <w:top w:val="single" w:color="auto" w:sz="4" w:space="0"/>
                  </w:tcBorders>
                  <w:vAlign w:val="center"/>
                </w:tcPr>
                <w:p w14:paraId="68FCEC49">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130</w:t>
                  </w:r>
                </w:p>
              </w:tc>
              <w:tc>
                <w:tcPr>
                  <w:tcW w:w="0" w:type="auto"/>
                  <w:tcBorders>
                    <w:top w:val="single" w:color="auto" w:sz="4" w:space="0"/>
                  </w:tcBorders>
                  <w:vAlign w:val="center"/>
                </w:tcPr>
                <w:p w14:paraId="32FAD7FD">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25kg/袋</w:t>
                  </w:r>
                </w:p>
              </w:tc>
              <w:tc>
                <w:tcPr>
                  <w:tcW w:w="0" w:type="auto"/>
                  <w:tcBorders>
                    <w:top w:val="single" w:color="auto" w:sz="4" w:space="0"/>
                  </w:tcBorders>
                  <w:vAlign w:val="center"/>
                </w:tcPr>
                <w:p w14:paraId="3DF7E126">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10t</w:t>
                  </w:r>
                </w:p>
              </w:tc>
              <w:tc>
                <w:tcPr>
                  <w:tcW w:w="0" w:type="auto"/>
                  <w:tcBorders>
                    <w:top w:val="single" w:color="auto" w:sz="4" w:space="0"/>
                  </w:tcBorders>
                  <w:vAlign w:val="center"/>
                </w:tcPr>
                <w:p w14:paraId="60A776E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国内汽运</w:t>
                  </w:r>
                </w:p>
              </w:tc>
            </w:tr>
            <w:tr w14:paraId="5710C0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204A12DA">
                  <w:pPr>
                    <w:pStyle w:val="22"/>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w:t>
                  </w:r>
                </w:p>
              </w:tc>
              <w:tc>
                <w:tcPr>
                  <w:tcW w:w="1112" w:type="dxa"/>
                  <w:vAlign w:val="center"/>
                </w:tcPr>
                <w:p w14:paraId="58BAE3F9">
                  <w:pPr>
                    <w:pStyle w:val="22"/>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塑料粒子</w:t>
                  </w:r>
                </w:p>
              </w:tc>
              <w:tc>
                <w:tcPr>
                  <w:tcW w:w="2285" w:type="dxa"/>
                  <w:tcBorders>
                    <w:top w:val="single" w:color="auto" w:sz="4" w:space="0"/>
                  </w:tcBorders>
                  <w:vAlign w:val="center"/>
                </w:tcPr>
                <w:p w14:paraId="57F370EF">
                  <w:pPr>
                    <w:pStyle w:val="22"/>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PE</w:t>
                  </w:r>
                </w:p>
              </w:tc>
              <w:tc>
                <w:tcPr>
                  <w:tcW w:w="0" w:type="auto"/>
                  <w:tcBorders>
                    <w:top w:val="single" w:color="auto" w:sz="4" w:space="0"/>
                  </w:tcBorders>
                  <w:vAlign w:val="center"/>
                </w:tcPr>
                <w:p w14:paraId="483C6C16">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0" w:type="auto"/>
                  <w:tcBorders>
                    <w:top w:val="single" w:color="auto" w:sz="4" w:space="0"/>
                  </w:tcBorders>
                  <w:vAlign w:val="center"/>
                </w:tcPr>
                <w:p w14:paraId="21218E15">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25kg/袋</w:t>
                  </w:r>
                </w:p>
              </w:tc>
              <w:tc>
                <w:tcPr>
                  <w:tcW w:w="0" w:type="auto"/>
                  <w:tcBorders>
                    <w:top w:val="single" w:color="auto" w:sz="4" w:space="0"/>
                  </w:tcBorders>
                  <w:vAlign w:val="center"/>
                </w:tcPr>
                <w:p w14:paraId="21885DFB">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4t</w:t>
                  </w:r>
                </w:p>
              </w:tc>
              <w:tc>
                <w:tcPr>
                  <w:tcW w:w="0" w:type="auto"/>
                  <w:tcBorders>
                    <w:top w:val="single" w:color="auto" w:sz="4" w:space="0"/>
                  </w:tcBorders>
                  <w:vAlign w:val="center"/>
                </w:tcPr>
                <w:p w14:paraId="6C25C12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国内汽运</w:t>
                  </w:r>
                </w:p>
              </w:tc>
            </w:tr>
            <w:tr w14:paraId="7B248D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5A620CA3">
                  <w:pPr>
                    <w:pStyle w:val="22"/>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w:t>
                  </w:r>
                </w:p>
              </w:tc>
              <w:tc>
                <w:tcPr>
                  <w:tcW w:w="1112" w:type="dxa"/>
                  <w:vAlign w:val="center"/>
                </w:tcPr>
                <w:p w14:paraId="0AE46C53">
                  <w:pPr>
                    <w:pStyle w:val="22"/>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色母粒</w:t>
                  </w:r>
                </w:p>
              </w:tc>
              <w:tc>
                <w:tcPr>
                  <w:tcW w:w="2285" w:type="dxa"/>
                  <w:tcBorders>
                    <w:top w:val="single" w:color="auto" w:sz="4" w:space="0"/>
                  </w:tcBorders>
                  <w:vAlign w:val="center"/>
                </w:tcPr>
                <w:p w14:paraId="640AEADF">
                  <w:pPr>
                    <w:pStyle w:val="22"/>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0" w:type="auto"/>
                  <w:tcBorders>
                    <w:top w:val="single" w:color="auto" w:sz="4" w:space="0"/>
                  </w:tcBorders>
                  <w:vAlign w:val="center"/>
                </w:tcPr>
                <w:p w14:paraId="377FFA41">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0" w:type="auto"/>
                  <w:tcBorders>
                    <w:top w:val="single" w:color="auto" w:sz="4" w:space="0"/>
                  </w:tcBorders>
                  <w:vAlign w:val="center"/>
                </w:tcPr>
                <w:p w14:paraId="44709268">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25kg/袋</w:t>
                  </w:r>
                </w:p>
              </w:tc>
              <w:tc>
                <w:tcPr>
                  <w:tcW w:w="0" w:type="auto"/>
                  <w:tcBorders>
                    <w:top w:val="single" w:color="auto" w:sz="4" w:space="0"/>
                  </w:tcBorders>
                  <w:vAlign w:val="center"/>
                </w:tcPr>
                <w:p w14:paraId="6D6C7732">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1t</w:t>
                  </w:r>
                </w:p>
              </w:tc>
              <w:tc>
                <w:tcPr>
                  <w:tcW w:w="0" w:type="auto"/>
                  <w:tcBorders>
                    <w:top w:val="single" w:color="auto" w:sz="4" w:space="0"/>
                  </w:tcBorders>
                  <w:vAlign w:val="center"/>
                </w:tcPr>
                <w:p w14:paraId="6C60841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国内汽运</w:t>
                  </w:r>
                </w:p>
              </w:tc>
            </w:tr>
            <w:tr w14:paraId="0D7071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30A73FD2">
                  <w:pPr>
                    <w:pStyle w:val="22"/>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w:t>
                  </w:r>
                </w:p>
              </w:tc>
              <w:tc>
                <w:tcPr>
                  <w:tcW w:w="1112" w:type="dxa"/>
                  <w:vAlign w:val="center"/>
                </w:tcPr>
                <w:p w14:paraId="2F176AD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i w:val="0"/>
                      <w:iCs w:val="0"/>
                      <w:color w:val="auto"/>
                      <w:kern w:val="0"/>
                      <w:sz w:val="21"/>
                      <w:szCs w:val="21"/>
                      <w:u w:val="none"/>
                      <w:lang w:val="en-US" w:eastAsia="zh-CN" w:bidi="ar"/>
                    </w:rPr>
                    <w:t>风机配件</w:t>
                  </w:r>
                </w:p>
              </w:tc>
              <w:tc>
                <w:tcPr>
                  <w:tcW w:w="2285" w:type="dxa"/>
                  <w:tcBorders>
                    <w:top w:val="single" w:color="auto" w:sz="4" w:space="0"/>
                    <w:bottom w:val="single" w:color="auto" w:sz="4" w:space="0"/>
                  </w:tcBorders>
                  <w:vAlign w:val="center"/>
                </w:tcPr>
                <w:p w14:paraId="02973D9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电机、</w:t>
                  </w:r>
                  <w:r>
                    <w:rPr>
                      <w:rFonts w:hint="default" w:ascii="Times New Roman" w:hAnsi="Times New Roman" w:cs="Times New Roman"/>
                      <w:color w:val="auto"/>
                      <w:kern w:val="2"/>
                      <w:sz w:val="21"/>
                      <w:szCs w:val="21"/>
                      <w:highlight w:val="none"/>
                      <w:lang w:val="en-US" w:eastAsia="zh-CN" w:bidi="ar-SA"/>
                    </w:rPr>
                    <w:t>皮带轮、背板</w:t>
                  </w:r>
                  <w:r>
                    <w:rPr>
                      <w:rFonts w:hint="default" w:ascii="Times New Roman" w:hAnsi="Times New Roman" w:cs="Times New Roman"/>
                      <w:color w:val="auto"/>
                      <w:kern w:val="0"/>
                      <w:sz w:val="21"/>
                      <w:szCs w:val="21"/>
                      <w:highlight w:val="none"/>
                      <w:lang w:val="en-US" w:eastAsia="zh-CN" w:bidi="en-US"/>
                    </w:rPr>
                    <w:t>等</w:t>
                  </w:r>
                </w:p>
              </w:tc>
              <w:tc>
                <w:tcPr>
                  <w:tcW w:w="0" w:type="auto"/>
                  <w:tcBorders>
                    <w:top w:val="single" w:color="auto" w:sz="4" w:space="0"/>
                    <w:bottom w:val="single" w:color="auto" w:sz="4" w:space="0"/>
                  </w:tcBorders>
                  <w:vAlign w:val="center"/>
                </w:tcPr>
                <w:p w14:paraId="56E1D7AE">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1000套</w:t>
                  </w:r>
                </w:p>
              </w:tc>
              <w:tc>
                <w:tcPr>
                  <w:tcW w:w="0" w:type="auto"/>
                  <w:tcBorders>
                    <w:top w:val="single" w:color="auto" w:sz="4" w:space="0"/>
                    <w:bottom w:val="single" w:color="auto" w:sz="4" w:space="0"/>
                  </w:tcBorders>
                  <w:vAlign w:val="center"/>
                </w:tcPr>
                <w:p w14:paraId="67AB4915">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箱装</w:t>
                  </w:r>
                </w:p>
              </w:tc>
              <w:tc>
                <w:tcPr>
                  <w:tcW w:w="0" w:type="auto"/>
                  <w:tcBorders>
                    <w:top w:val="single" w:color="auto" w:sz="4" w:space="0"/>
                    <w:bottom w:val="single" w:color="auto" w:sz="4" w:space="0"/>
                  </w:tcBorders>
                  <w:vAlign w:val="center"/>
                </w:tcPr>
                <w:p w14:paraId="3A956C4D">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100套</w:t>
                  </w:r>
                </w:p>
              </w:tc>
              <w:tc>
                <w:tcPr>
                  <w:tcW w:w="0" w:type="auto"/>
                  <w:tcBorders>
                    <w:top w:val="single" w:color="auto" w:sz="4" w:space="0"/>
                    <w:bottom w:val="single" w:color="auto" w:sz="4" w:space="0"/>
                  </w:tcBorders>
                  <w:vAlign w:val="center"/>
                </w:tcPr>
                <w:p w14:paraId="73BDF3E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国内汽运</w:t>
                  </w:r>
                </w:p>
              </w:tc>
            </w:tr>
            <w:tr w14:paraId="70D64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73C2D727">
                  <w:pPr>
                    <w:pStyle w:val="22"/>
                    <w:keepNext w:val="0"/>
                    <w:keepLines w:val="0"/>
                    <w:widowControl/>
                    <w:suppressLineNumbers w:val="0"/>
                    <w:ind w:left="0" w:leftChars="0" w:right="0" w:right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w:t>
                  </w:r>
                </w:p>
              </w:tc>
              <w:tc>
                <w:tcPr>
                  <w:tcW w:w="1112" w:type="dxa"/>
                  <w:vAlign w:val="center"/>
                </w:tcPr>
                <w:p w14:paraId="1C464622">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塑料平衡块</w:t>
                  </w:r>
                </w:p>
              </w:tc>
              <w:tc>
                <w:tcPr>
                  <w:tcW w:w="2285" w:type="dxa"/>
                  <w:tcBorders>
                    <w:top w:val="single" w:color="auto" w:sz="4" w:space="0"/>
                    <w:bottom w:val="single" w:color="auto" w:sz="4" w:space="0"/>
                  </w:tcBorders>
                  <w:vAlign w:val="center"/>
                </w:tcPr>
                <w:p w14:paraId="5DC80C8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en-US"/>
                    </w:rPr>
                  </w:pPr>
                  <w:r>
                    <w:rPr>
                      <w:rFonts w:hint="default" w:ascii="Times New Roman" w:hAnsi="Times New Roman" w:cs="Times New Roman"/>
                      <w:color w:val="auto"/>
                      <w:kern w:val="2"/>
                      <w:sz w:val="21"/>
                      <w:szCs w:val="21"/>
                      <w:lang w:val="en-US" w:eastAsia="zh-CN" w:bidi="ar-SA"/>
                    </w:rPr>
                    <w:t>PP</w:t>
                  </w:r>
                </w:p>
              </w:tc>
              <w:tc>
                <w:tcPr>
                  <w:tcW w:w="0" w:type="auto"/>
                  <w:tcBorders>
                    <w:top w:val="single" w:color="auto" w:sz="4" w:space="0"/>
                    <w:bottom w:val="single" w:color="auto" w:sz="4" w:space="0"/>
                  </w:tcBorders>
                  <w:vAlign w:val="center"/>
                </w:tcPr>
                <w:p w14:paraId="41463F71">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w:t>
                  </w:r>
                </w:p>
              </w:tc>
              <w:tc>
                <w:tcPr>
                  <w:tcW w:w="0" w:type="auto"/>
                  <w:tcBorders>
                    <w:top w:val="single" w:color="auto" w:sz="4" w:space="0"/>
                    <w:bottom w:val="single" w:color="auto" w:sz="4" w:space="0"/>
                  </w:tcBorders>
                  <w:vAlign w:val="center"/>
                </w:tcPr>
                <w:p w14:paraId="5AA29E0E">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箱装</w:t>
                  </w:r>
                </w:p>
              </w:tc>
              <w:tc>
                <w:tcPr>
                  <w:tcW w:w="0" w:type="auto"/>
                  <w:tcBorders>
                    <w:top w:val="single" w:color="auto" w:sz="4" w:space="0"/>
                    <w:bottom w:val="single" w:color="auto" w:sz="4" w:space="0"/>
                  </w:tcBorders>
                  <w:vAlign w:val="center"/>
                </w:tcPr>
                <w:p w14:paraId="18C8D7BA">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0.1t</w:t>
                  </w:r>
                </w:p>
              </w:tc>
              <w:tc>
                <w:tcPr>
                  <w:tcW w:w="0" w:type="auto"/>
                  <w:tcBorders>
                    <w:top w:val="single" w:color="auto" w:sz="4" w:space="0"/>
                    <w:bottom w:val="single" w:color="auto" w:sz="4" w:space="0"/>
                  </w:tcBorders>
                  <w:vAlign w:val="center"/>
                </w:tcPr>
                <w:p w14:paraId="2916BC4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r w14:paraId="714BEE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763698CF">
                  <w:pPr>
                    <w:pStyle w:val="22"/>
                    <w:keepNext w:val="0"/>
                    <w:keepLines w:val="0"/>
                    <w:widowControl/>
                    <w:suppressLineNumbers w:val="0"/>
                    <w:ind w:left="0" w:leftChars="0" w:right="0" w:right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w:t>
                  </w:r>
                </w:p>
              </w:tc>
              <w:tc>
                <w:tcPr>
                  <w:tcW w:w="1112" w:type="dxa"/>
                  <w:vAlign w:val="center"/>
                </w:tcPr>
                <w:p w14:paraId="37386C55">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液压油</w:t>
                  </w:r>
                </w:p>
              </w:tc>
              <w:tc>
                <w:tcPr>
                  <w:tcW w:w="2285" w:type="dxa"/>
                  <w:tcBorders>
                    <w:top w:val="single" w:color="auto" w:sz="4" w:space="0"/>
                  </w:tcBorders>
                  <w:vAlign w:val="center"/>
                </w:tcPr>
                <w:p w14:paraId="198CC276">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矿物油、助剂</w:t>
                  </w:r>
                </w:p>
              </w:tc>
              <w:tc>
                <w:tcPr>
                  <w:tcW w:w="0" w:type="auto"/>
                  <w:tcBorders>
                    <w:top w:val="single" w:color="auto" w:sz="4" w:space="0"/>
                  </w:tcBorders>
                  <w:vAlign w:val="center"/>
                </w:tcPr>
                <w:p w14:paraId="2EB1F36F">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w:t>
                  </w:r>
                </w:p>
              </w:tc>
              <w:tc>
                <w:tcPr>
                  <w:tcW w:w="0" w:type="auto"/>
                  <w:tcBorders>
                    <w:top w:val="single" w:color="auto" w:sz="4" w:space="0"/>
                  </w:tcBorders>
                  <w:vAlign w:val="center"/>
                </w:tcPr>
                <w:p w14:paraId="606C433A">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170kg/桶</w:t>
                  </w:r>
                </w:p>
              </w:tc>
              <w:tc>
                <w:tcPr>
                  <w:tcW w:w="0" w:type="auto"/>
                  <w:tcBorders>
                    <w:top w:val="single" w:color="auto" w:sz="4" w:space="0"/>
                  </w:tcBorders>
                  <w:vAlign w:val="center"/>
                </w:tcPr>
                <w:p w14:paraId="4B69CA01">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0.17t</w:t>
                  </w:r>
                </w:p>
              </w:tc>
              <w:tc>
                <w:tcPr>
                  <w:tcW w:w="0" w:type="auto"/>
                  <w:tcBorders>
                    <w:top w:val="single" w:color="auto" w:sz="4" w:space="0"/>
                  </w:tcBorders>
                  <w:vAlign w:val="center"/>
                </w:tcPr>
                <w:p w14:paraId="3C3961CC">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国内汽运</w:t>
                  </w:r>
                </w:p>
              </w:tc>
            </w:tr>
          </w:tbl>
          <w:p w14:paraId="3D5C2EB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注：项目塑料粒子不使用回料。</w:t>
            </w:r>
          </w:p>
          <w:p w14:paraId="51AD841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4"/>
              </w:rPr>
              <w:t>主要原辅材料理化性质见下表</w:t>
            </w:r>
            <w:r>
              <w:rPr>
                <w:rFonts w:hint="default" w:ascii="Times New Roman" w:hAnsi="Times New Roman" w:cs="Times New Roman"/>
                <w:color w:val="auto"/>
                <w:sz w:val="24"/>
                <w:lang w:eastAsia="zh-CN"/>
              </w:rPr>
              <w:t>。</w:t>
            </w:r>
          </w:p>
          <w:p w14:paraId="0CC03841">
            <w:pPr>
              <w:adjustRightInd w:val="0"/>
              <w:snapToGrid w:val="0"/>
              <w:spacing w:line="5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3本项目</w:t>
            </w:r>
            <w:r>
              <w:rPr>
                <w:rFonts w:hint="default" w:ascii="Times New Roman" w:hAnsi="Times New Roman" w:cs="Times New Roman"/>
                <w:b/>
                <w:bCs/>
                <w:color w:val="auto"/>
                <w:sz w:val="21"/>
                <w:szCs w:val="21"/>
                <w:highlight w:val="none"/>
              </w:rPr>
              <w:t>原辅材料理化性质</w:t>
            </w:r>
          </w:p>
          <w:tbl>
            <w:tblPr>
              <w:tblStyle w:val="27"/>
              <w:tblW w:w="8407" w:type="dxa"/>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51" w:type="dxa"/>
                <w:bottom w:w="0" w:type="dxa"/>
                <w:right w:w="51" w:type="dxa"/>
              </w:tblCellMar>
            </w:tblPr>
            <w:tblGrid>
              <w:gridCol w:w="904"/>
              <w:gridCol w:w="5741"/>
              <w:gridCol w:w="846"/>
              <w:gridCol w:w="916"/>
            </w:tblGrid>
            <w:tr w14:paraId="052C92B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1CE2BE1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名称</w:t>
                  </w:r>
                </w:p>
              </w:tc>
              <w:tc>
                <w:tcPr>
                  <w:tcW w:w="5741" w:type="dxa"/>
                  <w:tcBorders>
                    <w:right w:val="single" w:color="000000" w:sz="2" w:space="0"/>
                  </w:tcBorders>
                  <w:vAlign w:val="center"/>
                </w:tcPr>
                <w:p w14:paraId="5D1C602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理化性质</w:t>
                  </w:r>
                </w:p>
              </w:tc>
              <w:tc>
                <w:tcPr>
                  <w:tcW w:w="846" w:type="dxa"/>
                  <w:tcBorders>
                    <w:left w:val="single" w:color="000000" w:sz="2" w:space="0"/>
                    <w:right w:val="single" w:color="000000" w:sz="2" w:space="0"/>
                  </w:tcBorders>
                  <w:vAlign w:val="center"/>
                </w:tcPr>
                <w:p w14:paraId="2606A93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燃爆性</w:t>
                  </w:r>
                </w:p>
              </w:tc>
              <w:tc>
                <w:tcPr>
                  <w:tcW w:w="916" w:type="dxa"/>
                  <w:tcBorders>
                    <w:left w:val="single" w:color="000000" w:sz="2" w:space="0"/>
                  </w:tcBorders>
                  <w:vAlign w:val="center"/>
                </w:tcPr>
                <w:p w14:paraId="6B114979">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毒性毒理</w:t>
                  </w:r>
                </w:p>
              </w:tc>
            </w:tr>
            <w:tr w14:paraId="07154B3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322B457E">
                  <w:pPr>
                    <w:pStyle w:val="22"/>
                    <w:keepNext w:val="0"/>
                    <w:keepLines w:val="0"/>
                    <w:widowControl/>
                    <w:suppressLineNumbers w:val="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lang w:val="en-US" w:eastAsia="zh-CN" w:bidi="ar-SA"/>
                    </w:rPr>
                    <w:t>PP</w:t>
                  </w:r>
                </w:p>
              </w:tc>
              <w:tc>
                <w:tcPr>
                  <w:tcW w:w="5741" w:type="dxa"/>
                  <w:tcBorders>
                    <w:right w:val="single" w:color="000000" w:sz="2" w:space="0"/>
                  </w:tcBorders>
                  <w:vAlign w:val="center"/>
                </w:tcPr>
                <w:p w14:paraId="5AC4BAF5">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Cs w:val="21"/>
                      <w:shd w:val="clear" w:color="auto" w:fill="FFFFFF"/>
                    </w:rPr>
                    <w:t>聚丙烯，是丙烯通过</w:t>
                  </w:r>
                  <w:r>
                    <w:rPr>
                      <w:rFonts w:hint="default" w:ascii="Times New Roman" w:hAnsi="Times New Roman" w:cs="Times New Roman"/>
                      <w:color w:val="auto"/>
                      <w:szCs w:val="21"/>
                      <w:shd w:val="clear" w:color="auto" w:fill="FFFFFF"/>
                    </w:rPr>
                    <w:fldChar w:fldCharType="begin"/>
                  </w:r>
                  <w:r>
                    <w:rPr>
                      <w:rFonts w:hint="default" w:ascii="Times New Roman" w:hAnsi="Times New Roman" w:cs="Times New Roman"/>
                      <w:color w:val="auto"/>
                      <w:szCs w:val="21"/>
                      <w:shd w:val="clear" w:color="auto" w:fill="FFFFFF"/>
                    </w:rPr>
                    <w:instrText xml:space="preserve"> HYPERLINK "https://baike.baidu.com/item/%E5%8A%A0%E8%81%9A%E5%8F%8D%E5%BA%94/9609649" \t "https://baike.baidu.com/item/%E8%81%9A%E4%B8%99%E7%83%AF/_blank" </w:instrText>
                  </w:r>
                  <w:r>
                    <w:rPr>
                      <w:rFonts w:hint="default" w:ascii="Times New Roman" w:hAnsi="Times New Roman" w:cs="Times New Roman"/>
                      <w:color w:val="auto"/>
                      <w:szCs w:val="21"/>
                      <w:shd w:val="clear" w:color="auto" w:fill="FFFFFF"/>
                    </w:rPr>
                    <w:fldChar w:fldCharType="separate"/>
                  </w:r>
                  <w:r>
                    <w:rPr>
                      <w:rFonts w:hint="default" w:ascii="Times New Roman" w:hAnsi="Times New Roman" w:cs="Times New Roman"/>
                      <w:color w:val="auto"/>
                      <w:szCs w:val="21"/>
                      <w:shd w:val="clear" w:color="auto" w:fill="FFFFFF"/>
                    </w:rPr>
                    <w:t>加聚反应</w:t>
                  </w:r>
                  <w:r>
                    <w:rPr>
                      <w:rFonts w:hint="default" w:ascii="Times New Roman" w:hAnsi="Times New Roman" w:cs="Times New Roman"/>
                      <w:color w:val="auto"/>
                      <w:szCs w:val="21"/>
                      <w:shd w:val="clear" w:color="auto" w:fill="FFFFFF"/>
                    </w:rPr>
                    <w:fldChar w:fldCharType="end"/>
                  </w:r>
                  <w:r>
                    <w:rPr>
                      <w:rFonts w:hint="default" w:ascii="Times New Roman" w:hAnsi="Times New Roman" w:cs="Times New Roman"/>
                      <w:color w:val="auto"/>
                      <w:szCs w:val="21"/>
                      <w:shd w:val="clear" w:color="auto" w:fill="FFFFFF"/>
                    </w:rPr>
                    <w:t>而成的</w:t>
                  </w:r>
                  <w:r>
                    <w:rPr>
                      <w:rFonts w:hint="default" w:ascii="Times New Roman" w:hAnsi="Times New Roman" w:cs="Times New Roman"/>
                      <w:color w:val="auto"/>
                      <w:szCs w:val="21"/>
                      <w:shd w:val="clear" w:color="auto" w:fill="FFFFFF"/>
                    </w:rPr>
                    <w:fldChar w:fldCharType="begin"/>
                  </w:r>
                  <w:r>
                    <w:rPr>
                      <w:rFonts w:hint="default" w:ascii="Times New Roman" w:hAnsi="Times New Roman" w:cs="Times New Roman"/>
                      <w:color w:val="auto"/>
                      <w:szCs w:val="21"/>
                      <w:shd w:val="clear" w:color="auto" w:fill="FFFFFF"/>
                    </w:rPr>
                    <w:instrText xml:space="preserve"> HYPERLINK "https://baike.baidu.com/item/%E8%81%9A%E5%90%88%E7%89%A9/6252844" \t "https://baike.baidu.com/item/%E8%81%9A%E4%B8%99%E7%83%AF/_blank" </w:instrText>
                  </w:r>
                  <w:r>
                    <w:rPr>
                      <w:rFonts w:hint="default" w:ascii="Times New Roman" w:hAnsi="Times New Roman" w:cs="Times New Roman"/>
                      <w:color w:val="auto"/>
                      <w:szCs w:val="21"/>
                      <w:shd w:val="clear" w:color="auto" w:fill="FFFFFF"/>
                    </w:rPr>
                    <w:fldChar w:fldCharType="separate"/>
                  </w:r>
                  <w:r>
                    <w:rPr>
                      <w:rFonts w:hint="default" w:ascii="Times New Roman" w:hAnsi="Times New Roman" w:cs="Times New Roman"/>
                      <w:color w:val="auto"/>
                      <w:szCs w:val="21"/>
                      <w:shd w:val="clear" w:color="auto" w:fill="FFFFFF"/>
                    </w:rPr>
                    <w:t>聚合物</w:t>
                  </w:r>
                  <w:r>
                    <w:rPr>
                      <w:rFonts w:hint="default" w:ascii="Times New Roman" w:hAnsi="Times New Roman" w:cs="Times New Roman"/>
                      <w:color w:val="auto"/>
                      <w:szCs w:val="21"/>
                      <w:shd w:val="clear" w:color="auto" w:fill="FFFFFF"/>
                    </w:rPr>
                    <w:fldChar w:fldCharType="end"/>
                  </w:r>
                  <w:r>
                    <w:rPr>
                      <w:rFonts w:hint="default" w:ascii="Times New Roman" w:hAnsi="Times New Roman" w:cs="Times New Roman"/>
                      <w:color w:val="auto"/>
                      <w:szCs w:val="21"/>
                      <w:shd w:val="clear" w:color="auto" w:fill="FFFFFF"/>
                    </w:rPr>
                    <w:t>。系白色蜡状材料，外观透明而轻。密度为0.89～0.91g/cm</w:t>
                  </w:r>
                  <w:r>
                    <w:rPr>
                      <w:rFonts w:hint="default" w:ascii="Times New Roman" w:hAnsi="Times New Roman" w:cs="Times New Roman"/>
                      <w:color w:val="auto"/>
                      <w:szCs w:val="21"/>
                      <w:shd w:val="clear" w:color="auto" w:fill="FFFFFF"/>
                      <w:vertAlign w:val="superscript"/>
                    </w:rPr>
                    <w:t>3</w:t>
                  </w:r>
                  <w:r>
                    <w:rPr>
                      <w:rFonts w:hint="default" w:ascii="Times New Roman" w:hAnsi="Times New Roman" w:cs="Times New Roman"/>
                      <w:color w:val="auto"/>
                      <w:szCs w:val="21"/>
                      <w:shd w:val="clear" w:color="auto" w:fill="FFFFFF"/>
                    </w:rPr>
                    <w:t>，易燃，熔点189℃，在155℃左右软化，使用温度范围为-30～140℃</w:t>
                  </w:r>
                </w:p>
              </w:tc>
              <w:tc>
                <w:tcPr>
                  <w:tcW w:w="846" w:type="dxa"/>
                  <w:tcBorders>
                    <w:left w:val="single" w:color="000000" w:sz="2" w:space="0"/>
                    <w:right w:val="single" w:color="000000" w:sz="2" w:space="0"/>
                  </w:tcBorders>
                  <w:vAlign w:val="center"/>
                </w:tcPr>
                <w:p w14:paraId="443010A3">
                  <w:pPr>
                    <w:snapToGrid w:val="0"/>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Cs w:val="21"/>
                    </w:rPr>
                    <w:t>可燃</w:t>
                  </w:r>
                </w:p>
              </w:tc>
              <w:tc>
                <w:tcPr>
                  <w:tcW w:w="916" w:type="dxa"/>
                  <w:tcBorders>
                    <w:left w:val="single" w:color="000000" w:sz="2" w:space="0"/>
                  </w:tcBorders>
                  <w:vAlign w:val="center"/>
                </w:tcPr>
                <w:p w14:paraId="7C544EA0">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p>
              </w:tc>
            </w:tr>
            <w:tr w14:paraId="41157F3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23E3779C">
                  <w:pPr>
                    <w:pStyle w:val="22"/>
                    <w:keepNext w:val="0"/>
                    <w:keepLines w:val="0"/>
                    <w:widowControl/>
                    <w:suppressLineNumbers w:val="0"/>
                    <w:ind w:left="0" w:leftChars="0" w:right="0" w:rightChars="0"/>
                    <w:jc w:val="center"/>
                    <w:rPr>
                      <w:rFonts w:hint="default" w:ascii="Times New Roman" w:hAnsi="Times New Roman" w:eastAsia="宋体" w:cs="Times New Roman"/>
                      <w:color w:val="auto"/>
                      <w:szCs w:val="21"/>
                    </w:rPr>
                  </w:pPr>
                  <w:r>
                    <w:rPr>
                      <w:rFonts w:hint="default" w:ascii="Times New Roman" w:hAnsi="Times New Roman" w:cs="Times New Roman"/>
                      <w:color w:val="auto"/>
                      <w:kern w:val="2"/>
                      <w:sz w:val="21"/>
                      <w:szCs w:val="21"/>
                      <w:lang w:val="en-US" w:eastAsia="zh-CN" w:bidi="ar-SA"/>
                    </w:rPr>
                    <w:t>PE</w:t>
                  </w:r>
                </w:p>
              </w:tc>
              <w:tc>
                <w:tcPr>
                  <w:tcW w:w="5741" w:type="dxa"/>
                  <w:tcBorders>
                    <w:right w:val="single" w:color="000000" w:sz="2" w:space="0"/>
                  </w:tcBorders>
                  <w:vAlign w:val="center"/>
                </w:tcPr>
                <w:p w14:paraId="7E65D09B">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无臭，无毒，手感似蜡，具有优良的耐低温性能，化学稳定性好，能耐大多数酸碱的侵蚀。常温下不溶于一般溶剂，吸水性小，电绝缘性能优良。</w:t>
                  </w:r>
                </w:p>
              </w:tc>
              <w:tc>
                <w:tcPr>
                  <w:tcW w:w="846" w:type="dxa"/>
                  <w:tcBorders>
                    <w:left w:val="single" w:color="000000" w:sz="2" w:space="0"/>
                    <w:right w:val="single" w:color="000000" w:sz="2" w:space="0"/>
                  </w:tcBorders>
                  <w:vAlign w:val="center"/>
                </w:tcPr>
                <w:p w14:paraId="341682F0">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可燃</w:t>
                  </w:r>
                </w:p>
              </w:tc>
              <w:tc>
                <w:tcPr>
                  <w:tcW w:w="916" w:type="dxa"/>
                  <w:tcBorders>
                    <w:left w:val="single" w:color="000000" w:sz="2" w:space="0"/>
                  </w:tcBorders>
                  <w:vAlign w:val="center"/>
                </w:tcPr>
                <w:p w14:paraId="1074C168">
                  <w:pPr>
                    <w:snapToGrid w:val="0"/>
                    <w:jc w:val="center"/>
                    <w:rPr>
                      <w:rFonts w:hint="default" w:ascii="Times New Roman" w:hAnsi="Times New Roman" w:cs="Times New Roman"/>
                      <w:color w:val="auto"/>
                      <w:szCs w:val="21"/>
                      <w:shd w:val="clear" w:color="auto" w:fill="FFFFFF"/>
                      <w:lang w:val="en-US" w:eastAsia="zh-CN"/>
                    </w:rPr>
                  </w:pPr>
                  <w:r>
                    <w:rPr>
                      <w:rFonts w:hint="default" w:ascii="Times New Roman" w:hAnsi="Times New Roman" w:cs="Times New Roman"/>
                      <w:color w:val="auto"/>
                      <w:szCs w:val="21"/>
                      <w:lang w:val="en-US" w:eastAsia="zh-CN"/>
                    </w:rPr>
                    <w:t>/</w:t>
                  </w:r>
                </w:p>
              </w:tc>
            </w:tr>
            <w:tr w14:paraId="5C26A5A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3D2A7AEE">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cs="Times New Roman"/>
                      <w:i w:val="0"/>
                      <w:iCs w:val="0"/>
                      <w:color w:val="auto"/>
                      <w:kern w:val="0"/>
                      <w:sz w:val="21"/>
                      <w:szCs w:val="21"/>
                      <w:u w:val="none"/>
                      <w:lang w:val="en-US" w:eastAsia="zh-CN" w:bidi="ar"/>
                    </w:rPr>
                    <w:t>液压油</w:t>
                  </w:r>
                </w:p>
              </w:tc>
              <w:tc>
                <w:tcPr>
                  <w:tcW w:w="5741" w:type="dxa"/>
                  <w:tcBorders>
                    <w:right w:val="single" w:color="000000" w:sz="2" w:space="0"/>
                  </w:tcBorders>
                  <w:vAlign w:val="center"/>
                </w:tcPr>
                <w:p w14:paraId="354263F9">
                  <w:pPr>
                    <w:adjustRightInd w:val="0"/>
                    <w:snapToGrid w:val="0"/>
                    <w:rPr>
                      <w:rFonts w:hint="default" w:ascii="Times New Roman" w:hAnsi="Times New Roman" w:eastAsia="宋体" w:cs="Times New Roman"/>
                      <w:bCs/>
                      <w:color w:val="auto"/>
                      <w:kern w:val="0"/>
                      <w:szCs w:val="21"/>
                    </w:rPr>
                  </w:pPr>
                  <w:r>
                    <w:rPr>
                      <w:rFonts w:hint="default" w:ascii="Times New Roman" w:hAnsi="Times New Roman" w:eastAsia="宋体" w:cs="Times New Roman"/>
                      <w:color w:val="auto"/>
                    </w:rPr>
                    <w:t>沸点&gt;316℃，引燃温度：220-250℃</w:t>
                  </w:r>
                  <w:r>
                    <w:rPr>
                      <w:rFonts w:hint="default" w:ascii="Times New Roman" w:hAnsi="Times New Roman" w:cs="Times New Roman"/>
                      <w:color w:val="auto"/>
                      <w:lang w:eastAsia="zh-CN"/>
                    </w:rPr>
                    <w:t>，</w:t>
                  </w:r>
                  <w:r>
                    <w:rPr>
                      <w:rFonts w:hint="default" w:ascii="Times New Roman" w:hAnsi="Times New Roman" w:eastAsia="宋体" w:cs="Times New Roman"/>
                      <w:color w:val="auto"/>
                    </w:rPr>
                    <w:t>闪点224℃左右，淡黄色液体，不溶于水</w:t>
                  </w:r>
                </w:p>
              </w:tc>
              <w:tc>
                <w:tcPr>
                  <w:tcW w:w="846" w:type="dxa"/>
                  <w:tcBorders>
                    <w:left w:val="single" w:color="000000" w:sz="2" w:space="0"/>
                    <w:right w:val="single" w:color="000000" w:sz="2" w:space="0"/>
                  </w:tcBorders>
                  <w:vAlign w:val="center"/>
                </w:tcPr>
                <w:p w14:paraId="2188DBA2">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可燃</w:t>
                  </w:r>
                </w:p>
              </w:tc>
              <w:tc>
                <w:tcPr>
                  <w:tcW w:w="916" w:type="dxa"/>
                  <w:tcBorders>
                    <w:left w:val="single" w:color="000000" w:sz="2" w:space="0"/>
                  </w:tcBorders>
                  <w:vAlign w:val="center"/>
                </w:tcPr>
                <w:p w14:paraId="013A30CC">
                  <w:pPr>
                    <w:snapToGrid w:val="0"/>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color w:val="auto"/>
                      <w:szCs w:val="21"/>
                      <w:lang w:val="en-US" w:eastAsia="zh-CN"/>
                    </w:rPr>
                    <w:t>/</w:t>
                  </w:r>
                </w:p>
              </w:tc>
            </w:tr>
          </w:tbl>
          <w:p w14:paraId="4B30B5F7">
            <w:pPr>
              <w:adjustRightInd w:val="0"/>
              <w:snapToGrid w:val="0"/>
              <w:spacing w:line="500" w:lineRule="exact"/>
              <w:ind w:firstLine="241" w:firstLineChars="100"/>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4</w:t>
            </w:r>
            <w:r>
              <w:rPr>
                <w:rFonts w:hint="default" w:ascii="Times New Roman" w:hAnsi="Times New Roman" w:cs="Times New Roman"/>
                <w:b/>
                <w:color w:val="auto"/>
                <w:sz w:val="24"/>
              </w:rPr>
              <w:t>、主要生产设施</w:t>
            </w:r>
          </w:p>
          <w:p w14:paraId="76EA7F4C">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本项目设备情况见</w:t>
            </w:r>
            <w:r>
              <w:rPr>
                <w:rFonts w:hint="default" w:ascii="Times New Roman" w:hAnsi="Times New Roman" w:cs="Times New Roman"/>
                <w:color w:val="auto"/>
                <w:kern w:val="0"/>
                <w:sz w:val="24"/>
                <w:lang w:eastAsia="zh-CN"/>
              </w:rPr>
              <w:t>下</w:t>
            </w:r>
            <w:r>
              <w:rPr>
                <w:rFonts w:hint="default" w:ascii="Times New Roman" w:hAnsi="Times New Roman" w:cs="Times New Roman"/>
                <w:color w:val="auto"/>
                <w:kern w:val="0"/>
                <w:sz w:val="24"/>
              </w:rPr>
              <w:t>表</w:t>
            </w:r>
            <w:r>
              <w:rPr>
                <w:rFonts w:hint="default" w:ascii="Times New Roman" w:hAnsi="Times New Roman" w:cs="Times New Roman"/>
                <w:color w:val="auto"/>
                <w:sz w:val="24"/>
              </w:rPr>
              <w:t>。</w:t>
            </w:r>
          </w:p>
          <w:p w14:paraId="0ED7F8C4">
            <w:pPr>
              <w:adjustRightInd w:val="0"/>
              <w:snapToGrid w:val="0"/>
              <w:spacing w:line="5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本项目主要生产设备一览表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79" w:type="dxa"/>
                <w:bottom w:w="0" w:type="dxa"/>
                <w:right w:w="79" w:type="dxa"/>
              </w:tblCellMar>
            </w:tblPr>
            <w:tblGrid>
              <w:gridCol w:w="1444"/>
              <w:gridCol w:w="2970"/>
              <w:gridCol w:w="1835"/>
              <w:gridCol w:w="1451"/>
              <w:gridCol w:w="841"/>
            </w:tblGrid>
            <w:tr w14:paraId="54291EF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46" w:type="pct"/>
                  <w:vAlign w:val="center"/>
                </w:tcPr>
                <w:p w14:paraId="5EF32683">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1738" w:type="pct"/>
                  <w:vAlign w:val="center"/>
                </w:tcPr>
                <w:p w14:paraId="5A47AE83">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设备名称</w:t>
                  </w:r>
                </w:p>
              </w:tc>
              <w:tc>
                <w:tcPr>
                  <w:tcW w:w="1074" w:type="pct"/>
                  <w:vAlign w:val="center"/>
                </w:tcPr>
                <w:p w14:paraId="6F9068B1">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规格、型号</w:t>
                  </w:r>
                </w:p>
              </w:tc>
              <w:tc>
                <w:tcPr>
                  <w:tcW w:w="849" w:type="pct"/>
                  <w:tcBorders>
                    <w:bottom w:val="single" w:color="auto" w:sz="4" w:space="0"/>
                  </w:tcBorders>
                  <w:vAlign w:val="center"/>
                </w:tcPr>
                <w:p w14:paraId="0FD74727">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数量（台/套）</w:t>
                  </w:r>
                </w:p>
              </w:tc>
              <w:tc>
                <w:tcPr>
                  <w:tcW w:w="492" w:type="pct"/>
                  <w:vAlign w:val="center"/>
                </w:tcPr>
                <w:p w14:paraId="586B2E2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备注</w:t>
                  </w:r>
                </w:p>
              </w:tc>
            </w:tr>
            <w:tr w14:paraId="75A777D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46" w:type="pct"/>
                  <w:vMerge w:val="restart"/>
                  <w:vAlign w:val="center"/>
                </w:tcPr>
                <w:p w14:paraId="18ED22D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生产设备</w:t>
                  </w:r>
                </w:p>
              </w:tc>
              <w:tc>
                <w:tcPr>
                  <w:tcW w:w="1738" w:type="pct"/>
                  <w:vAlign w:val="center"/>
                </w:tcPr>
                <w:p w14:paraId="4FAB711D">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挤出机</w:t>
                  </w:r>
                </w:p>
              </w:tc>
              <w:tc>
                <w:tcPr>
                  <w:tcW w:w="1074" w:type="pct"/>
                  <w:vAlign w:val="center"/>
                </w:tcPr>
                <w:p w14:paraId="01190DBD">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螺杆式65</w:t>
                  </w:r>
                </w:p>
              </w:tc>
              <w:tc>
                <w:tcPr>
                  <w:tcW w:w="849" w:type="pct"/>
                  <w:tcBorders>
                    <w:right w:val="single" w:color="auto" w:sz="4" w:space="0"/>
                  </w:tcBorders>
                  <w:vAlign w:val="center"/>
                </w:tcPr>
                <w:p w14:paraId="37F3D34E">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2</w:t>
                  </w:r>
                </w:p>
              </w:tc>
              <w:tc>
                <w:tcPr>
                  <w:tcW w:w="492" w:type="pct"/>
                  <w:tcBorders>
                    <w:left w:val="single" w:color="auto" w:sz="4" w:space="0"/>
                  </w:tcBorders>
                  <w:vAlign w:val="center"/>
                </w:tcPr>
                <w:p w14:paraId="2083464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国产</w:t>
                  </w:r>
                </w:p>
              </w:tc>
            </w:tr>
            <w:tr w14:paraId="198E8B4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46" w:type="pct"/>
                  <w:vMerge w:val="continue"/>
                  <w:vAlign w:val="center"/>
                </w:tcPr>
                <w:p w14:paraId="01104B7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rPr>
                  </w:pPr>
                </w:p>
              </w:tc>
              <w:tc>
                <w:tcPr>
                  <w:tcW w:w="1738" w:type="pct"/>
                  <w:vAlign w:val="center"/>
                </w:tcPr>
                <w:p w14:paraId="466CAF53">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压塑机</w:t>
                  </w:r>
                </w:p>
              </w:tc>
              <w:tc>
                <w:tcPr>
                  <w:tcW w:w="1074" w:type="pct"/>
                  <w:vAlign w:val="center"/>
                </w:tcPr>
                <w:p w14:paraId="56080605">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YD32-200T</w:t>
                  </w:r>
                </w:p>
              </w:tc>
              <w:tc>
                <w:tcPr>
                  <w:tcW w:w="849" w:type="pct"/>
                  <w:tcBorders>
                    <w:right w:val="single" w:color="auto" w:sz="4" w:space="0"/>
                  </w:tcBorders>
                  <w:vAlign w:val="center"/>
                </w:tcPr>
                <w:p w14:paraId="5EEBB15F">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5</w:t>
                  </w:r>
                </w:p>
              </w:tc>
              <w:tc>
                <w:tcPr>
                  <w:tcW w:w="492" w:type="pct"/>
                  <w:tcBorders>
                    <w:left w:val="single" w:color="auto" w:sz="4" w:space="0"/>
                  </w:tcBorders>
                  <w:vAlign w:val="center"/>
                </w:tcPr>
                <w:p w14:paraId="7225542D">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国产</w:t>
                  </w:r>
                </w:p>
              </w:tc>
            </w:tr>
            <w:tr w14:paraId="34A8EB0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46" w:type="pct"/>
                  <w:vMerge w:val="continue"/>
                  <w:vAlign w:val="center"/>
                </w:tcPr>
                <w:p w14:paraId="67B69B90">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rPr>
                  </w:pPr>
                </w:p>
              </w:tc>
              <w:tc>
                <w:tcPr>
                  <w:tcW w:w="1738" w:type="pct"/>
                  <w:vAlign w:val="center"/>
                </w:tcPr>
                <w:p w14:paraId="1F8C61C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吹塑机</w:t>
                  </w:r>
                </w:p>
              </w:tc>
              <w:tc>
                <w:tcPr>
                  <w:tcW w:w="1074" w:type="pct"/>
                  <w:vAlign w:val="center"/>
                </w:tcPr>
                <w:p w14:paraId="779D04E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HT-135C</w:t>
                  </w:r>
                </w:p>
              </w:tc>
              <w:tc>
                <w:tcPr>
                  <w:tcW w:w="849" w:type="pct"/>
                  <w:tcBorders>
                    <w:right w:val="single" w:color="auto" w:sz="4" w:space="0"/>
                  </w:tcBorders>
                  <w:vAlign w:val="center"/>
                </w:tcPr>
                <w:p w14:paraId="032E3634">
                  <w:pPr>
                    <w:keepNext w:val="0"/>
                    <w:keepLines w:val="0"/>
                    <w:pageBreakBefore w:val="0"/>
                    <w:widowControl/>
                    <w:suppressLineNumbers w:val="0"/>
                    <w:wordWrap/>
                    <w:overflowPunct/>
                    <w:topLinePunct w:val="0"/>
                    <w:bidi w:val="0"/>
                    <w:spacing w:line="240" w:lineRule="auto"/>
                    <w:ind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w:t>
                  </w:r>
                </w:p>
              </w:tc>
              <w:tc>
                <w:tcPr>
                  <w:tcW w:w="492" w:type="pct"/>
                  <w:tcBorders>
                    <w:top w:val="single" w:color="auto" w:sz="4" w:space="0"/>
                    <w:left w:val="single" w:color="auto" w:sz="4" w:space="0"/>
                  </w:tcBorders>
                  <w:vAlign w:val="center"/>
                </w:tcPr>
                <w:p w14:paraId="144180C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国产</w:t>
                  </w:r>
                </w:p>
              </w:tc>
            </w:tr>
            <w:tr w14:paraId="75A1C79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46" w:type="pct"/>
                  <w:vMerge w:val="continue"/>
                  <w:vAlign w:val="center"/>
                </w:tcPr>
                <w:p w14:paraId="2C3EFD5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rPr>
                  </w:pPr>
                </w:p>
              </w:tc>
              <w:tc>
                <w:tcPr>
                  <w:tcW w:w="1738" w:type="pct"/>
                  <w:vAlign w:val="center"/>
                </w:tcPr>
                <w:p w14:paraId="531F20A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平衡机</w:t>
                  </w:r>
                </w:p>
              </w:tc>
              <w:tc>
                <w:tcPr>
                  <w:tcW w:w="1074" w:type="pct"/>
                  <w:vAlign w:val="center"/>
                </w:tcPr>
                <w:p w14:paraId="6DADAAB9">
                  <w:pPr>
                    <w:keepNext w:val="0"/>
                    <w:keepLines w:val="0"/>
                    <w:pageBreakBefore w:val="0"/>
                    <w:widowControl/>
                    <w:suppressLineNumbers w:val="0"/>
                    <w:wordWrap/>
                    <w:overflowPunct/>
                    <w:topLinePunct w:val="0"/>
                    <w:bidi w:val="0"/>
                    <w:spacing w:line="240" w:lineRule="auto"/>
                    <w:ind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Type</w:t>
                  </w:r>
                </w:p>
              </w:tc>
              <w:tc>
                <w:tcPr>
                  <w:tcW w:w="849" w:type="pct"/>
                  <w:tcBorders>
                    <w:right w:val="single" w:color="auto" w:sz="4" w:space="0"/>
                  </w:tcBorders>
                  <w:vAlign w:val="center"/>
                </w:tcPr>
                <w:p w14:paraId="25522076">
                  <w:pPr>
                    <w:keepNext w:val="0"/>
                    <w:keepLines w:val="0"/>
                    <w:pageBreakBefore w:val="0"/>
                    <w:widowControl/>
                    <w:suppressLineNumbers w:val="0"/>
                    <w:wordWrap/>
                    <w:overflowPunct/>
                    <w:topLinePunct w:val="0"/>
                    <w:bidi w:val="0"/>
                    <w:spacing w:line="240" w:lineRule="auto"/>
                    <w:ind w:right="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3</w:t>
                  </w:r>
                </w:p>
              </w:tc>
              <w:tc>
                <w:tcPr>
                  <w:tcW w:w="492" w:type="pct"/>
                  <w:tcBorders>
                    <w:top w:val="single" w:color="auto" w:sz="4" w:space="0"/>
                    <w:left w:val="single" w:color="auto" w:sz="4" w:space="0"/>
                  </w:tcBorders>
                  <w:vAlign w:val="center"/>
                </w:tcPr>
                <w:p w14:paraId="158ADED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国产</w:t>
                  </w:r>
                </w:p>
              </w:tc>
            </w:tr>
            <w:tr w14:paraId="599DE8E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46" w:type="pct"/>
                  <w:vMerge w:val="restart"/>
                  <w:vAlign w:val="center"/>
                </w:tcPr>
                <w:p w14:paraId="026F21B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公辅设备</w:t>
                  </w:r>
                </w:p>
              </w:tc>
              <w:tc>
                <w:tcPr>
                  <w:tcW w:w="1738" w:type="pct"/>
                  <w:vAlign w:val="center"/>
                </w:tcPr>
                <w:p w14:paraId="3E02A258">
                  <w:pPr>
                    <w:keepNext w:val="0"/>
                    <w:keepLines w:val="0"/>
                    <w:pageBreakBefore w:val="0"/>
                    <w:wordWrap/>
                    <w:overflowPunct/>
                    <w:topLinePunct w:val="0"/>
                    <w:bidi w:val="0"/>
                    <w:adjustRightInd w:val="0"/>
                    <w:snapToGrid w:val="0"/>
                    <w:spacing w:line="240" w:lineRule="auto"/>
                    <w:ind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空压机</w:t>
                  </w:r>
                </w:p>
              </w:tc>
              <w:tc>
                <w:tcPr>
                  <w:tcW w:w="1074" w:type="pct"/>
                  <w:vAlign w:val="center"/>
                </w:tcPr>
                <w:p w14:paraId="62B5A858">
                  <w:pPr>
                    <w:keepNext w:val="0"/>
                    <w:keepLines w:val="0"/>
                    <w:pageBreakBefore w:val="0"/>
                    <w:wordWrap/>
                    <w:overflowPunct/>
                    <w:topLinePunct w:val="0"/>
                    <w:bidi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849" w:type="pct"/>
                  <w:tcBorders>
                    <w:right w:val="single" w:color="auto" w:sz="4" w:space="0"/>
                  </w:tcBorders>
                  <w:vAlign w:val="center"/>
                </w:tcPr>
                <w:p w14:paraId="402F5FA2">
                  <w:pPr>
                    <w:keepNext w:val="0"/>
                    <w:keepLines w:val="0"/>
                    <w:pageBreakBefore w:val="0"/>
                    <w:wordWrap/>
                    <w:overflowPunct/>
                    <w:topLinePunct w:val="0"/>
                    <w:bidi w:val="0"/>
                    <w:spacing w:line="240" w:lineRule="auto"/>
                    <w:ind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w:t>
                  </w:r>
                </w:p>
              </w:tc>
              <w:tc>
                <w:tcPr>
                  <w:tcW w:w="492" w:type="pct"/>
                  <w:tcBorders>
                    <w:left w:val="single" w:color="auto" w:sz="4" w:space="0"/>
                  </w:tcBorders>
                  <w:vAlign w:val="center"/>
                </w:tcPr>
                <w:p w14:paraId="7D6DBE0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国产</w:t>
                  </w:r>
                </w:p>
              </w:tc>
            </w:tr>
            <w:tr w14:paraId="7C693E6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46" w:type="pct"/>
                  <w:vMerge w:val="continue"/>
                  <w:vAlign w:val="center"/>
                </w:tcPr>
                <w:p w14:paraId="45F169D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lang w:val="en-US" w:eastAsia="zh-CN"/>
                    </w:rPr>
                  </w:pPr>
                </w:p>
              </w:tc>
              <w:tc>
                <w:tcPr>
                  <w:tcW w:w="1738" w:type="pct"/>
                  <w:tcBorders>
                    <w:bottom w:val="single" w:color="auto" w:sz="4" w:space="0"/>
                  </w:tcBorders>
                  <w:vAlign w:val="center"/>
                </w:tcPr>
                <w:p w14:paraId="4B62B7D9">
                  <w:pPr>
                    <w:keepNext w:val="0"/>
                    <w:keepLines w:val="0"/>
                    <w:pageBreakBefore w:val="0"/>
                    <w:wordWrap/>
                    <w:overflowPunct/>
                    <w:topLinePunct w:val="0"/>
                    <w:bidi w:val="0"/>
                    <w:adjustRightInd w:val="0"/>
                    <w:snapToGrid w:val="0"/>
                    <w:spacing w:line="240" w:lineRule="auto"/>
                    <w:ind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冷却水塔</w:t>
                  </w:r>
                </w:p>
              </w:tc>
              <w:tc>
                <w:tcPr>
                  <w:tcW w:w="1074" w:type="pct"/>
                  <w:tcBorders>
                    <w:bottom w:val="single" w:color="auto" w:sz="4" w:space="0"/>
                  </w:tcBorders>
                  <w:vAlign w:val="center"/>
                </w:tcPr>
                <w:p w14:paraId="3A29DEF1">
                  <w:pPr>
                    <w:keepNext w:val="0"/>
                    <w:keepLines w:val="0"/>
                    <w:pageBreakBefore w:val="0"/>
                    <w:wordWrap/>
                    <w:overflowPunct/>
                    <w:topLinePunct w:val="0"/>
                    <w:bidi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2t/h</w:t>
                  </w:r>
                </w:p>
              </w:tc>
              <w:tc>
                <w:tcPr>
                  <w:tcW w:w="849" w:type="pct"/>
                  <w:tcBorders>
                    <w:bottom w:val="single" w:color="auto" w:sz="4" w:space="0"/>
                    <w:right w:val="single" w:color="auto" w:sz="4" w:space="0"/>
                  </w:tcBorders>
                  <w:vAlign w:val="center"/>
                </w:tcPr>
                <w:p w14:paraId="288DD65B">
                  <w:pPr>
                    <w:keepNext w:val="0"/>
                    <w:keepLines w:val="0"/>
                    <w:pageBreakBefore w:val="0"/>
                    <w:wordWrap/>
                    <w:overflowPunct/>
                    <w:topLinePunct w:val="0"/>
                    <w:bidi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492" w:type="pct"/>
                  <w:tcBorders>
                    <w:left w:val="single" w:color="auto" w:sz="4" w:space="0"/>
                    <w:bottom w:val="single" w:color="auto" w:sz="4" w:space="0"/>
                  </w:tcBorders>
                  <w:vAlign w:val="center"/>
                </w:tcPr>
                <w:p w14:paraId="3413E49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国产</w:t>
                  </w:r>
                </w:p>
              </w:tc>
            </w:tr>
          </w:tbl>
          <w:p w14:paraId="56440679">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5</w:t>
            </w:r>
            <w:r>
              <w:rPr>
                <w:rFonts w:hint="default" w:ascii="Times New Roman" w:hAnsi="Times New Roman" w:cs="Times New Roman"/>
                <w:b/>
                <w:color w:val="auto"/>
                <w:sz w:val="24"/>
              </w:rPr>
              <w:t>、主体、公用、辅助、储运、环保及依托工程</w:t>
            </w:r>
          </w:p>
          <w:p w14:paraId="274B5658">
            <w:pPr>
              <w:adjustRightInd w:val="0"/>
              <w:snapToGrid w:val="0"/>
              <w:spacing w:line="5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eastAsia="zh-CN"/>
              </w:rPr>
              <w:t>主体、</w:t>
            </w:r>
            <w:r>
              <w:rPr>
                <w:rFonts w:hint="default" w:ascii="Times New Roman" w:hAnsi="Times New Roman" w:cs="Times New Roman"/>
                <w:color w:val="auto"/>
                <w:sz w:val="24"/>
                <w:highlight w:val="none"/>
              </w:rPr>
              <w:t>公用、辅助、储运</w:t>
            </w:r>
            <w:r>
              <w:rPr>
                <w:rFonts w:hint="default" w:ascii="Times New Roman" w:hAnsi="Times New Roman" w:cs="Times New Roman"/>
                <w:color w:val="auto"/>
                <w:sz w:val="24"/>
                <w:highlight w:val="none"/>
                <w:lang w:val="en-US" w:eastAsia="zh-CN"/>
              </w:rPr>
              <w:t>及</w:t>
            </w:r>
            <w:r>
              <w:rPr>
                <w:rFonts w:hint="default" w:ascii="Times New Roman" w:hAnsi="Times New Roman" w:cs="Times New Roman"/>
                <w:color w:val="auto"/>
                <w:sz w:val="24"/>
                <w:highlight w:val="none"/>
              </w:rPr>
              <w:t>环保工程见</w:t>
            </w:r>
            <w:r>
              <w:rPr>
                <w:rFonts w:hint="default" w:ascii="Times New Roman" w:hAnsi="Times New Roman" w:cs="Times New Roman"/>
                <w:color w:val="auto"/>
                <w:sz w:val="24"/>
                <w:highlight w:val="none"/>
                <w:lang w:eastAsia="zh-CN"/>
              </w:rPr>
              <w:t>下</w:t>
            </w:r>
            <w:r>
              <w:rPr>
                <w:rFonts w:hint="default" w:ascii="Times New Roman" w:hAnsi="Times New Roman" w:cs="Times New Roman"/>
                <w:color w:val="auto"/>
                <w:sz w:val="24"/>
                <w:highlight w:val="none"/>
              </w:rPr>
              <w:t>表。</w:t>
            </w:r>
          </w:p>
          <w:p w14:paraId="56F4193E">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本项目</w:t>
            </w:r>
            <w:r>
              <w:rPr>
                <w:rFonts w:hint="default" w:ascii="Times New Roman" w:hAnsi="Times New Roman" w:cs="Times New Roman"/>
                <w:b/>
                <w:bCs/>
                <w:color w:val="auto"/>
                <w:sz w:val="21"/>
                <w:szCs w:val="21"/>
                <w:highlight w:val="none"/>
                <w:lang w:eastAsia="zh-CN"/>
              </w:rPr>
              <w:t>主体、</w:t>
            </w:r>
            <w:r>
              <w:rPr>
                <w:rFonts w:hint="default" w:ascii="Times New Roman" w:hAnsi="Times New Roman" w:cs="Times New Roman"/>
                <w:b/>
                <w:bCs/>
                <w:color w:val="auto"/>
                <w:sz w:val="21"/>
                <w:szCs w:val="21"/>
                <w:highlight w:val="none"/>
              </w:rPr>
              <w:t>公用、辅助、储运及环保工程一览表</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829"/>
              <w:gridCol w:w="1844"/>
              <w:gridCol w:w="2028"/>
              <w:gridCol w:w="3201"/>
            </w:tblGrid>
            <w:tr w14:paraId="1AE045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374" w:type="pct"/>
                  <w:noWrap w:val="0"/>
                  <w:vAlign w:val="center"/>
                </w:tcPr>
                <w:p w14:paraId="150C470B">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1564" w:type="pct"/>
                  <w:gridSpan w:val="2"/>
                  <w:noWrap w:val="0"/>
                  <w:vAlign w:val="center"/>
                </w:tcPr>
                <w:p w14:paraId="70A8A6DD">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工程名称</w:t>
                  </w:r>
                </w:p>
              </w:tc>
              <w:tc>
                <w:tcPr>
                  <w:tcW w:w="1186" w:type="pct"/>
                  <w:noWrap w:val="0"/>
                  <w:vAlign w:val="center"/>
                </w:tcPr>
                <w:p w14:paraId="6AAA3DCE">
                  <w:pPr>
                    <w:snapToGrid w:val="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设计</w:t>
                  </w:r>
                  <w:r>
                    <w:rPr>
                      <w:rFonts w:hint="default" w:ascii="Times New Roman" w:hAnsi="Times New Roman" w:eastAsia="宋体" w:cs="Times New Roman"/>
                      <w:b/>
                      <w:bCs/>
                      <w:color w:val="auto"/>
                      <w:sz w:val="21"/>
                      <w:szCs w:val="21"/>
                    </w:rPr>
                    <w:t>能力</w:t>
                  </w:r>
                </w:p>
              </w:tc>
              <w:tc>
                <w:tcPr>
                  <w:tcW w:w="1873" w:type="pct"/>
                  <w:noWrap w:val="0"/>
                  <w:vAlign w:val="center"/>
                </w:tcPr>
                <w:p w14:paraId="2A189790">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14:paraId="683550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noWrap w:val="0"/>
                  <w:vAlign w:val="center"/>
                </w:tcPr>
                <w:p w14:paraId="2D91303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564" w:type="pct"/>
                  <w:gridSpan w:val="2"/>
                  <w:noWrap w:val="0"/>
                  <w:vAlign w:val="center"/>
                </w:tcPr>
                <w:p w14:paraId="55257C23">
                  <w:pPr>
                    <w:pStyle w:val="7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sz w:val="21"/>
                      <w:szCs w:val="21"/>
                    </w:rPr>
                    <w:t>车间</w:t>
                  </w:r>
                </w:p>
              </w:tc>
              <w:tc>
                <w:tcPr>
                  <w:tcW w:w="1186" w:type="pct"/>
                  <w:noWrap w:val="0"/>
                  <w:vAlign w:val="center"/>
                </w:tcPr>
                <w:p w14:paraId="1B4E83BB">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lang w:val="en-US" w:eastAsia="zh-CN"/>
                    </w:rPr>
                    <w:t>3F（主体1层），占地面积</w:t>
                  </w:r>
                  <w:r>
                    <w:rPr>
                      <w:rFonts w:hint="default" w:ascii="Times New Roman" w:hAnsi="Times New Roman" w:cs="Times New Roman"/>
                      <w:color w:val="auto"/>
                      <w:kern w:val="0"/>
                      <w:lang w:val="en-US" w:eastAsia="zh-CN"/>
                    </w:rPr>
                    <w:t>3300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cs="Times New Roman"/>
                      <w:color w:val="auto"/>
                      <w:szCs w:val="21"/>
                      <w:lang w:val="en-US" w:eastAsia="zh-CN"/>
                    </w:rPr>
                    <w:t>，建筑面积</w:t>
                  </w:r>
                  <w:r>
                    <w:rPr>
                      <w:rFonts w:hint="default" w:ascii="Times New Roman" w:hAnsi="Times New Roman" w:cs="Times New Roman"/>
                      <w:color w:val="auto"/>
                      <w:lang w:val="en-US" w:eastAsia="zh-CN"/>
                    </w:rPr>
                    <w:t>4101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873" w:type="pct"/>
                  <w:noWrap w:val="0"/>
                  <w:vAlign w:val="center"/>
                </w:tcPr>
                <w:p w14:paraId="43170506">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1F为生产区和为仓库，2-3F为办公区</w:t>
                  </w:r>
                </w:p>
              </w:tc>
            </w:tr>
            <w:tr w14:paraId="62843B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restart"/>
                  <w:noWrap w:val="0"/>
                  <w:vAlign w:val="center"/>
                </w:tcPr>
                <w:p w14:paraId="5E23519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1564" w:type="pct"/>
                  <w:gridSpan w:val="2"/>
                  <w:noWrap w:val="0"/>
                  <w:vAlign w:val="center"/>
                </w:tcPr>
                <w:p w14:paraId="2554D15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给水工程</w:t>
                  </w:r>
                </w:p>
              </w:tc>
              <w:tc>
                <w:tcPr>
                  <w:tcW w:w="1186" w:type="pct"/>
                  <w:noWrap w:val="0"/>
                  <w:vAlign w:val="center"/>
                </w:tcPr>
                <w:p w14:paraId="0304CCC8">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690</w:t>
                  </w:r>
                  <w:r>
                    <w:rPr>
                      <w:rFonts w:hint="default" w:ascii="Times New Roman" w:hAnsi="Times New Roman" w:eastAsia="宋体" w:cs="Times New Roman"/>
                      <w:color w:val="auto"/>
                      <w:sz w:val="21"/>
                      <w:szCs w:val="21"/>
                    </w:rPr>
                    <w:t>t/a</w:t>
                  </w:r>
                </w:p>
              </w:tc>
              <w:tc>
                <w:tcPr>
                  <w:tcW w:w="1873" w:type="pct"/>
                  <w:noWrap w:val="0"/>
                  <w:vAlign w:val="center"/>
                </w:tcPr>
                <w:p w14:paraId="27C15A2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区域自来水管网提供</w:t>
                  </w:r>
                </w:p>
              </w:tc>
            </w:tr>
            <w:tr w14:paraId="69911A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continue"/>
                  <w:noWrap w:val="0"/>
                  <w:vAlign w:val="center"/>
                </w:tcPr>
                <w:p w14:paraId="257DBF72">
                  <w:pPr>
                    <w:adjustRightInd w:val="0"/>
                    <w:snapToGrid w:val="0"/>
                    <w:spacing w:line="300" w:lineRule="exact"/>
                    <w:jc w:val="center"/>
                    <w:rPr>
                      <w:rFonts w:hint="default" w:ascii="Times New Roman" w:hAnsi="Times New Roman" w:eastAsia="宋体" w:cs="Times New Roman"/>
                      <w:color w:val="auto"/>
                      <w:sz w:val="21"/>
                      <w:szCs w:val="21"/>
                    </w:rPr>
                  </w:pPr>
                </w:p>
              </w:tc>
              <w:tc>
                <w:tcPr>
                  <w:tcW w:w="1564" w:type="pct"/>
                  <w:gridSpan w:val="2"/>
                  <w:noWrap w:val="0"/>
                  <w:vAlign w:val="center"/>
                </w:tcPr>
                <w:p w14:paraId="7CAD3914">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排水工程</w:t>
                  </w:r>
                </w:p>
              </w:tc>
              <w:tc>
                <w:tcPr>
                  <w:tcW w:w="1186" w:type="pct"/>
                  <w:noWrap w:val="0"/>
                  <w:vAlign w:val="center"/>
                </w:tcPr>
                <w:p w14:paraId="703DCB8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360</w:t>
                  </w:r>
                  <w:r>
                    <w:rPr>
                      <w:rFonts w:hint="default" w:ascii="Times New Roman" w:hAnsi="Times New Roman" w:eastAsia="宋体" w:cs="Times New Roman"/>
                      <w:color w:val="auto"/>
                      <w:sz w:val="21"/>
                      <w:szCs w:val="21"/>
                    </w:rPr>
                    <w:t>t/a</w:t>
                  </w:r>
                </w:p>
              </w:tc>
              <w:tc>
                <w:tcPr>
                  <w:tcW w:w="1873" w:type="pct"/>
                  <w:noWrap w:val="0"/>
                  <w:vAlign w:val="center"/>
                </w:tcPr>
                <w:p w14:paraId="5680C8E5">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lang w:val="en-US" w:eastAsia="zh-CN"/>
                    </w:rPr>
                    <w:t>生活污水</w:t>
                  </w:r>
                  <w:r>
                    <w:rPr>
                      <w:rFonts w:hint="default" w:ascii="Times New Roman" w:hAnsi="Times New Roman" w:cs="Times New Roman"/>
                      <w:color w:val="auto"/>
                      <w:szCs w:val="21"/>
                    </w:rPr>
                    <w:t>排入</w:t>
                  </w:r>
                  <w:r>
                    <w:rPr>
                      <w:rFonts w:hint="default" w:ascii="Times New Roman" w:hAnsi="Times New Roman" w:cs="Times New Roman"/>
                      <w:color w:val="auto"/>
                      <w:szCs w:val="21"/>
                      <w:lang w:eastAsia="zh-CN"/>
                    </w:rPr>
                    <w:t>常州金坛区第二污水处理有限公司</w:t>
                  </w:r>
                  <w:r>
                    <w:rPr>
                      <w:rFonts w:hint="default" w:ascii="Times New Roman" w:hAnsi="Times New Roman" w:cs="Times New Roman"/>
                      <w:color w:val="auto"/>
                      <w:szCs w:val="21"/>
                    </w:rPr>
                    <w:t>集中处理</w:t>
                  </w:r>
                </w:p>
              </w:tc>
            </w:tr>
            <w:tr w14:paraId="20353E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continue"/>
                  <w:noWrap w:val="0"/>
                  <w:vAlign w:val="center"/>
                </w:tcPr>
                <w:p w14:paraId="7F310ADE">
                  <w:pPr>
                    <w:adjustRightInd w:val="0"/>
                    <w:snapToGrid w:val="0"/>
                    <w:spacing w:line="300" w:lineRule="exact"/>
                    <w:jc w:val="center"/>
                    <w:rPr>
                      <w:rFonts w:hint="default" w:ascii="Times New Roman" w:hAnsi="Times New Roman" w:eastAsia="宋体" w:cs="Times New Roman"/>
                      <w:color w:val="auto"/>
                      <w:sz w:val="21"/>
                      <w:szCs w:val="21"/>
                    </w:rPr>
                  </w:pPr>
                </w:p>
              </w:tc>
              <w:tc>
                <w:tcPr>
                  <w:tcW w:w="1564" w:type="pct"/>
                  <w:gridSpan w:val="2"/>
                  <w:noWrap w:val="0"/>
                  <w:vAlign w:val="center"/>
                </w:tcPr>
                <w:p w14:paraId="6261806B">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1186" w:type="pct"/>
                  <w:noWrap w:val="0"/>
                  <w:vAlign w:val="center"/>
                </w:tcPr>
                <w:p w14:paraId="2611C195">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30</w:t>
                  </w:r>
                  <w:r>
                    <w:rPr>
                      <w:rFonts w:hint="default" w:ascii="Times New Roman" w:hAnsi="Times New Roman" w:eastAsia="宋体" w:cs="Times New Roman"/>
                      <w:color w:val="auto"/>
                      <w:sz w:val="21"/>
                      <w:szCs w:val="21"/>
                    </w:rPr>
                    <w:t>万度</w:t>
                  </w:r>
                  <w:r>
                    <w:rPr>
                      <w:rFonts w:hint="default" w:ascii="Times New Roman" w:hAnsi="Times New Roman" w:cs="Times New Roman"/>
                      <w:color w:val="auto"/>
                      <w:sz w:val="21"/>
                      <w:szCs w:val="21"/>
                      <w:lang w:eastAsia="zh-CN"/>
                    </w:rPr>
                    <w:t>/a</w:t>
                  </w:r>
                </w:p>
              </w:tc>
              <w:tc>
                <w:tcPr>
                  <w:tcW w:w="1873" w:type="pct"/>
                  <w:noWrap w:val="0"/>
                  <w:vAlign w:val="center"/>
                </w:tcPr>
                <w:p w14:paraId="7AEECBE6">
                  <w:pPr>
                    <w:adjustRightInd w:val="0"/>
                    <w:snapToGrid w:val="0"/>
                    <w:spacing w:line="300" w:lineRule="exact"/>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Cs w:val="21"/>
                    </w:rPr>
                    <w:t>区域</w:t>
                  </w:r>
                  <w:r>
                    <w:rPr>
                      <w:rFonts w:hint="default" w:ascii="Times New Roman" w:hAnsi="Times New Roman" w:cs="Times New Roman"/>
                      <w:color w:val="auto"/>
                      <w:szCs w:val="21"/>
                      <w:lang w:val="en-US" w:eastAsia="zh-CN"/>
                    </w:rPr>
                    <w:t>电</w:t>
                  </w:r>
                  <w:r>
                    <w:rPr>
                      <w:rFonts w:hint="default" w:ascii="Times New Roman" w:hAnsi="Times New Roman" w:cs="Times New Roman"/>
                      <w:color w:val="auto"/>
                      <w:szCs w:val="21"/>
                    </w:rPr>
                    <w:t>网提供</w:t>
                  </w:r>
                </w:p>
              </w:tc>
            </w:tr>
            <w:tr w14:paraId="6FC9B6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continue"/>
                  <w:noWrap w:val="0"/>
                  <w:vAlign w:val="center"/>
                </w:tcPr>
                <w:p w14:paraId="5E5FCC6D">
                  <w:pPr>
                    <w:adjustRightInd w:val="0"/>
                    <w:snapToGrid w:val="0"/>
                    <w:spacing w:line="300" w:lineRule="exact"/>
                    <w:jc w:val="center"/>
                    <w:rPr>
                      <w:rFonts w:hint="default" w:ascii="Times New Roman" w:hAnsi="Times New Roman" w:eastAsia="宋体" w:cs="Times New Roman"/>
                      <w:color w:val="auto"/>
                      <w:sz w:val="21"/>
                      <w:szCs w:val="21"/>
                    </w:rPr>
                  </w:pPr>
                </w:p>
              </w:tc>
              <w:tc>
                <w:tcPr>
                  <w:tcW w:w="1564" w:type="pct"/>
                  <w:gridSpan w:val="2"/>
                  <w:noWrap w:val="0"/>
                  <w:vAlign w:val="center"/>
                </w:tcPr>
                <w:p w14:paraId="3CE488C1">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冷却系统</w:t>
                  </w:r>
                </w:p>
              </w:tc>
              <w:tc>
                <w:tcPr>
                  <w:tcW w:w="1186" w:type="pct"/>
                  <w:noWrap w:val="0"/>
                  <w:vAlign w:val="center"/>
                </w:tcPr>
                <w:p w14:paraId="2E867C9E">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冷却水塔2t/h</w:t>
                  </w:r>
                </w:p>
              </w:tc>
              <w:tc>
                <w:tcPr>
                  <w:tcW w:w="1873" w:type="pct"/>
                  <w:noWrap w:val="0"/>
                  <w:vAlign w:val="center"/>
                </w:tcPr>
                <w:p w14:paraId="4D79D6DC">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r w14:paraId="630998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continue"/>
                  <w:noWrap w:val="0"/>
                  <w:vAlign w:val="center"/>
                </w:tcPr>
                <w:p w14:paraId="7D69FAD5">
                  <w:pPr>
                    <w:adjustRightInd w:val="0"/>
                    <w:snapToGrid w:val="0"/>
                    <w:spacing w:line="300" w:lineRule="exact"/>
                    <w:jc w:val="center"/>
                    <w:rPr>
                      <w:rFonts w:hint="default" w:ascii="Times New Roman" w:hAnsi="Times New Roman" w:eastAsia="宋体" w:cs="Times New Roman"/>
                      <w:color w:val="auto"/>
                      <w:sz w:val="21"/>
                      <w:szCs w:val="21"/>
                    </w:rPr>
                  </w:pPr>
                </w:p>
              </w:tc>
              <w:tc>
                <w:tcPr>
                  <w:tcW w:w="1564" w:type="pct"/>
                  <w:gridSpan w:val="2"/>
                  <w:noWrap w:val="0"/>
                  <w:vAlign w:val="center"/>
                </w:tcPr>
                <w:p w14:paraId="0526ED41">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空压系统</w:t>
                  </w:r>
                </w:p>
              </w:tc>
              <w:tc>
                <w:tcPr>
                  <w:tcW w:w="1186" w:type="pct"/>
                  <w:noWrap w:val="0"/>
                  <w:vAlign w:val="center"/>
                </w:tcPr>
                <w:p w14:paraId="08D8C864">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空压机1台</w:t>
                  </w:r>
                </w:p>
              </w:tc>
              <w:tc>
                <w:tcPr>
                  <w:tcW w:w="1873" w:type="pct"/>
                  <w:noWrap w:val="0"/>
                  <w:vAlign w:val="center"/>
                </w:tcPr>
                <w:p w14:paraId="1A2064D8">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r w14:paraId="2AE760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restart"/>
                  <w:noWrap w:val="0"/>
                  <w:vAlign w:val="center"/>
                </w:tcPr>
                <w:p w14:paraId="23CF0A17">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贮运工程</w:t>
                  </w:r>
                </w:p>
              </w:tc>
              <w:tc>
                <w:tcPr>
                  <w:tcW w:w="1564" w:type="pct"/>
                  <w:gridSpan w:val="2"/>
                  <w:noWrap w:val="0"/>
                  <w:vAlign w:val="center"/>
                </w:tcPr>
                <w:p w14:paraId="4205187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原料库</w:t>
                  </w:r>
                </w:p>
              </w:tc>
              <w:tc>
                <w:tcPr>
                  <w:tcW w:w="1186" w:type="pct"/>
                  <w:noWrap w:val="0"/>
                  <w:vAlign w:val="center"/>
                </w:tcPr>
                <w:p w14:paraId="50B389E1">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73" w:type="pct"/>
                  <w:noWrap w:val="0"/>
                  <w:vAlign w:val="center"/>
                </w:tcPr>
                <w:p w14:paraId="6C20540E">
                  <w:pPr>
                    <w:adjustRightInd w:val="0"/>
                    <w:snapToGrid w:val="0"/>
                    <w:spacing w:line="300" w:lineRule="exact"/>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eastAsia="zh-CN"/>
                    </w:rPr>
                    <w:t>新建</w:t>
                  </w:r>
                </w:p>
              </w:tc>
            </w:tr>
            <w:tr w14:paraId="60880C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continue"/>
                  <w:noWrap w:val="0"/>
                  <w:vAlign w:val="center"/>
                </w:tcPr>
                <w:p w14:paraId="63C1E4DF">
                  <w:pPr>
                    <w:adjustRightInd w:val="0"/>
                    <w:snapToGrid w:val="0"/>
                    <w:spacing w:line="300" w:lineRule="exact"/>
                    <w:jc w:val="center"/>
                    <w:rPr>
                      <w:rFonts w:hint="default" w:ascii="Times New Roman" w:hAnsi="Times New Roman" w:eastAsia="宋体" w:cs="Times New Roman"/>
                      <w:color w:val="auto"/>
                      <w:sz w:val="21"/>
                      <w:szCs w:val="21"/>
                    </w:rPr>
                  </w:pPr>
                </w:p>
              </w:tc>
              <w:tc>
                <w:tcPr>
                  <w:tcW w:w="1564" w:type="pct"/>
                  <w:gridSpan w:val="2"/>
                  <w:noWrap w:val="0"/>
                  <w:vAlign w:val="center"/>
                </w:tcPr>
                <w:p w14:paraId="55E3794C">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成品</w:t>
                  </w:r>
                  <w:r>
                    <w:rPr>
                      <w:rFonts w:hint="default" w:ascii="Times New Roman" w:hAnsi="Times New Roman" w:eastAsia="宋体" w:cs="Times New Roman"/>
                      <w:color w:val="auto"/>
                      <w:sz w:val="21"/>
                      <w:szCs w:val="21"/>
                    </w:rPr>
                    <w:t>库</w:t>
                  </w:r>
                </w:p>
              </w:tc>
              <w:tc>
                <w:tcPr>
                  <w:tcW w:w="1186" w:type="pct"/>
                  <w:noWrap w:val="0"/>
                  <w:vAlign w:val="center"/>
                </w:tcPr>
                <w:p w14:paraId="27ED860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73" w:type="pct"/>
                  <w:noWrap w:val="0"/>
                  <w:vAlign w:val="center"/>
                </w:tcPr>
                <w:p w14:paraId="5026E1D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新建</w:t>
                  </w:r>
                </w:p>
              </w:tc>
            </w:tr>
            <w:tr w14:paraId="23D397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continue"/>
                  <w:noWrap w:val="0"/>
                  <w:vAlign w:val="center"/>
                </w:tcPr>
                <w:p w14:paraId="2D72F274">
                  <w:pPr>
                    <w:adjustRightInd w:val="0"/>
                    <w:snapToGrid w:val="0"/>
                    <w:spacing w:line="300" w:lineRule="exact"/>
                    <w:jc w:val="center"/>
                    <w:rPr>
                      <w:rFonts w:hint="default" w:ascii="Times New Roman" w:hAnsi="Times New Roman" w:eastAsia="宋体" w:cs="Times New Roman"/>
                      <w:color w:val="auto"/>
                      <w:sz w:val="21"/>
                      <w:szCs w:val="21"/>
                    </w:rPr>
                  </w:pPr>
                </w:p>
              </w:tc>
              <w:tc>
                <w:tcPr>
                  <w:tcW w:w="1564" w:type="pct"/>
                  <w:gridSpan w:val="2"/>
                  <w:noWrap w:val="0"/>
                  <w:vAlign w:val="center"/>
                </w:tcPr>
                <w:p w14:paraId="70459C4C">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运输工程</w:t>
                  </w:r>
                </w:p>
              </w:tc>
              <w:tc>
                <w:tcPr>
                  <w:tcW w:w="1186" w:type="pct"/>
                  <w:noWrap w:val="0"/>
                  <w:vAlign w:val="center"/>
                </w:tcPr>
                <w:p w14:paraId="72DB3AF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车运</w:t>
                  </w:r>
                </w:p>
              </w:tc>
              <w:tc>
                <w:tcPr>
                  <w:tcW w:w="1873" w:type="pct"/>
                  <w:noWrap w:val="0"/>
                  <w:vAlign w:val="center"/>
                </w:tcPr>
                <w:p w14:paraId="36452440">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依托社会车辆</w:t>
                  </w:r>
                </w:p>
              </w:tc>
            </w:tr>
            <w:tr w14:paraId="33C90E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restart"/>
                  <w:noWrap w:val="0"/>
                  <w:vAlign w:val="center"/>
                </w:tcPr>
                <w:p w14:paraId="1337B842">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485" w:type="pct"/>
                  <w:noWrap w:val="0"/>
                  <w:vAlign w:val="center"/>
                </w:tcPr>
                <w:p w14:paraId="2D987842">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079" w:type="pct"/>
                  <w:noWrap w:val="0"/>
                  <w:vAlign w:val="center"/>
                </w:tcPr>
                <w:p w14:paraId="788250BC">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挤出、压塑、吹塑废气</w:t>
                  </w:r>
                </w:p>
              </w:tc>
              <w:tc>
                <w:tcPr>
                  <w:tcW w:w="1186" w:type="pct"/>
                  <w:noWrap w:val="0"/>
                  <w:vAlign w:val="center"/>
                </w:tcPr>
                <w:p w14:paraId="74D5F0F9">
                  <w:pPr>
                    <w:spacing w:line="300" w:lineRule="exact"/>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二级</w:t>
                  </w:r>
                  <w:r>
                    <w:rPr>
                      <w:rFonts w:hint="default" w:ascii="Times New Roman" w:hAnsi="Times New Roman" w:eastAsia="宋体" w:cs="Times New Roman"/>
                      <w:bCs/>
                      <w:color w:val="auto"/>
                      <w:sz w:val="21"/>
                      <w:szCs w:val="21"/>
                    </w:rPr>
                    <w:t>活性炭吸附+15m高排气筒</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rPr>
                    <w:t>风量为</w:t>
                  </w:r>
                  <w:r>
                    <w:rPr>
                      <w:rFonts w:hint="eastAsia" w:cs="Times New Roman"/>
                      <w:color w:val="auto"/>
                      <w:lang w:val="en-US" w:eastAsia="zh-CN"/>
                    </w:rPr>
                    <w:t>12000</w:t>
                  </w:r>
                  <w:r>
                    <w:rPr>
                      <w:rFonts w:hint="default" w:ascii="Times New Roman" w:hAnsi="Times New Roman" w:eastAsia="宋体" w:cs="Times New Roman"/>
                      <w:color w:val="auto"/>
                      <w:kern w:val="0"/>
                      <w:lang w:bidi="ar"/>
                    </w:rPr>
                    <w:t>m</w:t>
                  </w:r>
                  <w:r>
                    <w:rPr>
                      <w:rFonts w:hint="default" w:ascii="Times New Roman" w:hAnsi="Times New Roman" w:eastAsia="宋体" w:cs="Times New Roman"/>
                      <w:color w:val="auto"/>
                      <w:kern w:val="0"/>
                      <w:vertAlign w:val="superscript"/>
                      <w:lang w:bidi="ar"/>
                    </w:rPr>
                    <w:t>3</w:t>
                  </w:r>
                  <w:r>
                    <w:rPr>
                      <w:rFonts w:hint="default" w:ascii="Times New Roman" w:hAnsi="Times New Roman" w:eastAsia="宋体" w:cs="Times New Roman"/>
                      <w:color w:val="auto"/>
                      <w:kern w:val="0"/>
                      <w:lang w:bidi="ar"/>
                    </w:rPr>
                    <w:t>/h</w:t>
                  </w:r>
                </w:p>
              </w:tc>
              <w:tc>
                <w:tcPr>
                  <w:tcW w:w="1873" w:type="pct"/>
                  <w:noWrap w:val="0"/>
                  <w:vAlign w:val="center"/>
                </w:tcPr>
                <w:p w14:paraId="33F72A0D">
                  <w:pPr>
                    <w:spacing w:line="30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color w:val="auto"/>
                      <w:sz w:val="21"/>
                      <w:szCs w:val="21"/>
                      <w:lang w:eastAsia="zh-CN"/>
                    </w:rPr>
                    <w:t>达标排放</w:t>
                  </w:r>
                </w:p>
              </w:tc>
            </w:tr>
            <w:tr w14:paraId="17F162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continue"/>
                  <w:noWrap w:val="0"/>
                  <w:vAlign w:val="center"/>
                </w:tcPr>
                <w:p w14:paraId="1C6D72AF">
                  <w:pPr>
                    <w:adjustRightInd w:val="0"/>
                    <w:snapToGrid w:val="0"/>
                    <w:spacing w:line="300" w:lineRule="exact"/>
                    <w:jc w:val="center"/>
                    <w:rPr>
                      <w:rFonts w:hint="default" w:ascii="Times New Roman" w:hAnsi="Times New Roman" w:eastAsia="宋体" w:cs="Times New Roman"/>
                      <w:color w:val="auto"/>
                      <w:sz w:val="21"/>
                      <w:szCs w:val="21"/>
                    </w:rPr>
                  </w:pPr>
                </w:p>
              </w:tc>
              <w:tc>
                <w:tcPr>
                  <w:tcW w:w="485" w:type="pct"/>
                  <w:noWrap w:val="0"/>
                  <w:vAlign w:val="center"/>
                </w:tcPr>
                <w:p w14:paraId="299953BD">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079" w:type="pct"/>
                  <w:noWrap w:val="0"/>
                  <w:vAlign w:val="center"/>
                </w:tcPr>
                <w:p w14:paraId="51CC009C">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生活污水</w:t>
                  </w:r>
                </w:p>
              </w:tc>
              <w:tc>
                <w:tcPr>
                  <w:tcW w:w="1186" w:type="pct"/>
                  <w:noWrap w:val="0"/>
                  <w:vAlign w:val="center"/>
                </w:tcPr>
                <w:p w14:paraId="4DBFC48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w:t>
                  </w:r>
                </w:p>
              </w:tc>
              <w:tc>
                <w:tcPr>
                  <w:tcW w:w="1873" w:type="pct"/>
                  <w:noWrap w:val="0"/>
                  <w:vAlign w:val="center"/>
                </w:tcPr>
                <w:p w14:paraId="7D431DCA">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依托出租方现有</w:t>
                  </w:r>
                </w:p>
              </w:tc>
            </w:tr>
            <w:tr w14:paraId="76C7F0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continue"/>
                  <w:noWrap w:val="0"/>
                  <w:vAlign w:val="center"/>
                </w:tcPr>
                <w:p w14:paraId="5CDCCDEB">
                  <w:pPr>
                    <w:adjustRightInd w:val="0"/>
                    <w:snapToGrid w:val="0"/>
                    <w:spacing w:line="300" w:lineRule="exact"/>
                    <w:jc w:val="center"/>
                    <w:rPr>
                      <w:rFonts w:hint="default" w:ascii="Times New Roman" w:hAnsi="Times New Roman" w:eastAsia="宋体" w:cs="Times New Roman"/>
                      <w:color w:val="auto"/>
                      <w:sz w:val="21"/>
                      <w:szCs w:val="21"/>
                    </w:rPr>
                  </w:pPr>
                </w:p>
              </w:tc>
              <w:tc>
                <w:tcPr>
                  <w:tcW w:w="1564" w:type="pct"/>
                  <w:gridSpan w:val="2"/>
                  <w:noWrap w:val="0"/>
                  <w:vAlign w:val="center"/>
                </w:tcPr>
                <w:p w14:paraId="39343FE0">
                  <w:pPr>
                    <w:keepNext w:val="0"/>
                    <w:keepLines w:val="0"/>
                    <w:widowControl/>
                    <w:suppressLineNumbers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噪声</w:t>
                  </w:r>
                </w:p>
              </w:tc>
              <w:tc>
                <w:tcPr>
                  <w:tcW w:w="1186" w:type="pct"/>
                  <w:noWrap w:val="0"/>
                  <w:vAlign w:val="center"/>
                </w:tcPr>
                <w:p w14:paraId="295B342E">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合理布局、采取相应的隔声、减震、消音措施</w:t>
                  </w:r>
                </w:p>
              </w:tc>
              <w:tc>
                <w:tcPr>
                  <w:tcW w:w="1873" w:type="pct"/>
                  <w:noWrap w:val="0"/>
                  <w:vAlign w:val="center"/>
                </w:tcPr>
                <w:p w14:paraId="7A691911">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达标排放</w:t>
                  </w:r>
                </w:p>
              </w:tc>
            </w:tr>
            <w:tr w14:paraId="3C8D2E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continue"/>
                  <w:noWrap w:val="0"/>
                  <w:vAlign w:val="center"/>
                </w:tcPr>
                <w:p w14:paraId="60DD2158">
                  <w:pPr>
                    <w:adjustRightInd w:val="0"/>
                    <w:snapToGrid w:val="0"/>
                    <w:spacing w:line="300" w:lineRule="exact"/>
                    <w:jc w:val="center"/>
                    <w:rPr>
                      <w:rFonts w:hint="default" w:ascii="Times New Roman" w:hAnsi="Times New Roman" w:eastAsia="宋体" w:cs="Times New Roman"/>
                      <w:color w:val="auto"/>
                      <w:sz w:val="21"/>
                      <w:szCs w:val="21"/>
                    </w:rPr>
                  </w:pPr>
                </w:p>
              </w:tc>
              <w:tc>
                <w:tcPr>
                  <w:tcW w:w="485" w:type="pct"/>
                  <w:vMerge w:val="restart"/>
                  <w:noWrap w:val="0"/>
                  <w:vAlign w:val="center"/>
                </w:tcPr>
                <w:p w14:paraId="6AC4678F">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1079" w:type="pct"/>
                  <w:noWrap w:val="0"/>
                  <w:vAlign w:val="center"/>
                </w:tcPr>
                <w:p w14:paraId="50C5F858">
                  <w:pPr>
                    <w:spacing w:line="30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bCs/>
                      <w:color w:val="auto"/>
                      <w:sz w:val="21"/>
                      <w:szCs w:val="21"/>
                      <w:lang w:eastAsia="zh-CN"/>
                    </w:rPr>
                    <w:t>危废仓库</w:t>
                  </w:r>
                </w:p>
              </w:tc>
              <w:tc>
                <w:tcPr>
                  <w:tcW w:w="1186" w:type="pct"/>
                  <w:noWrap w:val="0"/>
                  <w:vAlign w:val="center"/>
                </w:tcPr>
                <w:p w14:paraId="0626CE4A">
                  <w:pPr>
                    <w:adjustRightInd w:val="0"/>
                    <w:snapToGrid w:val="0"/>
                    <w:spacing w:line="30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5</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873" w:type="pct"/>
                  <w:noWrap w:val="0"/>
                  <w:vAlign w:val="center"/>
                </w:tcPr>
                <w:p w14:paraId="42A04258">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新建</w:t>
                  </w:r>
                </w:p>
              </w:tc>
            </w:tr>
            <w:tr w14:paraId="476790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continue"/>
                  <w:noWrap w:val="0"/>
                  <w:vAlign w:val="center"/>
                </w:tcPr>
                <w:p w14:paraId="11EBEAE7">
                  <w:pPr>
                    <w:adjustRightInd w:val="0"/>
                    <w:snapToGrid w:val="0"/>
                    <w:spacing w:line="300" w:lineRule="exact"/>
                    <w:jc w:val="center"/>
                    <w:rPr>
                      <w:rFonts w:hint="default" w:ascii="Times New Roman" w:hAnsi="Times New Roman" w:eastAsia="宋体" w:cs="Times New Roman"/>
                      <w:color w:val="auto"/>
                      <w:sz w:val="21"/>
                      <w:szCs w:val="21"/>
                    </w:rPr>
                  </w:pPr>
                </w:p>
              </w:tc>
              <w:tc>
                <w:tcPr>
                  <w:tcW w:w="485" w:type="pct"/>
                  <w:vMerge w:val="continue"/>
                  <w:noWrap w:val="0"/>
                  <w:vAlign w:val="center"/>
                </w:tcPr>
                <w:p w14:paraId="79C7196F">
                  <w:pPr>
                    <w:spacing w:line="300" w:lineRule="exact"/>
                    <w:jc w:val="center"/>
                    <w:rPr>
                      <w:rFonts w:hint="default" w:ascii="Times New Roman" w:hAnsi="Times New Roman" w:eastAsia="宋体" w:cs="Times New Roman"/>
                      <w:color w:val="auto"/>
                      <w:sz w:val="21"/>
                      <w:szCs w:val="21"/>
                    </w:rPr>
                  </w:pPr>
                </w:p>
              </w:tc>
              <w:tc>
                <w:tcPr>
                  <w:tcW w:w="1079" w:type="pct"/>
                  <w:noWrap w:val="0"/>
                  <w:vAlign w:val="center"/>
                </w:tcPr>
                <w:p w14:paraId="6C38BA9F">
                  <w:pPr>
                    <w:spacing w:line="30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bCs/>
                      <w:color w:val="auto"/>
                      <w:sz w:val="21"/>
                      <w:szCs w:val="21"/>
                      <w:lang w:eastAsia="zh-CN"/>
                    </w:rPr>
                    <w:t>一般固废仓库</w:t>
                  </w:r>
                </w:p>
              </w:tc>
              <w:tc>
                <w:tcPr>
                  <w:tcW w:w="1186" w:type="pct"/>
                  <w:noWrap w:val="0"/>
                  <w:vAlign w:val="center"/>
                </w:tcPr>
                <w:p w14:paraId="08D51ABE">
                  <w:pPr>
                    <w:adjustRightInd w:val="0"/>
                    <w:snapToGrid w:val="0"/>
                    <w:spacing w:line="300" w:lineRule="exact"/>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873" w:type="pct"/>
                  <w:noWrap w:val="0"/>
                  <w:vAlign w:val="center"/>
                </w:tcPr>
                <w:p w14:paraId="132931D2">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lang w:val="en-US" w:eastAsia="zh-CN"/>
                    </w:rPr>
                    <w:t>新建</w:t>
                  </w:r>
                </w:p>
              </w:tc>
            </w:tr>
            <w:tr w14:paraId="08C910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restart"/>
                  <w:noWrap w:val="0"/>
                  <w:vAlign w:val="center"/>
                </w:tcPr>
                <w:p w14:paraId="3E29BB0A">
                  <w:pPr>
                    <w:spacing w:line="300" w:lineRule="exact"/>
                    <w:jc w:val="center"/>
                    <w:rPr>
                      <w:rFonts w:hint="default" w:ascii="Times New Roman" w:hAnsi="Times New Roman" w:eastAsia="宋体" w:cs="Times New Roman"/>
                      <w:bCs/>
                      <w:color w:val="auto"/>
                      <w:sz w:val="21"/>
                      <w:szCs w:val="21"/>
                    </w:rPr>
                  </w:pPr>
                  <w:r>
                    <w:rPr>
                      <w:rFonts w:hint="default" w:ascii="Times New Roman" w:hAnsi="Times New Roman" w:cs="Times New Roman"/>
                      <w:color w:val="auto"/>
                      <w:sz w:val="21"/>
                      <w:szCs w:val="21"/>
                      <w:lang w:eastAsia="zh-CN"/>
                    </w:rPr>
                    <w:t>风险防控措施</w:t>
                  </w:r>
                </w:p>
              </w:tc>
              <w:tc>
                <w:tcPr>
                  <w:tcW w:w="2751" w:type="pct"/>
                  <w:gridSpan w:val="3"/>
                  <w:noWrap w:val="0"/>
                  <w:vAlign w:val="center"/>
                </w:tcPr>
                <w:p w14:paraId="3043E545">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园区雨水排放口安装阀门</w:t>
                  </w:r>
                </w:p>
              </w:tc>
              <w:tc>
                <w:tcPr>
                  <w:tcW w:w="1873" w:type="pct"/>
                  <w:noWrap w:val="0"/>
                  <w:vAlign w:val="center"/>
                </w:tcPr>
                <w:p w14:paraId="268CAA51">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依托园区现有</w:t>
                  </w:r>
                </w:p>
              </w:tc>
            </w:tr>
            <w:tr w14:paraId="454FC7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 w:type="pct"/>
                  <w:vMerge w:val="continue"/>
                  <w:noWrap w:val="0"/>
                  <w:vAlign w:val="center"/>
                </w:tcPr>
                <w:p w14:paraId="0CC3501C">
                  <w:pPr>
                    <w:spacing w:line="300" w:lineRule="exact"/>
                    <w:jc w:val="center"/>
                    <w:rPr>
                      <w:rFonts w:hint="default" w:ascii="Times New Roman" w:hAnsi="Times New Roman" w:cs="Times New Roman"/>
                      <w:color w:val="auto"/>
                      <w:sz w:val="21"/>
                      <w:szCs w:val="21"/>
                      <w:lang w:eastAsia="zh-CN"/>
                    </w:rPr>
                  </w:pPr>
                </w:p>
              </w:tc>
              <w:tc>
                <w:tcPr>
                  <w:tcW w:w="2751" w:type="pct"/>
                  <w:gridSpan w:val="3"/>
                  <w:noWrap w:val="0"/>
                  <w:vAlign w:val="center"/>
                </w:tcPr>
                <w:p w14:paraId="0C408CDC">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事故应急池</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1m</w:t>
                  </w:r>
                  <w:r>
                    <w:rPr>
                      <w:rFonts w:hint="default" w:ascii="Times New Roman" w:hAnsi="Times New Roman" w:cs="Times New Roman"/>
                      <w:color w:val="auto"/>
                      <w:sz w:val="21"/>
                      <w:szCs w:val="21"/>
                      <w:vertAlign w:val="superscript"/>
                      <w:lang w:val="en-US" w:eastAsia="zh-CN"/>
                    </w:rPr>
                    <w:t>3</w:t>
                  </w:r>
                </w:p>
              </w:tc>
              <w:tc>
                <w:tcPr>
                  <w:tcW w:w="1873" w:type="pct"/>
                  <w:noWrap w:val="0"/>
                  <w:vAlign w:val="center"/>
                </w:tcPr>
                <w:p w14:paraId="5462A753">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bl>
          <w:p w14:paraId="3899C14E">
            <w:pPr>
              <w:keepNext w:val="0"/>
              <w:keepLines w:val="0"/>
              <w:pageBreakBefore w:val="0"/>
              <w:kinsoku/>
              <w:wordWrap/>
              <w:overflowPunct/>
              <w:topLinePunct w:val="0"/>
              <w:bidi w:val="0"/>
              <w:adjustRightInd w:val="0"/>
              <w:snapToGrid w:val="0"/>
              <w:spacing w:line="500" w:lineRule="exact"/>
              <w:ind w:left="0" w:right="0"/>
              <w:rPr>
                <w:rFonts w:hint="default" w:ascii="Times New Roman" w:hAnsi="Times New Roman" w:cs="Times New Roman"/>
                <w:b/>
                <w:bCs/>
                <w:color w:val="auto"/>
                <w:sz w:val="24"/>
              </w:rPr>
            </w:pPr>
            <w:r>
              <w:rPr>
                <w:rFonts w:hint="default" w:ascii="Times New Roman" w:hAnsi="Times New Roman" w:cs="Times New Roman"/>
                <w:b/>
                <w:color w:val="auto"/>
                <w:sz w:val="24"/>
                <w:lang w:val="en-US" w:eastAsia="zh-CN"/>
              </w:rPr>
              <w:t>6</w:t>
            </w:r>
            <w:r>
              <w:rPr>
                <w:rFonts w:hint="default" w:ascii="Times New Roman" w:hAnsi="Times New Roman" w:cs="Times New Roman"/>
                <w:b/>
                <w:color w:val="auto"/>
                <w:sz w:val="24"/>
              </w:rPr>
              <w:t>、</w:t>
            </w:r>
            <w:r>
              <w:rPr>
                <w:rFonts w:hint="default" w:ascii="Times New Roman" w:hAnsi="Times New Roman" w:cs="Times New Roman"/>
                <w:b/>
                <w:bCs/>
                <w:color w:val="auto"/>
                <w:sz w:val="24"/>
              </w:rPr>
              <w:t>水平衡</w:t>
            </w:r>
          </w:p>
          <w:p w14:paraId="62F866B9">
            <w:pPr>
              <w:pStyle w:val="11"/>
              <w:keepNext w:val="0"/>
              <w:keepLines w:val="0"/>
              <w:pageBreakBefore w:val="0"/>
              <w:widowControl w:val="0"/>
              <w:kinsoku/>
              <w:wordWrap/>
              <w:overflowPunct/>
              <w:topLinePunct w:val="0"/>
              <w:autoSpaceDE/>
              <w:autoSpaceDN/>
              <w:bidi w:val="0"/>
              <w:snapToGrid w:val="0"/>
              <w:spacing w:after="0" w:line="240" w:lineRule="auto"/>
              <w:ind w:left="0" w:leftChars="0" w:right="0" w:rightChars="0"/>
              <w:jc w:val="center"/>
              <w:textAlignment w:val="auto"/>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5417820" cy="1996440"/>
                  <wp:effectExtent l="0" t="0" r="7620" b="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8"/>
                          <a:stretch>
                            <a:fillRect/>
                          </a:stretch>
                        </pic:blipFill>
                        <pic:spPr>
                          <a:xfrm>
                            <a:off x="0" y="0"/>
                            <a:ext cx="5417820" cy="1996440"/>
                          </a:xfrm>
                          <a:prstGeom prst="rect">
                            <a:avLst/>
                          </a:prstGeom>
                          <a:noFill/>
                          <a:ln>
                            <a:noFill/>
                          </a:ln>
                        </pic:spPr>
                      </pic:pic>
                    </a:graphicData>
                  </a:graphic>
                </wp:inline>
              </w:drawing>
            </w:r>
          </w:p>
          <w:p w14:paraId="79CB5774">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图</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w:t>
            </w:r>
            <w:r>
              <w:rPr>
                <w:rFonts w:hint="eastAsia"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项目</w:t>
            </w:r>
            <w:r>
              <w:rPr>
                <w:rFonts w:hint="default" w:ascii="Times New Roman" w:hAnsi="Times New Roman" w:cs="Times New Roman"/>
                <w:b/>
                <w:color w:val="auto"/>
                <w:sz w:val="21"/>
                <w:szCs w:val="21"/>
                <w:highlight w:val="none"/>
              </w:rPr>
              <w:t>水平衡图（单位：t/a）</w:t>
            </w:r>
          </w:p>
          <w:p w14:paraId="51EB74EF">
            <w:pPr>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bCs/>
                <w:color w:val="auto"/>
                <w:kern w:val="0"/>
                <w:sz w:val="24"/>
                <w:lang w:val="en-US" w:eastAsia="zh-CN"/>
              </w:rPr>
              <w:t>7</w:t>
            </w:r>
            <w:r>
              <w:rPr>
                <w:rFonts w:hint="default" w:ascii="Times New Roman" w:hAnsi="Times New Roman" w:cs="Times New Roman"/>
                <w:b/>
                <w:bCs/>
                <w:color w:val="auto"/>
                <w:kern w:val="0"/>
                <w:sz w:val="24"/>
              </w:rPr>
              <w:t>、劳动定员及工作制度</w:t>
            </w:r>
          </w:p>
          <w:p w14:paraId="0D5BD362">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劳动定员</w:t>
            </w:r>
            <w:r>
              <w:rPr>
                <w:rFonts w:hint="default" w:ascii="Times New Roman" w:hAnsi="Times New Roman" w:cs="Times New Roman"/>
                <w:color w:val="auto"/>
                <w:sz w:val="24"/>
              </w:rPr>
              <w:t>为</w:t>
            </w:r>
            <w:r>
              <w:rPr>
                <w:rFonts w:hint="default" w:ascii="Times New Roman" w:hAnsi="Times New Roman" w:cs="Times New Roman"/>
                <w:color w:val="auto"/>
                <w:sz w:val="24"/>
                <w:lang w:val="en-US" w:eastAsia="zh-CN"/>
              </w:rPr>
              <w:t>15</w:t>
            </w:r>
            <w:r>
              <w:rPr>
                <w:rFonts w:hint="default" w:ascii="Times New Roman" w:hAnsi="Times New Roman" w:cs="Times New Roman"/>
                <w:color w:val="auto"/>
                <w:sz w:val="24"/>
              </w:rPr>
              <w:t>人，</w:t>
            </w:r>
            <w:r>
              <w:rPr>
                <w:rFonts w:hint="default" w:ascii="Times New Roman" w:hAnsi="Times New Roman" w:cs="Times New Roman"/>
                <w:color w:val="auto"/>
                <w:sz w:val="24"/>
                <w:lang w:eastAsia="zh-CN"/>
              </w:rPr>
              <w:t>采取</w:t>
            </w:r>
            <w:r>
              <w:rPr>
                <w:rFonts w:hint="default" w:ascii="Times New Roman" w:hAnsi="Times New Roman" w:cs="Times New Roman"/>
                <w:color w:val="auto"/>
                <w:sz w:val="24"/>
                <w:lang w:val="en-US" w:eastAsia="zh-CN"/>
              </w:rPr>
              <w:t>一</w:t>
            </w:r>
            <w:r>
              <w:rPr>
                <w:rFonts w:hint="default" w:ascii="Times New Roman" w:hAnsi="Times New Roman" w:cs="Times New Roman"/>
                <w:color w:val="auto"/>
                <w:sz w:val="24"/>
              </w:rPr>
              <w:t>班制生产，8h/班，年工作日约300天，年工作</w:t>
            </w:r>
            <w:r>
              <w:rPr>
                <w:rFonts w:hint="default" w:ascii="Times New Roman" w:hAnsi="Times New Roman" w:cs="Times New Roman"/>
                <w:color w:val="auto"/>
                <w:sz w:val="24"/>
                <w:lang w:val="en-US" w:eastAsia="zh-CN"/>
              </w:rPr>
              <w:t>24</w:t>
            </w:r>
            <w:r>
              <w:rPr>
                <w:rFonts w:hint="default" w:ascii="Times New Roman" w:hAnsi="Times New Roman" w:cs="Times New Roman"/>
                <w:color w:val="auto"/>
                <w:sz w:val="24"/>
              </w:rPr>
              <w:t>00小时，厂内</w:t>
            </w:r>
            <w:r>
              <w:rPr>
                <w:rFonts w:hint="default" w:ascii="Times New Roman" w:hAnsi="Times New Roman" w:cs="Times New Roman"/>
                <w:color w:val="auto"/>
                <w:sz w:val="24"/>
                <w:lang w:eastAsia="zh-CN"/>
              </w:rPr>
              <w:t>不</w:t>
            </w:r>
            <w:r>
              <w:rPr>
                <w:rFonts w:hint="default" w:ascii="Times New Roman" w:hAnsi="Times New Roman" w:cs="Times New Roman"/>
                <w:color w:val="auto"/>
                <w:sz w:val="24"/>
              </w:rPr>
              <w:t>设</w:t>
            </w:r>
            <w:r>
              <w:rPr>
                <w:rFonts w:hint="default" w:ascii="Times New Roman" w:hAnsi="Times New Roman" w:cs="Times New Roman"/>
                <w:color w:val="auto"/>
                <w:sz w:val="24"/>
                <w:lang w:eastAsia="zh-CN"/>
              </w:rPr>
              <w:t>食堂、</w:t>
            </w:r>
            <w:r>
              <w:rPr>
                <w:rFonts w:hint="default" w:ascii="Times New Roman" w:hAnsi="Times New Roman" w:cs="Times New Roman"/>
                <w:color w:val="auto"/>
                <w:sz w:val="24"/>
                <w:lang w:val="en-US" w:eastAsia="zh-CN"/>
              </w:rPr>
              <w:t>浴室及宿舍</w:t>
            </w:r>
            <w:r>
              <w:rPr>
                <w:rFonts w:hint="default" w:ascii="Times New Roman" w:hAnsi="Times New Roman" w:cs="Times New Roman"/>
                <w:color w:val="auto"/>
                <w:sz w:val="24"/>
              </w:rPr>
              <w:t>。</w:t>
            </w:r>
          </w:p>
          <w:p w14:paraId="704DB5F8">
            <w:pPr>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8</w:t>
            </w:r>
            <w:r>
              <w:rPr>
                <w:rFonts w:hint="default" w:ascii="Times New Roman" w:hAnsi="Times New Roman" w:cs="Times New Roman"/>
                <w:b/>
                <w:color w:val="auto"/>
                <w:sz w:val="24"/>
              </w:rPr>
              <w:t>、厂区平面布置</w:t>
            </w:r>
          </w:p>
          <w:p w14:paraId="19F678AD">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项目租用</w:t>
            </w:r>
            <w:r>
              <w:rPr>
                <w:rFonts w:hint="default" w:ascii="Times New Roman" w:hAnsi="Times New Roman" w:cs="Times New Roman"/>
                <w:color w:val="auto"/>
                <w:sz w:val="24"/>
                <w:szCs w:val="24"/>
                <w:highlight w:val="none"/>
                <w:lang w:val="en-US" w:eastAsia="zh-CN"/>
              </w:rPr>
              <w:t>天津国源港通燃料油有限公司</w:t>
            </w:r>
            <w:r>
              <w:rPr>
                <w:rFonts w:hint="default" w:ascii="Times New Roman" w:hAnsi="Times New Roman" w:cs="Times New Roman"/>
                <w:color w:val="auto"/>
                <w:sz w:val="24"/>
                <w:lang w:val="en-US" w:eastAsia="zh-CN"/>
              </w:rPr>
              <w:t>位于</w:t>
            </w:r>
            <w:r>
              <w:rPr>
                <w:rFonts w:hint="default" w:ascii="Times New Roman" w:hAnsi="Times New Roman" w:cs="Times New Roman"/>
                <w:color w:val="auto"/>
                <w:sz w:val="24"/>
                <w:lang w:eastAsia="zh-CN"/>
              </w:rPr>
              <w:t>常州市金坛区良常中路249号32号的</w:t>
            </w:r>
            <w:r>
              <w:rPr>
                <w:rFonts w:hint="default" w:ascii="Times New Roman" w:hAnsi="Times New Roman" w:cs="Times New Roman"/>
                <w:color w:val="auto"/>
                <w:sz w:val="24"/>
                <w:lang w:val="en-US" w:eastAsia="zh-CN"/>
              </w:rPr>
              <w:t>闲置车间生产，项目车间主体为1F，局部3F。生产区域位于车间1F西侧，车间1层1F为原料及成品仓库，车间2-3F为办公区。项目厂区平面布置图详见</w:t>
            </w:r>
            <w:r>
              <w:rPr>
                <w:rFonts w:hint="default" w:ascii="Times New Roman" w:hAnsi="Times New Roman" w:cs="Times New Roman"/>
                <w:color w:val="auto"/>
                <w:sz w:val="24"/>
                <w:highlight w:val="none"/>
                <w:lang w:val="en-US" w:eastAsia="zh-CN"/>
              </w:rPr>
              <w:t>附图3。</w:t>
            </w:r>
          </w:p>
          <w:p w14:paraId="132AA665">
            <w:pPr>
              <w:adjustRightInd w:val="0"/>
              <w:snapToGrid w:val="0"/>
              <w:spacing w:line="500" w:lineRule="exact"/>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9、厂区周围概况</w:t>
            </w:r>
          </w:p>
          <w:p w14:paraId="0E295B3C">
            <w:pPr>
              <w:spacing w:line="500" w:lineRule="exact"/>
              <w:ind w:firstLine="480" w:firstLineChars="200"/>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2"/>
                <w:lang w:val="en-US" w:eastAsia="zh-CN"/>
              </w:rPr>
              <w:t>本</w:t>
            </w:r>
            <w:r>
              <w:rPr>
                <w:rFonts w:hint="default" w:ascii="Times New Roman" w:hAnsi="Times New Roman" w:eastAsia="宋体" w:cs="Times New Roman"/>
                <w:color w:val="auto"/>
                <w:sz w:val="24"/>
                <w:szCs w:val="24"/>
                <w:lang w:val="en-US" w:eastAsia="zh-CN"/>
              </w:rPr>
              <w:t>项目</w:t>
            </w:r>
            <w:r>
              <w:rPr>
                <w:rFonts w:hint="default" w:ascii="Times New Roman" w:hAnsi="Times New Roman" w:cs="Times New Roman"/>
                <w:color w:val="auto"/>
                <w:sz w:val="24"/>
                <w:lang w:val="en-US" w:eastAsia="zh-CN"/>
              </w:rPr>
              <w:t>租用</w:t>
            </w:r>
            <w:r>
              <w:rPr>
                <w:rFonts w:hint="default" w:ascii="Times New Roman" w:hAnsi="Times New Roman" w:cs="Times New Roman"/>
                <w:color w:val="auto"/>
                <w:sz w:val="24"/>
                <w:szCs w:val="24"/>
                <w:highlight w:val="none"/>
                <w:lang w:val="en-US" w:eastAsia="zh-CN"/>
              </w:rPr>
              <w:t>天津国源港通</w:t>
            </w:r>
            <w:r>
              <w:rPr>
                <w:rFonts w:hint="default" w:ascii="Times New Roman" w:hAnsi="Times New Roman" w:eastAsia="宋体" w:cs="Times New Roman"/>
                <w:color w:val="auto"/>
                <w:sz w:val="24"/>
                <w:szCs w:val="24"/>
                <w:lang w:val="en-US" w:eastAsia="zh-CN"/>
              </w:rPr>
              <w:t>燃料油有限公司位于常州市金坛区良常中路249号32号的闲置车间生产，该车间位于凤凰城经济工业园内，车间四周均为</w:t>
            </w:r>
            <w:r>
              <w:rPr>
                <w:rFonts w:hint="default" w:ascii="Times New Roman" w:hAnsi="Times New Roman" w:cs="Times New Roman"/>
                <w:color w:val="auto"/>
                <w:sz w:val="24"/>
                <w:lang w:val="en-US" w:eastAsia="zh-CN"/>
              </w:rPr>
              <w:t>园区企业</w:t>
            </w:r>
            <w:r>
              <w:rPr>
                <w:rFonts w:hint="default" w:ascii="Times New Roman" w:hAnsi="Times New Roman" w:eastAsia="宋体" w:cs="Times New Roman"/>
                <w:color w:val="auto"/>
                <w:sz w:val="24"/>
                <w:szCs w:val="24"/>
                <w:lang w:val="en-US" w:eastAsia="zh-CN"/>
              </w:rPr>
              <w:t>。本项目周边500米范围土地利用现状见附图2。</w:t>
            </w:r>
          </w:p>
        </w:tc>
      </w:tr>
      <w:tr w14:paraId="25A0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4" w:hRule="atLeast"/>
        </w:trPr>
        <w:tc>
          <w:tcPr>
            <w:tcW w:w="777" w:type="dxa"/>
            <w:vAlign w:val="center"/>
          </w:tcPr>
          <w:p w14:paraId="090522F7">
            <w:pPr>
              <w:pStyle w:val="22"/>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color w:val="auto"/>
                <w:szCs w:val="24"/>
              </w:rPr>
              <w:t>工艺流程和产排污环节</w:t>
            </w:r>
          </w:p>
        </w:tc>
        <w:tc>
          <w:tcPr>
            <w:tcW w:w="8283" w:type="dxa"/>
          </w:tcPr>
          <w:p w14:paraId="0567019B">
            <w:pPr>
              <w:adjustRightInd w:val="0"/>
              <w:snapToGrid w:val="0"/>
              <w:spacing w:line="500" w:lineRule="exact"/>
              <w:ind w:firstLine="480" w:firstLineChars="200"/>
              <w:rPr>
                <w:rFonts w:hint="default" w:ascii="Times New Roman" w:hAnsi="Times New Roman" w:cs="Times New Roman"/>
                <w:b w:val="0"/>
                <w:bCs w:val="0"/>
                <w:color w:val="auto"/>
                <w:sz w:val="24"/>
                <w:lang w:eastAsia="zh-CN"/>
              </w:rPr>
            </w:pPr>
            <w:r>
              <w:rPr>
                <w:rFonts w:hint="default" w:ascii="Times New Roman" w:hAnsi="Times New Roman" w:cs="Times New Roman"/>
                <w:b w:val="0"/>
                <w:bCs w:val="0"/>
                <w:color w:val="auto"/>
                <w:sz w:val="24"/>
                <w:lang w:eastAsia="zh-CN"/>
              </w:rPr>
              <w:t>本项目建成后产品主要为</w:t>
            </w:r>
            <w:r>
              <w:rPr>
                <w:rFonts w:hint="default" w:ascii="Times New Roman" w:hAnsi="Times New Roman" w:cs="Times New Roman"/>
                <w:color w:val="auto"/>
                <w:sz w:val="24"/>
                <w:lang w:eastAsia="zh-CN"/>
              </w:rPr>
              <w:t>风机叶轮、风机外壳和风机</w:t>
            </w:r>
            <w:r>
              <w:rPr>
                <w:rFonts w:hint="default" w:ascii="Times New Roman" w:hAnsi="Times New Roman" w:cs="Times New Roman"/>
                <w:b w:val="0"/>
                <w:bCs w:val="0"/>
                <w:color w:val="auto"/>
                <w:sz w:val="24"/>
                <w:lang w:eastAsia="zh-CN"/>
              </w:rPr>
              <w:t>。</w:t>
            </w:r>
          </w:p>
          <w:p w14:paraId="46DE9CD0">
            <w:pPr>
              <w:adjustRightInd w:val="0"/>
              <w:snapToGrid w:val="0"/>
              <w:spacing w:line="500" w:lineRule="exact"/>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lang w:eastAsia="zh-CN"/>
              </w:rPr>
              <w:t>风机叶轮</w:t>
            </w:r>
            <w:r>
              <w:rPr>
                <w:rFonts w:hint="default" w:ascii="Times New Roman" w:hAnsi="Times New Roman" w:cs="Times New Roman"/>
                <w:b/>
                <w:bCs/>
                <w:color w:val="auto"/>
                <w:sz w:val="24"/>
                <w:lang w:val="en-US" w:eastAsia="zh-CN"/>
              </w:rPr>
              <w:t>生产工艺流程</w:t>
            </w:r>
          </w:p>
          <w:p w14:paraId="61697813">
            <w:pPr>
              <w:pStyle w:val="8"/>
              <w:numPr>
                <w:ilvl w:val="0"/>
                <w:numId w:val="0"/>
              </w:numPr>
              <w:ind w:right="113" w:right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drawing>
                <wp:inline distT="0" distB="0" distL="114300" distR="114300">
                  <wp:extent cx="2644140" cy="4930140"/>
                  <wp:effectExtent l="0" t="0" r="7620" b="762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9"/>
                          <a:stretch>
                            <a:fillRect/>
                          </a:stretch>
                        </pic:blipFill>
                        <pic:spPr>
                          <a:xfrm>
                            <a:off x="0" y="0"/>
                            <a:ext cx="2644140" cy="4930140"/>
                          </a:xfrm>
                          <a:prstGeom prst="rect">
                            <a:avLst/>
                          </a:prstGeom>
                          <a:noFill/>
                          <a:ln>
                            <a:noFill/>
                          </a:ln>
                        </pic:spPr>
                      </pic:pic>
                    </a:graphicData>
                  </a:graphic>
                </wp:inline>
              </w:drawing>
            </w:r>
          </w:p>
          <w:p w14:paraId="58457DE5">
            <w:pPr>
              <w:pStyle w:val="11"/>
              <w:keepNext w:val="0"/>
              <w:keepLines w:val="0"/>
              <w:pageBreakBefore w:val="0"/>
              <w:widowControl w:val="0"/>
              <w:kinsoku/>
              <w:wordWrap/>
              <w:overflowPunct/>
              <w:topLinePunct w:val="0"/>
              <w:autoSpaceDE/>
              <w:autoSpaceDN/>
              <w:bidi w:val="0"/>
              <w:adjustRightInd w:val="0"/>
              <w:snapToGrid w:val="0"/>
              <w:spacing w:before="120" w:after="0" w:line="240" w:lineRule="auto"/>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color w:val="auto"/>
              </w:rPr>
              <w:drawing>
                <wp:inline distT="0" distB="0" distL="114300" distR="114300">
                  <wp:extent cx="635" cy="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0"/>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635" cy="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0"/>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635" cy="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r>
              <w:rPr>
                <w:rFonts w:hint="default" w:ascii="Times New Roman" w:hAnsi="Times New Roman" w:eastAsia="宋体" w:cs="Times New Roman"/>
                <w:b/>
                <w:color w:val="auto"/>
                <w:sz w:val="21"/>
                <w:szCs w:val="21"/>
                <w:highlight w:val="none"/>
                <w:lang w:val="en-US" w:eastAsia="zh-CN"/>
              </w:rPr>
              <w:t>图2-</w:t>
            </w:r>
            <w:r>
              <w:rPr>
                <w:rFonts w:hint="eastAsia" w:ascii="Times New Roman" w:hAnsi="Times New Roman"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lang w:val="en-US" w:eastAsia="zh-CN"/>
              </w:rPr>
              <w:t>风机叶轮生产工艺流程及产污环节图</w:t>
            </w:r>
          </w:p>
          <w:p w14:paraId="70E7A147">
            <w:pPr>
              <w:pStyle w:val="11"/>
              <w:keepNext w:val="0"/>
              <w:keepLines w:val="0"/>
              <w:pageBreakBefore w:val="0"/>
              <w:widowControl w:val="0"/>
              <w:kinsoku/>
              <w:overflowPunct/>
              <w:topLinePunct w:val="0"/>
              <w:autoSpaceDE/>
              <w:autoSpaceDN/>
              <w:bidi w:val="0"/>
              <w:adjustRightInd w:val="0"/>
              <w:snapToGrid w:val="0"/>
              <w:spacing w:after="0" w:line="500" w:lineRule="exact"/>
              <w:ind w:left="0" w:leftChars="0" w:right="0" w:rightChars="0" w:firstLine="0" w:firstLineChars="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工艺流程说明：</w:t>
            </w:r>
          </w:p>
          <w:p w14:paraId="033F1564">
            <w:pPr>
              <w:keepNext w:val="0"/>
              <w:keepLines w:val="0"/>
              <w:pageBreakBefore w:val="0"/>
              <w:widowControl w:val="0"/>
              <w:kinsoku/>
              <w:wordWrap/>
              <w:overflowPunct/>
              <w:topLinePunct w:val="0"/>
              <w:autoSpaceDE/>
              <w:autoSpaceDN/>
              <w:bidi w:val="0"/>
              <w:adjustRightInd w:val="0"/>
              <w:snapToGrid w:val="0"/>
              <w:spacing w:line="500" w:lineRule="exact"/>
              <w:ind w:right="0" w:firstLine="482"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投</w:t>
            </w:r>
            <w:r>
              <w:rPr>
                <w:rFonts w:hint="default" w:ascii="Times New Roman" w:hAnsi="Times New Roman" w:eastAsia="宋体" w:cs="Times New Roman"/>
                <w:b/>
                <w:bCs/>
                <w:color w:val="auto"/>
                <w:kern w:val="2"/>
                <w:sz w:val="24"/>
                <w:szCs w:val="24"/>
                <w:lang w:val="en-US" w:eastAsia="zh-CN" w:bidi="ar-SA"/>
              </w:rPr>
              <w:t>料</w:t>
            </w: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根据产品配方，将PP粒子、色母粒等原料拆包后人工投入挤出机料仓内。PP粒子、色母粒等塑料粒子粒径较大，投料时不会产生粉尘。原料拆包时会产生</w:t>
            </w:r>
            <w:r>
              <w:rPr>
                <w:rFonts w:hint="eastAsia" w:ascii="Times New Roman" w:hAnsi="Times New Roman" w:cs="Times New Roman"/>
                <w:color w:val="auto"/>
                <w:kern w:val="2"/>
                <w:sz w:val="24"/>
                <w:szCs w:val="24"/>
                <w:lang w:val="en-US" w:eastAsia="zh-CN" w:bidi="ar-SA"/>
              </w:rPr>
              <w:t>废包装袋</w:t>
            </w:r>
            <w:r>
              <w:rPr>
                <w:rFonts w:hint="default" w:ascii="Times New Roman" w:hAnsi="Times New Roman" w:eastAsia="宋体" w:cs="Times New Roman"/>
                <w:color w:val="auto"/>
                <w:kern w:val="2"/>
                <w:sz w:val="24"/>
                <w:szCs w:val="24"/>
                <w:lang w:val="en-US" w:eastAsia="zh-CN" w:bidi="ar-SA"/>
              </w:rPr>
              <w:t>（S1-1）。</w:t>
            </w:r>
          </w:p>
          <w:p w14:paraId="37D23570">
            <w:pPr>
              <w:keepNext w:val="0"/>
              <w:keepLines w:val="0"/>
              <w:pageBreakBefore w:val="0"/>
              <w:widowControl w:val="0"/>
              <w:numPr>
                <w:ilvl w:val="0"/>
                <w:numId w:val="0"/>
              </w:numPr>
              <w:tabs>
                <w:tab w:val="left" w:pos="2846"/>
                <w:tab w:val="left" w:pos="4382"/>
                <w:tab w:val="left" w:pos="4451"/>
                <w:tab w:val="left" w:pos="6056"/>
              </w:tabs>
              <w:kinsoku/>
              <w:wordWrap w:val="0"/>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b/>
                <w:bCs/>
                <w:color w:val="auto"/>
                <w:sz w:val="24"/>
                <w:szCs w:val="24"/>
              </w:rPr>
              <w:t>挤出</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塑料粒子</w:t>
            </w:r>
            <w:r>
              <w:rPr>
                <w:rFonts w:hint="default" w:ascii="Times New Roman" w:hAnsi="Times New Roman" w:cs="Times New Roman"/>
                <w:b w:val="0"/>
                <w:bCs w:val="0"/>
                <w:color w:val="auto"/>
                <w:sz w:val="24"/>
                <w:szCs w:val="24"/>
              </w:rPr>
              <w:t>采用电加热的方式加温至合适温度（</w:t>
            </w:r>
            <w:r>
              <w:rPr>
                <w:rFonts w:hint="default" w:ascii="Times New Roman" w:hAnsi="Times New Roman" w:cs="Times New Roman"/>
                <w:b w:val="0"/>
                <w:bCs w:val="0"/>
                <w:color w:val="auto"/>
                <w:sz w:val="24"/>
                <w:szCs w:val="24"/>
                <w:lang w:val="en-US" w:eastAsia="zh-CN"/>
              </w:rPr>
              <w:t>16</w:t>
            </w:r>
            <w:r>
              <w:rPr>
                <w:rFonts w:hint="default" w:ascii="Times New Roman" w:hAnsi="Times New Roman" w:cs="Times New Roman"/>
                <w:b w:val="0"/>
                <w:bCs w:val="0"/>
                <w:color w:val="auto"/>
                <w:sz w:val="24"/>
                <w:szCs w:val="24"/>
              </w:rPr>
              <w:t>0℃左右），</w:t>
            </w:r>
            <w:r>
              <w:rPr>
                <w:rFonts w:hint="default" w:ascii="Times New Roman" w:hAnsi="Times New Roman" w:cs="Times New Roman"/>
                <w:b w:val="0"/>
                <w:bCs w:val="0"/>
                <w:color w:val="auto"/>
                <w:sz w:val="24"/>
                <w:szCs w:val="24"/>
                <w:shd w:val="clear" w:color="auto" w:fill="FFFFFF"/>
              </w:rPr>
              <w:t>熔融共混的</w:t>
            </w:r>
            <w:r>
              <w:rPr>
                <w:rFonts w:hint="default" w:ascii="Times New Roman" w:hAnsi="Times New Roman" w:cs="Times New Roman"/>
                <w:b w:val="0"/>
                <w:bCs w:val="0"/>
                <w:color w:val="auto"/>
                <w:sz w:val="24"/>
                <w:szCs w:val="24"/>
              </w:rPr>
              <w:t>物料经</w:t>
            </w:r>
            <w:r>
              <w:rPr>
                <w:rFonts w:hint="default" w:ascii="Times New Roman" w:hAnsi="Times New Roman" w:cs="Times New Roman"/>
                <w:b w:val="0"/>
                <w:bCs w:val="0"/>
                <w:color w:val="auto"/>
                <w:sz w:val="24"/>
                <w:szCs w:val="24"/>
                <w:lang w:val="en-US" w:eastAsia="zh-CN"/>
              </w:rPr>
              <w:t>挤出机</w:t>
            </w:r>
            <w:r>
              <w:rPr>
                <w:rFonts w:hint="default" w:ascii="Times New Roman" w:hAnsi="Times New Roman" w:cs="Times New Roman"/>
                <w:b w:val="0"/>
                <w:bCs w:val="0"/>
                <w:color w:val="auto"/>
                <w:sz w:val="24"/>
                <w:szCs w:val="24"/>
              </w:rPr>
              <w:t>模头挤出。经核实，</w:t>
            </w:r>
            <w:r>
              <w:rPr>
                <w:rFonts w:hint="default" w:ascii="Times New Roman" w:hAnsi="Times New Roman" w:cs="Times New Roman"/>
                <w:b w:val="0"/>
                <w:bCs w:val="0"/>
                <w:color w:val="auto"/>
                <w:sz w:val="24"/>
                <w:szCs w:val="24"/>
                <w:shd w:val="clear" w:color="auto" w:fill="FFFFFF"/>
              </w:rPr>
              <w:t>在此温度下</w:t>
            </w:r>
            <w:r>
              <w:rPr>
                <w:rFonts w:hint="default" w:ascii="Times New Roman" w:hAnsi="Times New Roman" w:cs="Times New Roman"/>
                <w:b w:val="0"/>
                <w:bCs w:val="0"/>
                <w:color w:val="auto"/>
                <w:sz w:val="24"/>
                <w:szCs w:val="24"/>
              </w:rPr>
              <w:t>塑料粒子</w:t>
            </w:r>
            <w:r>
              <w:rPr>
                <w:rFonts w:hint="default" w:ascii="Times New Roman" w:hAnsi="Times New Roman" w:cs="Times New Roman"/>
                <w:b w:val="0"/>
                <w:bCs w:val="0"/>
                <w:color w:val="auto"/>
                <w:sz w:val="24"/>
                <w:szCs w:val="24"/>
                <w:shd w:val="clear" w:color="auto" w:fill="FFFFFF"/>
              </w:rPr>
              <w:t>不会发生高分子断链，不发生化学反应（仅为物理交联），但</w:t>
            </w:r>
            <w:r>
              <w:rPr>
                <w:rFonts w:hint="default" w:ascii="Times New Roman" w:hAnsi="Times New Roman" w:cs="Times New Roman"/>
                <w:b w:val="0"/>
                <w:bCs w:val="0"/>
                <w:color w:val="auto"/>
                <w:kern w:val="0"/>
                <w:sz w:val="24"/>
                <w:szCs w:val="24"/>
              </w:rPr>
              <w:t>在受热情况下，塑料中残存未聚合的反应单体以及从聚合物中分解出来的单体可挥发出来</w:t>
            </w:r>
            <w:r>
              <w:rPr>
                <w:rFonts w:hint="default" w:ascii="Times New Roman" w:hAnsi="Times New Roman" w:cs="Times New Roman"/>
                <w:b w:val="0"/>
                <w:bCs w:val="0"/>
                <w:color w:val="auto"/>
                <w:sz w:val="24"/>
                <w:szCs w:val="24"/>
                <w:shd w:val="clear" w:color="auto" w:fill="FFFFFF"/>
              </w:rPr>
              <w:t>，</w:t>
            </w:r>
            <w:r>
              <w:rPr>
                <w:rFonts w:hint="default" w:ascii="Times New Roman" w:hAnsi="Times New Roman" w:cs="Times New Roman"/>
                <w:b w:val="0"/>
                <w:bCs w:val="0"/>
                <w:color w:val="auto"/>
                <w:kern w:val="0"/>
                <w:sz w:val="24"/>
                <w:szCs w:val="24"/>
              </w:rPr>
              <w:t>产生挤出废气（G</w:t>
            </w:r>
            <w:r>
              <w:rPr>
                <w:rFonts w:hint="default" w:ascii="Times New Roman" w:hAnsi="Times New Roman" w:cs="Times New Roman"/>
                <w:b w:val="0"/>
                <w:bCs w:val="0"/>
                <w:color w:val="auto"/>
                <w:kern w:val="0"/>
                <w:sz w:val="24"/>
                <w:szCs w:val="24"/>
                <w:vertAlign w:val="baseline"/>
                <w:lang w:val="en-US" w:eastAsia="zh-CN"/>
              </w:rPr>
              <w:t>1-1</w:t>
            </w:r>
            <w:r>
              <w:rPr>
                <w:rFonts w:hint="default" w:ascii="Times New Roman" w:hAnsi="Times New Roman" w:cs="Times New Roman"/>
                <w:b w:val="0"/>
                <w:bCs w:val="0"/>
                <w:color w:val="auto"/>
                <w:kern w:val="0"/>
                <w:sz w:val="24"/>
                <w:szCs w:val="24"/>
              </w:rPr>
              <w:t>）。</w:t>
            </w:r>
          </w:p>
          <w:p w14:paraId="07FB1F7C">
            <w:pPr>
              <w:keepNext w:val="0"/>
              <w:keepLines w:val="0"/>
              <w:pageBreakBefore w:val="0"/>
              <w:widowControl w:val="0"/>
              <w:kinsoku/>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b/>
                <w:bCs/>
                <w:color w:val="auto"/>
                <w:sz w:val="24"/>
                <w:szCs w:val="24"/>
                <w:highlight w:val="none"/>
                <w:lang w:val="en-US" w:eastAsia="zh-CN"/>
              </w:rPr>
              <w:t>压塑成型</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kern w:val="2"/>
                <w:sz w:val="24"/>
                <w:szCs w:val="24"/>
                <w:lang w:val="en-US" w:eastAsia="zh-CN" w:bidi="ar-SA"/>
              </w:rPr>
              <w:t>熔融态的物料</w:t>
            </w:r>
            <w:r>
              <w:rPr>
                <w:rFonts w:hint="default" w:ascii="Times New Roman" w:hAnsi="Times New Roman" w:cs="Times New Roman"/>
                <w:color w:val="auto"/>
                <w:kern w:val="2"/>
                <w:sz w:val="24"/>
                <w:szCs w:val="24"/>
                <w:lang w:val="en-US" w:eastAsia="zh-CN" w:bidi="ar-SA"/>
              </w:rPr>
              <w:t>转移</w:t>
            </w:r>
            <w:r>
              <w:rPr>
                <w:rFonts w:hint="default" w:ascii="Times New Roman" w:hAnsi="Times New Roman" w:eastAsia="宋体" w:cs="Times New Roman"/>
                <w:color w:val="auto"/>
                <w:kern w:val="2"/>
                <w:sz w:val="24"/>
                <w:szCs w:val="24"/>
                <w:lang w:val="en-US" w:eastAsia="zh-CN" w:bidi="ar-SA"/>
              </w:rPr>
              <w:t>至压塑机模具中，制成所需形状规格的风机叶轮。压塑</w:t>
            </w:r>
            <w:r>
              <w:rPr>
                <w:rFonts w:hint="default" w:ascii="Times New Roman" w:hAnsi="Times New Roman" w:cs="Times New Roman"/>
                <w:color w:val="auto"/>
                <w:kern w:val="2"/>
                <w:sz w:val="24"/>
                <w:szCs w:val="24"/>
                <w:lang w:val="en-US" w:eastAsia="zh-CN" w:bidi="ar-SA"/>
              </w:rPr>
              <w:t>过程不加热</w:t>
            </w:r>
            <w:r>
              <w:rPr>
                <w:rFonts w:hint="default" w:ascii="Times New Roman" w:hAnsi="Times New Roman" w:eastAsia="宋体" w:cs="Times New Roman"/>
                <w:color w:val="auto"/>
                <w:kern w:val="2"/>
                <w:sz w:val="24"/>
                <w:szCs w:val="24"/>
                <w:lang w:val="en-US" w:eastAsia="zh-CN" w:bidi="ar-SA"/>
              </w:rPr>
              <w:t>，此过程熔融态的物料</w:t>
            </w:r>
            <w:r>
              <w:rPr>
                <w:rFonts w:hint="default" w:ascii="Times New Roman" w:hAnsi="Times New Roman" w:cs="Times New Roman"/>
                <w:color w:val="auto"/>
                <w:kern w:val="2"/>
                <w:sz w:val="24"/>
                <w:szCs w:val="24"/>
                <w:lang w:val="en-US" w:eastAsia="zh-CN" w:bidi="ar-SA"/>
              </w:rPr>
              <w:t>继续挥发产生</w:t>
            </w:r>
            <w:r>
              <w:rPr>
                <w:rFonts w:hint="default" w:ascii="Times New Roman" w:hAnsi="Times New Roman" w:eastAsia="宋体" w:cs="Times New Roman"/>
                <w:color w:val="auto"/>
                <w:kern w:val="2"/>
                <w:sz w:val="24"/>
                <w:szCs w:val="24"/>
                <w:lang w:val="en-US" w:eastAsia="zh-CN" w:bidi="ar-SA"/>
              </w:rPr>
              <w:t>有机废气(G1-2)。</w:t>
            </w:r>
          </w:p>
          <w:p w14:paraId="0F8E6ACA">
            <w:pPr>
              <w:keepNext w:val="0"/>
              <w:keepLines w:val="0"/>
              <w:pageBreakBefore w:val="0"/>
              <w:widowControl w:val="0"/>
              <w:tabs>
                <w:tab w:val="left" w:pos="2846"/>
                <w:tab w:val="left" w:pos="4382"/>
                <w:tab w:val="left" w:pos="4451"/>
                <w:tab w:val="left" w:pos="6056"/>
              </w:tabs>
              <w:kinsoku/>
              <w:wordWrap w:val="0"/>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修</w:t>
            </w:r>
            <w:r>
              <w:rPr>
                <w:rFonts w:hint="default" w:ascii="Times New Roman" w:hAnsi="Times New Roman" w:eastAsia="宋体" w:cs="Times New Roman"/>
                <w:color w:val="auto"/>
                <w:sz w:val="24"/>
                <w:szCs w:val="24"/>
                <w:highlight w:val="none"/>
                <w:lang w:val="en-US" w:eastAsia="zh-CN"/>
              </w:rPr>
              <w:t>边：</w:t>
            </w:r>
            <w:r>
              <w:rPr>
                <w:rFonts w:hint="default" w:ascii="Times New Roman" w:hAnsi="Times New Roman" w:cs="Times New Roman"/>
                <w:color w:val="auto"/>
                <w:sz w:val="24"/>
                <w:szCs w:val="24"/>
                <w:highlight w:val="none"/>
                <w:lang w:val="en-US" w:eastAsia="zh-CN"/>
              </w:rPr>
              <w:t>自然</w:t>
            </w:r>
            <w:r>
              <w:rPr>
                <w:rFonts w:hint="default" w:ascii="Times New Roman" w:hAnsi="Times New Roman" w:eastAsia="宋体" w:cs="Times New Roman"/>
                <w:color w:val="auto"/>
                <w:sz w:val="24"/>
                <w:szCs w:val="24"/>
                <w:highlight w:val="none"/>
                <w:lang w:val="en-US" w:eastAsia="zh-CN"/>
              </w:rPr>
              <w:t>冷却后的工件从模具取出，采用人工修边，用刀具对产品的边角进行修正</w:t>
            </w:r>
            <w:r>
              <w:rPr>
                <w:rFonts w:hint="default" w:ascii="Times New Roman" w:hAnsi="Times New Roman" w:cs="Times New Roman"/>
                <w:color w:val="auto"/>
                <w:sz w:val="24"/>
                <w:szCs w:val="24"/>
                <w:highlight w:val="none"/>
                <w:lang w:val="en-US" w:eastAsia="zh-CN"/>
              </w:rPr>
              <w:t>，此工序</w:t>
            </w:r>
            <w:r>
              <w:rPr>
                <w:rFonts w:hint="default" w:ascii="Times New Roman" w:hAnsi="Times New Roman" w:eastAsia="宋体" w:cs="Times New Roman"/>
                <w:color w:val="auto"/>
                <w:sz w:val="24"/>
                <w:szCs w:val="24"/>
                <w:highlight w:val="none"/>
                <w:lang w:val="en-US" w:eastAsia="zh-CN"/>
              </w:rPr>
              <w:t>产生</w:t>
            </w:r>
            <w:r>
              <w:rPr>
                <w:rFonts w:hint="default" w:ascii="Times New Roman" w:hAnsi="Times New Roman" w:cs="Times New Roman"/>
                <w:color w:val="auto"/>
                <w:sz w:val="24"/>
                <w:szCs w:val="24"/>
                <w:highlight w:val="none"/>
                <w:lang w:val="en-US" w:eastAsia="zh-CN"/>
              </w:rPr>
              <w:t>少量</w:t>
            </w:r>
            <w:r>
              <w:rPr>
                <w:rFonts w:hint="default" w:ascii="Times New Roman" w:hAnsi="Times New Roman" w:eastAsia="宋体" w:cs="Times New Roman"/>
                <w:color w:val="auto"/>
                <w:sz w:val="24"/>
                <w:szCs w:val="24"/>
                <w:highlight w:val="none"/>
                <w:lang w:val="en-US" w:eastAsia="zh-CN"/>
              </w:rPr>
              <w:t>边角料(S</w:t>
            </w:r>
            <w:r>
              <w:rPr>
                <w:rFonts w:hint="default" w:ascii="Times New Roman" w:hAnsi="Times New Roman"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w:t>
            </w:r>
          </w:p>
          <w:p w14:paraId="367046AE">
            <w:pPr>
              <w:keepNext w:val="0"/>
              <w:keepLines w:val="0"/>
              <w:pageBreakBefore w:val="0"/>
              <w:widowControl w:val="0"/>
              <w:tabs>
                <w:tab w:val="left" w:pos="2846"/>
                <w:tab w:val="left" w:pos="4382"/>
                <w:tab w:val="left" w:pos="4451"/>
                <w:tab w:val="left" w:pos="6056"/>
              </w:tabs>
              <w:kinsoku/>
              <w:wordWrap w:val="0"/>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检验：人工对产品进行外观、尺寸进行检验，检验合格的产品进入</w:t>
            </w:r>
            <w:r>
              <w:rPr>
                <w:rFonts w:hint="default" w:ascii="Times New Roman" w:hAnsi="Times New Roman" w:cs="Times New Roman"/>
                <w:color w:val="auto"/>
                <w:sz w:val="24"/>
                <w:szCs w:val="24"/>
                <w:highlight w:val="none"/>
                <w:lang w:val="en-US" w:eastAsia="zh-CN"/>
              </w:rPr>
              <w:t>动</w:t>
            </w:r>
            <w:r>
              <w:rPr>
                <w:rFonts w:hint="default" w:ascii="Times New Roman" w:hAnsi="Times New Roman" w:eastAsia="宋体" w:cs="Times New Roman"/>
                <w:color w:val="auto"/>
                <w:sz w:val="24"/>
                <w:szCs w:val="24"/>
                <w:highlight w:val="none"/>
                <w:lang w:val="en-US" w:eastAsia="zh-CN"/>
              </w:rPr>
              <w:t>平衡工序。此工序产生少量次品(S1-3)。</w:t>
            </w:r>
          </w:p>
          <w:p w14:paraId="4B386977">
            <w:pPr>
              <w:keepNext w:val="0"/>
              <w:keepLines w:val="0"/>
              <w:pageBreakBefore w:val="0"/>
              <w:widowControl w:val="0"/>
              <w:tabs>
                <w:tab w:val="left" w:pos="2846"/>
                <w:tab w:val="left" w:pos="4382"/>
                <w:tab w:val="left" w:pos="4451"/>
                <w:tab w:val="left" w:pos="6056"/>
              </w:tabs>
              <w:kinsoku/>
              <w:wordWrap w:val="0"/>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动</w:t>
            </w:r>
            <w:r>
              <w:rPr>
                <w:rFonts w:hint="default" w:ascii="Times New Roman" w:hAnsi="Times New Roman" w:eastAsia="宋体" w:cs="Times New Roman"/>
                <w:color w:val="auto"/>
                <w:sz w:val="24"/>
                <w:szCs w:val="24"/>
                <w:highlight w:val="none"/>
                <w:lang w:val="en-US" w:eastAsia="zh-CN"/>
              </w:rPr>
              <w:t>平衡</w:t>
            </w:r>
            <w:r>
              <w:rPr>
                <w:rFonts w:hint="default" w:ascii="Times New Roman" w:hAnsi="Times New Roman" w:cs="Times New Roman"/>
                <w:color w:val="auto"/>
                <w:sz w:val="24"/>
                <w:szCs w:val="24"/>
                <w:highlight w:val="none"/>
                <w:lang w:val="en-US" w:eastAsia="zh-CN"/>
              </w:rPr>
              <w:t>、补焊</w:t>
            </w:r>
            <w:r>
              <w:rPr>
                <w:rFonts w:hint="default" w:ascii="Times New Roman" w:hAnsi="Times New Roman" w:eastAsia="宋体" w:cs="Times New Roman"/>
                <w:color w:val="auto"/>
                <w:sz w:val="24"/>
                <w:szCs w:val="24"/>
                <w:highlight w:val="none"/>
                <w:lang w:val="en-US" w:eastAsia="zh-CN"/>
              </w:rPr>
              <w:t>：使用平衡机对风机叶轮进行动平衡测试</w:t>
            </w:r>
            <w:r>
              <w:rPr>
                <w:rFonts w:hint="default" w:ascii="Times New Roman" w:hAnsi="Times New Roman" w:cs="Times New Roman"/>
                <w:color w:val="auto"/>
                <w:sz w:val="24"/>
                <w:szCs w:val="24"/>
                <w:highlight w:val="none"/>
                <w:lang w:val="en-US" w:eastAsia="zh-CN"/>
              </w:rPr>
              <w:t>，合格的入库暂存。不合格</w:t>
            </w:r>
            <w:r>
              <w:rPr>
                <w:rFonts w:hint="eastAsia" w:ascii="Times New Roman" w:hAnsi="Times New Roman" w:cs="Times New Roman"/>
                <w:color w:val="auto"/>
                <w:sz w:val="24"/>
                <w:szCs w:val="24"/>
                <w:highlight w:val="none"/>
                <w:lang w:val="en-US" w:eastAsia="zh-CN"/>
              </w:rPr>
              <w:t>通过</w:t>
            </w:r>
            <w:r>
              <w:rPr>
                <w:rFonts w:hint="default" w:ascii="Times New Roman" w:hAnsi="Times New Roman" w:eastAsia="宋体" w:cs="Times New Roman"/>
                <w:color w:val="auto"/>
                <w:sz w:val="24"/>
                <w:szCs w:val="24"/>
                <w:highlight w:val="none"/>
                <w:lang w:val="en-US" w:eastAsia="zh-CN"/>
              </w:rPr>
              <w:t>在叶轮适当位置安装</w:t>
            </w:r>
            <w:r>
              <w:rPr>
                <w:rFonts w:hint="default" w:ascii="Times New Roman" w:hAnsi="Times New Roman" w:cs="Times New Roman"/>
                <w:color w:val="auto"/>
                <w:sz w:val="24"/>
                <w:szCs w:val="24"/>
                <w:highlight w:val="none"/>
                <w:lang w:val="en-US" w:eastAsia="zh-CN"/>
              </w:rPr>
              <w:t>塑料</w:t>
            </w:r>
            <w:r>
              <w:rPr>
                <w:rFonts w:hint="default" w:ascii="Times New Roman" w:hAnsi="Times New Roman" w:eastAsia="宋体" w:cs="Times New Roman"/>
                <w:color w:val="auto"/>
                <w:sz w:val="24"/>
                <w:szCs w:val="24"/>
                <w:highlight w:val="none"/>
                <w:lang w:val="en-US" w:eastAsia="zh-CN"/>
              </w:rPr>
              <w:t>平衡块来改变叶轮的质量分布，调整叶轮的平衡状态</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调整好的风机叶轮入库暂存。平衡块</w:t>
            </w:r>
            <w:r>
              <w:rPr>
                <w:rFonts w:hint="default" w:ascii="Times New Roman" w:hAnsi="Times New Roman" w:cs="Times New Roman"/>
                <w:color w:val="auto"/>
                <w:sz w:val="24"/>
                <w:szCs w:val="24"/>
                <w:highlight w:val="none"/>
                <w:lang w:val="en-US" w:eastAsia="zh-CN"/>
              </w:rPr>
              <w:t>采用热熔焊接工艺焊接在</w:t>
            </w:r>
            <w:r>
              <w:rPr>
                <w:rFonts w:hint="default" w:ascii="Times New Roman" w:hAnsi="Times New Roman" w:eastAsia="宋体" w:cs="Times New Roman"/>
                <w:color w:val="auto"/>
                <w:sz w:val="24"/>
                <w:szCs w:val="24"/>
                <w:highlight w:val="none"/>
                <w:lang w:val="en-US" w:eastAsia="zh-CN"/>
              </w:rPr>
              <w:t>叶轮</w:t>
            </w:r>
            <w:r>
              <w:rPr>
                <w:rFonts w:hint="default" w:ascii="Times New Roman" w:hAnsi="Times New Roman" w:cs="Times New Roman"/>
                <w:color w:val="auto"/>
                <w:sz w:val="24"/>
                <w:szCs w:val="24"/>
                <w:highlight w:val="none"/>
                <w:lang w:val="en-US" w:eastAsia="zh-CN"/>
              </w:rPr>
              <w:t>上，焊接工序产生少量有机废气</w:t>
            </w:r>
            <w:r>
              <w:rPr>
                <w:rFonts w:hint="default" w:ascii="Times New Roman" w:hAnsi="Times New Roman" w:eastAsia="宋体" w:cs="Times New Roman"/>
                <w:color w:val="auto"/>
                <w:kern w:val="2"/>
                <w:sz w:val="24"/>
                <w:szCs w:val="24"/>
                <w:lang w:val="en-US" w:eastAsia="zh-CN" w:bidi="ar-SA"/>
              </w:rPr>
              <w:t>(G1-</w:t>
            </w:r>
            <w:r>
              <w:rPr>
                <w:rFonts w:hint="default" w:ascii="Times New Roman" w:hAnsi="Times New Roman"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sz w:val="24"/>
                <w:szCs w:val="24"/>
                <w:highlight w:val="none"/>
                <w:lang w:val="en-US" w:eastAsia="zh-CN"/>
              </w:rPr>
              <w:t>。</w:t>
            </w:r>
          </w:p>
          <w:p w14:paraId="62088880">
            <w:pPr>
              <w:adjustRightInd w:val="0"/>
              <w:snapToGrid w:val="0"/>
              <w:spacing w:line="500" w:lineRule="exact"/>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lang w:eastAsia="zh-CN"/>
              </w:rPr>
              <w:t>风机</w:t>
            </w:r>
            <w:r>
              <w:rPr>
                <w:rFonts w:hint="default" w:ascii="Times New Roman" w:hAnsi="Times New Roman" w:cs="Times New Roman"/>
                <w:b/>
                <w:bCs/>
                <w:color w:val="auto"/>
                <w:sz w:val="24"/>
                <w:lang w:val="en-US" w:eastAsia="zh-CN"/>
              </w:rPr>
              <w:t>外壳生产工艺流程</w:t>
            </w:r>
          </w:p>
          <w:p w14:paraId="2645599B">
            <w:pPr>
              <w:pStyle w:val="8"/>
              <w:numPr>
                <w:ilvl w:val="0"/>
                <w:numId w:val="0"/>
              </w:numPr>
              <w:ind w:right="113" w:right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drawing>
                <wp:inline distT="0" distB="0" distL="114300" distR="114300">
                  <wp:extent cx="635" cy="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635" cy="0"/>
                          </a:xfrm>
                          <a:prstGeom prst="rect">
                            <a:avLst/>
                          </a:prstGeom>
                          <a:noFill/>
                          <a:ln>
                            <a:noFill/>
                          </a:ln>
                        </pic:spPr>
                      </pic:pic>
                    </a:graphicData>
                  </a:graphic>
                </wp:inline>
              </w:drawing>
            </w:r>
            <w:r>
              <w:rPr>
                <w:color w:val="auto"/>
              </w:rPr>
              <w:drawing>
                <wp:inline distT="0" distB="0" distL="114300" distR="114300">
                  <wp:extent cx="1821180" cy="3695700"/>
                  <wp:effectExtent l="0" t="0" r="7620"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tretch>
                            <a:fillRect/>
                          </a:stretch>
                        </pic:blipFill>
                        <pic:spPr>
                          <a:xfrm>
                            <a:off x="0" y="0"/>
                            <a:ext cx="1821180" cy="3695700"/>
                          </a:xfrm>
                          <a:prstGeom prst="rect">
                            <a:avLst/>
                          </a:prstGeom>
                          <a:noFill/>
                          <a:ln>
                            <a:noFill/>
                          </a:ln>
                        </pic:spPr>
                      </pic:pic>
                    </a:graphicData>
                  </a:graphic>
                </wp:inline>
              </w:drawing>
            </w:r>
          </w:p>
          <w:p w14:paraId="1F9981B4">
            <w:pPr>
              <w:pStyle w:val="11"/>
              <w:keepNext w:val="0"/>
              <w:keepLines w:val="0"/>
              <w:pageBreakBefore w:val="0"/>
              <w:widowControl w:val="0"/>
              <w:kinsoku/>
              <w:wordWrap/>
              <w:overflowPunct/>
              <w:topLinePunct w:val="0"/>
              <w:autoSpaceDE/>
              <w:autoSpaceDN/>
              <w:bidi w:val="0"/>
              <w:adjustRightInd w:val="0"/>
              <w:snapToGrid w:val="0"/>
              <w:spacing w:before="120" w:after="0" w:line="240" w:lineRule="auto"/>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color w:val="auto"/>
              </w:rPr>
              <w:drawing>
                <wp:inline distT="0" distB="0" distL="114300" distR="114300">
                  <wp:extent cx="635" cy="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635" cy="0"/>
                  <wp:effectExtent l="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0"/>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635" cy="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r>
              <w:rPr>
                <w:rFonts w:hint="default" w:ascii="Times New Roman" w:hAnsi="Times New Roman" w:eastAsia="宋体" w:cs="Times New Roman"/>
                <w:b/>
                <w:color w:val="auto"/>
                <w:sz w:val="21"/>
                <w:szCs w:val="21"/>
                <w:highlight w:val="none"/>
                <w:lang w:val="en-US" w:eastAsia="zh-CN"/>
              </w:rPr>
              <w:t>图2-</w:t>
            </w:r>
            <w:r>
              <w:rPr>
                <w:rFonts w:hint="eastAsia"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lang w:val="en-US" w:eastAsia="zh-CN"/>
              </w:rPr>
              <w:t>风机外壳生产工艺流程及产污环节图</w:t>
            </w:r>
          </w:p>
          <w:p w14:paraId="19DDCA3C">
            <w:pPr>
              <w:pStyle w:val="11"/>
              <w:keepNext w:val="0"/>
              <w:keepLines w:val="0"/>
              <w:pageBreakBefore w:val="0"/>
              <w:widowControl w:val="0"/>
              <w:kinsoku/>
              <w:wordWrap/>
              <w:overflowPunct/>
              <w:topLinePunct w:val="0"/>
              <w:autoSpaceDE/>
              <w:autoSpaceDN/>
              <w:bidi w:val="0"/>
              <w:adjustRightInd w:val="0"/>
              <w:snapToGrid w:val="0"/>
              <w:spacing w:after="0" w:line="500" w:lineRule="exact"/>
              <w:ind w:left="0" w:leftChars="0" w:right="0" w:righ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工艺流程说明：</w:t>
            </w:r>
          </w:p>
          <w:p w14:paraId="507B1605">
            <w:pPr>
              <w:keepNext w:val="0"/>
              <w:keepLines w:val="0"/>
              <w:pageBreakBefore w:val="0"/>
              <w:widowControl w:val="0"/>
              <w:kinsoku/>
              <w:wordWrap/>
              <w:overflowPunct/>
              <w:topLinePunct w:val="0"/>
              <w:autoSpaceDE/>
              <w:autoSpaceDN/>
              <w:bidi w:val="0"/>
              <w:adjustRightInd w:val="0"/>
              <w:snapToGrid w:val="0"/>
              <w:spacing w:line="500" w:lineRule="exact"/>
              <w:ind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投料：根据产品配方，将PE粒子、色母粒等原料拆包后人工投入</w:t>
            </w:r>
            <w:r>
              <w:rPr>
                <w:rFonts w:hint="default" w:ascii="Times New Roman" w:hAnsi="Times New Roman" w:cs="Times New Roman"/>
                <w:color w:val="auto"/>
                <w:kern w:val="2"/>
                <w:sz w:val="24"/>
                <w:szCs w:val="24"/>
                <w:highlight w:val="none"/>
                <w:lang w:val="en-US" w:eastAsia="zh-CN" w:bidi="ar-SA"/>
              </w:rPr>
              <w:t>备料框内，通过吸料泵吸入</w:t>
            </w:r>
            <w:r>
              <w:rPr>
                <w:rFonts w:hint="default" w:ascii="Times New Roman" w:hAnsi="Times New Roman" w:eastAsia="宋体" w:cs="Times New Roman"/>
                <w:color w:val="auto"/>
                <w:kern w:val="2"/>
                <w:sz w:val="24"/>
                <w:szCs w:val="24"/>
                <w:highlight w:val="none"/>
                <w:lang w:val="en-US" w:eastAsia="zh-CN" w:bidi="ar-SA"/>
              </w:rPr>
              <w:t>吹塑机配套料仓内。PE粒子、色母粒等塑料粒子粒径较大，投料时不会产生粉尘。原料拆包时会产生</w:t>
            </w:r>
            <w:r>
              <w:rPr>
                <w:rFonts w:hint="eastAsia" w:ascii="Times New Roman" w:hAnsi="Times New Roman" w:cs="Times New Roman"/>
                <w:color w:val="auto"/>
                <w:kern w:val="2"/>
                <w:sz w:val="24"/>
                <w:szCs w:val="24"/>
                <w:highlight w:val="none"/>
                <w:lang w:val="en-US" w:eastAsia="zh-CN" w:bidi="ar-SA"/>
              </w:rPr>
              <w:t>废包装袋</w:t>
            </w:r>
            <w:r>
              <w:rPr>
                <w:rFonts w:hint="default" w:ascii="Times New Roman" w:hAnsi="Times New Roman" w:eastAsia="宋体" w:cs="Times New Roman"/>
                <w:color w:val="auto"/>
                <w:kern w:val="2"/>
                <w:sz w:val="24"/>
                <w:szCs w:val="24"/>
                <w:highlight w:val="none"/>
                <w:lang w:val="en-US" w:eastAsia="zh-CN" w:bidi="ar-SA"/>
              </w:rPr>
              <w:t>（S2-1）。</w:t>
            </w:r>
          </w:p>
          <w:p w14:paraId="0AA957D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吹塑成型：塑料粒子在吹塑机内经电加热至熔融状态，加热温度为1</w:t>
            </w:r>
            <w:r>
              <w:rPr>
                <w:rFonts w:hint="default" w:ascii="Times New Roman" w:hAnsi="Times New Roman"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0-</w:t>
            </w:r>
            <w:r>
              <w:rPr>
                <w:rFonts w:hint="default" w:ascii="Times New Roman" w:hAnsi="Times New Roman" w:cs="Times New Roman"/>
                <w:color w:val="auto"/>
                <w:kern w:val="2"/>
                <w:sz w:val="24"/>
                <w:szCs w:val="24"/>
                <w:highlight w:val="none"/>
                <w:lang w:val="en-US" w:eastAsia="zh-CN" w:bidi="ar-SA"/>
              </w:rPr>
              <w:t>19</w:t>
            </w:r>
            <w:r>
              <w:rPr>
                <w:rFonts w:hint="default" w:ascii="Times New Roman" w:hAnsi="Times New Roman" w:eastAsia="宋体" w:cs="Times New Roman"/>
                <w:color w:val="auto"/>
                <w:kern w:val="2"/>
                <w:sz w:val="24"/>
                <w:szCs w:val="24"/>
                <w:highlight w:val="none"/>
                <w:lang w:val="en-US" w:eastAsia="zh-CN" w:bidi="ar-SA"/>
              </w:rPr>
              <w:t>0℃，将熔融状态的原料经机头挤出型胚，型胚达到预定长度后模具闭合将型胚夹在对开模具之间，通入压缩空气使塑料型胚吹胀而紧贴在模具内壁上，经冷却定型后开模，脱模后得到各种规格的风机外壳。此过程产生少量有机废气(G2-1)。吹塑机配套循环水冷装置，冷却水循环使用不外排。</w:t>
            </w:r>
          </w:p>
          <w:p w14:paraId="3F67679F">
            <w:pPr>
              <w:keepNext w:val="0"/>
              <w:keepLines w:val="0"/>
              <w:pageBreakBefore w:val="0"/>
              <w:widowControl w:val="0"/>
              <w:tabs>
                <w:tab w:val="left" w:pos="2846"/>
                <w:tab w:val="left" w:pos="4382"/>
                <w:tab w:val="left" w:pos="4451"/>
                <w:tab w:val="left" w:pos="6056"/>
              </w:tabs>
              <w:kinsoku/>
              <w:wordWrap w:val="0"/>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修</w:t>
            </w:r>
            <w:r>
              <w:rPr>
                <w:rFonts w:hint="default" w:ascii="Times New Roman" w:hAnsi="Times New Roman" w:eastAsia="宋体" w:cs="Times New Roman"/>
                <w:color w:val="auto"/>
                <w:sz w:val="24"/>
                <w:szCs w:val="24"/>
                <w:highlight w:val="none"/>
                <w:lang w:val="en-US" w:eastAsia="zh-CN"/>
              </w:rPr>
              <w:t>边：采用人工修边，用刀具对</w:t>
            </w:r>
            <w:r>
              <w:rPr>
                <w:rFonts w:hint="default" w:ascii="Times New Roman" w:hAnsi="Times New Roman" w:eastAsia="宋体" w:cs="Times New Roman"/>
                <w:color w:val="auto"/>
                <w:kern w:val="2"/>
                <w:sz w:val="24"/>
                <w:szCs w:val="24"/>
                <w:highlight w:val="none"/>
                <w:lang w:val="en-US" w:eastAsia="zh-CN" w:bidi="ar-SA"/>
              </w:rPr>
              <w:t>风机外壳</w:t>
            </w:r>
            <w:r>
              <w:rPr>
                <w:rFonts w:hint="default" w:ascii="Times New Roman" w:hAnsi="Times New Roman" w:eastAsia="宋体" w:cs="Times New Roman"/>
                <w:color w:val="auto"/>
                <w:sz w:val="24"/>
                <w:szCs w:val="24"/>
                <w:highlight w:val="none"/>
                <w:lang w:val="en-US" w:eastAsia="zh-CN"/>
              </w:rPr>
              <w:t>的边角进行修正</w:t>
            </w:r>
            <w:r>
              <w:rPr>
                <w:rFonts w:hint="default" w:ascii="Times New Roman" w:hAnsi="Times New Roman" w:cs="Times New Roman"/>
                <w:color w:val="auto"/>
                <w:sz w:val="24"/>
                <w:szCs w:val="24"/>
                <w:highlight w:val="none"/>
                <w:lang w:val="en-US" w:eastAsia="zh-CN"/>
              </w:rPr>
              <w:t>，此工序</w:t>
            </w:r>
            <w:r>
              <w:rPr>
                <w:rFonts w:hint="default" w:ascii="Times New Roman" w:hAnsi="Times New Roman" w:eastAsia="宋体" w:cs="Times New Roman"/>
                <w:color w:val="auto"/>
                <w:sz w:val="24"/>
                <w:szCs w:val="24"/>
                <w:highlight w:val="none"/>
                <w:lang w:val="en-US" w:eastAsia="zh-CN"/>
              </w:rPr>
              <w:t>产生</w:t>
            </w:r>
            <w:r>
              <w:rPr>
                <w:rFonts w:hint="default" w:ascii="Times New Roman" w:hAnsi="Times New Roman" w:cs="Times New Roman"/>
                <w:color w:val="auto"/>
                <w:sz w:val="24"/>
                <w:szCs w:val="24"/>
                <w:highlight w:val="none"/>
                <w:lang w:val="en-US" w:eastAsia="zh-CN"/>
              </w:rPr>
              <w:t>少量</w:t>
            </w:r>
            <w:r>
              <w:rPr>
                <w:rFonts w:hint="default" w:ascii="Times New Roman" w:hAnsi="Times New Roman" w:eastAsia="宋体" w:cs="Times New Roman"/>
                <w:color w:val="auto"/>
                <w:sz w:val="24"/>
                <w:szCs w:val="24"/>
                <w:highlight w:val="none"/>
                <w:lang w:val="en-US" w:eastAsia="zh-CN"/>
              </w:rPr>
              <w:t>边角料(S</w:t>
            </w:r>
            <w:r>
              <w:rPr>
                <w:rFonts w:hint="default" w:ascii="Times New Roman" w:hAnsi="Times New Roman"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w:t>
            </w:r>
          </w:p>
          <w:p w14:paraId="391A370F">
            <w:pPr>
              <w:keepNext w:val="0"/>
              <w:keepLines w:val="0"/>
              <w:pageBreakBefore w:val="0"/>
              <w:widowControl w:val="0"/>
              <w:tabs>
                <w:tab w:val="left" w:pos="2846"/>
                <w:tab w:val="left" w:pos="4382"/>
                <w:tab w:val="left" w:pos="4451"/>
                <w:tab w:val="left" w:pos="6056"/>
              </w:tabs>
              <w:kinsoku/>
              <w:wordWrap w:val="0"/>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检验：人工对产品进行外观、尺寸进行检验，检验合格的产品入库暂存。此工序产生少量次品(S2-3)。</w:t>
            </w:r>
          </w:p>
          <w:p w14:paraId="5B7F9E6F">
            <w:pPr>
              <w:adjustRightInd w:val="0"/>
              <w:snapToGrid w:val="0"/>
              <w:spacing w:line="500" w:lineRule="exact"/>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3、</w:t>
            </w:r>
            <w:r>
              <w:rPr>
                <w:rFonts w:hint="default" w:ascii="Times New Roman" w:hAnsi="Times New Roman" w:cs="Times New Roman"/>
                <w:b/>
                <w:bCs/>
                <w:color w:val="auto"/>
                <w:sz w:val="24"/>
                <w:lang w:eastAsia="zh-CN"/>
              </w:rPr>
              <w:t>风机</w:t>
            </w:r>
            <w:r>
              <w:rPr>
                <w:rFonts w:hint="default" w:ascii="Times New Roman" w:hAnsi="Times New Roman" w:cs="Times New Roman"/>
                <w:b/>
                <w:bCs/>
                <w:color w:val="auto"/>
                <w:sz w:val="24"/>
                <w:lang w:val="en-US" w:eastAsia="zh-CN"/>
              </w:rPr>
              <w:t>生产工艺流程</w:t>
            </w:r>
          </w:p>
          <w:p w14:paraId="7E9CEF07">
            <w:pPr>
              <w:pStyle w:val="8"/>
              <w:numPr>
                <w:ilvl w:val="0"/>
                <w:numId w:val="0"/>
              </w:numPr>
              <w:ind w:right="113" w:right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drawing>
                <wp:inline distT="0" distB="0" distL="114300" distR="114300">
                  <wp:extent cx="635" cy="0"/>
                  <wp:effectExtent l="0" t="0" r="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2"/>
                          <a:stretch>
                            <a:fillRect/>
                          </a:stretch>
                        </pic:blipFill>
                        <pic:spPr>
                          <a:xfrm>
                            <a:off x="0" y="0"/>
                            <a:ext cx="635" cy="0"/>
                          </a:xfrm>
                          <a:prstGeom prst="rect">
                            <a:avLst/>
                          </a:prstGeom>
                          <a:noFill/>
                          <a:ln>
                            <a:noFill/>
                          </a:ln>
                        </pic:spPr>
                      </pic:pic>
                    </a:graphicData>
                  </a:graphic>
                </wp:inline>
              </w:drawing>
            </w:r>
            <w:r>
              <w:rPr>
                <w:color w:val="auto"/>
              </w:rPr>
              <w:drawing>
                <wp:inline distT="0" distB="0" distL="114300" distR="114300">
                  <wp:extent cx="2865120" cy="1417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2865120" cy="1417320"/>
                          </a:xfrm>
                          <a:prstGeom prst="rect">
                            <a:avLst/>
                          </a:prstGeom>
                          <a:noFill/>
                          <a:ln>
                            <a:noFill/>
                          </a:ln>
                        </pic:spPr>
                      </pic:pic>
                    </a:graphicData>
                  </a:graphic>
                </wp:inline>
              </w:drawing>
            </w:r>
          </w:p>
          <w:p w14:paraId="7E819C94">
            <w:pPr>
              <w:pStyle w:val="11"/>
              <w:keepNext w:val="0"/>
              <w:keepLines w:val="0"/>
              <w:pageBreakBefore w:val="0"/>
              <w:widowControl w:val="0"/>
              <w:kinsoku/>
              <w:wordWrap/>
              <w:overflowPunct/>
              <w:topLinePunct w:val="0"/>
              <w:autoSpaceDE/>
              <w:autoSpaceDN/>
              <w:bidi w:val="0"/>
              <w:adjustRightInd w:val="0"/>
              <w:snapToGrid w:val="0"/>
              <w:spacing w:before="120" w:after="0" w:line="240" w:lineRule="auto"/>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color w:val="auto"/>
              </w:rPr>
              <w:drawing>
                <wp:inline distT="0" distB="0" distL="114300" distR="114300">
                  <wp:extent cx="635" cy="0"/>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0"/>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635" cy="0"/>
                  <wp:effectExtent l="0" t="0" r="0"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0"/>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635" cy="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r>
              <w:rPr>
                <w:rFonts w:hint="default" w:ascii="Times New Roman" w:hAnsi="Times New Roman" w:eastAsia="宋体" w:cs="Times New Roman"/>
                <w:b/>
                <w:color w:val="auto"/>
                <w:sz w:val="21"/>
                <w:szCs w:val="21"/>
                <w:highlight w:val="none"/>
                <w:lang w:val="en-US" w:eastAsia="zh-CN"/>
              </w:rPr>
              <w:t>图2-</w:t>
            </w:r>
            <w:r>
              <w:rPr>
                <w:rFonts w:hint="eastAsia" w:ascii="Times New Roman" w:hAns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lang w:val="en-US" w:eastAsia="zh-CN"/>
              </w:rPr>
              <w:t>风机生产工艺流程及产污环节图</w:t>
            </w:r>
          </w:p>
          <w:p w14:paraId="4453C9F4">
            <w:pPr>
              <w:pStyle w:val="11"/>
              <w:keepNext w:val="0"/>
              <w:keepLines w:val="0"/>
              <w:pageBreakBefore w:val="0"/>
              <w:widowControl w:val="0"/>
              <w:kinsoku/>
              <w:wordWrap/>
              <w:overflowPunct/>
              <w:topLinePunct w:val="0"/>
              <w:autoSpaceDE/>
              <w:autoSpaceDN/>
              <w:bidi w:val="0"/>
              <w:adjustRightInd w:val="0"/>
              <w:snapToGrid w:val="0"/>
              <w:spacing w:after="0" w:line="500" w:lineRule="exact"/>
              <w:ind w:left="0" w:leftChars="0" w:right="0" w:righ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工艺流程说明：</w:t>
            </w:r>
          </w:p>
          <w:p w14:paraId="5F0F6E4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
                <w:bCs/>
                <w:color w:val="auto"/>
                <w:kern w:val="2"/>
                <w:sz w:val="24"/>
                <w:szCs w:val="24"/>
                <w:lang w:val="en-US" w:eastAsia="zh-CN" w:bidi="ar-SA"/>
              </w:rPr>
            </w:pPr>
            <w:r>
              <w:rPr>
                <w:rFonts w:hint="default" w:ascii="Times New Roman" w:hAnsi="Times New Roman" w:eastAsia="宋体" w:cs="Times New Roman"/>
                <w:color w:val="auto"/>
                <w:kern w:val="2"/>
                <w:sz w:val="24"/>
                <w:szCs w:val="24"/>
                <w:highlight w:val="none"/>
                <w:lang w:val="en-US" w:eastAsia="zh-CN" w:bidi="ar-SA"/>
              </w:rPr>
              <w:t>装配：将电机、</w:t>
            </w:r>
            <w:r>
              <w:rPr>
                <w:rFonts w:hint="default" w:ascii="Times New Roman" w:hAnsi="Times New Roman" w:cs="Times New Roman"/>
                <w:color w:val="auto"/>
                <w:kern w:val="2"/>
                <w:sz w:val="24"/>
                <w:szCs w:val="24"/>
                <w:highlight w:val="none"/>
                <w:lang w:val="en-US" w:eastAsia="zh-CN" w:bidi="ar-SA"/>
              </w:rPr>
              <w:t>皮带轮、背板</w:t>
            </w:r>
            <w:r>
              <w:rPr>
                <w:rFonts w:hint="default" w:ascii="Times New Roman" w:hAnsi="Times New Roman" w:eastAsia="宋体" w:cs="Times New Roman"/>
                <w:color w:val="auto"/>
                <w:kern w:val="2"/>
                <w:sz w:val="24"/>
                <w:szCs w:val="24"/>
                <w:highlight w:val="none"/>
                <w:lang w:val="en-US" w:eastAsia="zh-CN" w:bidi="ar-SA"/>
              </w:rPr>
              <w:t>等配件与</w:t>
            </w:r>
            <w:r>
              <w:rPr>
                <w:rFonts w:hint="default" w:ascii="Times New Roman" w:hAnsi="Times New Roman" w:cs="Times New Roman"/>
                <w:color w:val="auto"/>
                <w:kern w:val="2"/>
                <w:sz w:val="24"/>
                <w:szCs w:val="24"/>
                <w:highlight w:val="none"/>
                <w:lang w:val="en-US" w:eastAsia="zh-CN" w:bidi="ar-SA"/>
              </w:rPr>
              <w:t>自制的</w:t>
            </w:r>
            <w:r>
              <w:rPr>
                <w:rFonts w:hint="default" w:ascii="Times New Roman" w:hAnsi="Times New Roman" w:eastAsia="宋体" w:cs="Times New Roman"/>
                <w:color w:val="auto"/>
                <w:kern w:val="2"/>
                <w:sz w:val="24"/>
                <w:szCs w:val="24"/>
                <w:highlight w:val="none"/>
                <w:lang w:val="en-US" w:eastAsia="zh-CN" w:bidi="ar-SA"/>
              </w:rPr>
              <w:t>风机叶轮</w:t>
            </w:r>
            <w:r>
              <w:rPr>
                <w:rFonts w:hint="default" w:ascii="Times New Roman" w:hAnsi="Times New Roman" w:cs="Times New Roman"/>
                <w:color w:val="auto"/>
                <w:kern w:val="2"/>
                <w:sz w:val="24"/>
                <w:szCs w:val="24"/>
                <w:highlight w:val="none"/>
                <w:lang w:val="en-US" w:eastAsia="zh-CN" w:bidi="ar-SA"/>
              </w:rPr>
              <w:t>、风机外壳</w:t>
            </w:r>
            <w:r>
              <w:rPr>
                <w:rFonts w:hint="default" w:ascii="Times New Roman" w:hAnsi="Times New Roman" w:eastAsia="宋体" w:cs="Times New Roman"/>
                <w:color w:val="auto"/>
                <w:kern w:val="2"/>
                <w:sz w:val="24"/>
                <w:szCs w:val="24"/>
                <w:highlight w:val="none"/>
                <w:lang w:val="en-US" w:eastAsia="zh-CN" w:bidi="ar-SA"/>
              </w:rPr>
              <w:t>通过螺丝螺母等组装在一起</w:t>
            </w:r>
            <w:r>
              <w:rPr>
                <w:rFonts w:hint="default" w:ascii="Times New Roman" w:hAnsi="Times New Roman" w:cs="Times New Roman"/>
                <w:color w:val="auto"/>
                <w:kern w:val="2"/>
                <w:sz w:val="24"/>
                <w:szCs w:val="24"/>
                <w:highlight w:val="none"/>
                <w:lang w:val="en-US" w:eastAsia="zh-CN" w:bidi="ar-SA"/>
              </w:rPr>
              <w:t>即为成品</w:t>
            </w:r>
            <w:r>
              <w:rPr>
                <w:rFonts w:hint="default" w:ascii="Times New Roman" w:hAnsi="Times New Roman" w:eastAsia="宋体" w:cs="Times New Roman"/>
                <w:color w:val="auto"/>
                <w:kern w:val="2"/>
                <w:sz w:val="24"/>
                <w:szCs w:val="24"/>
                <w:highlight w:val="none"/>
                <w:lang w:val="en-US" w:eastAsia="zh-CN" w:bidi="ar-SA"/>
              </w:rPr>
              <w:t>。</w:t>
            </w:r>
          </w:p>
          <w:p w14:paraId="1568A2D5">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100" w:firstLine="723" w:firstLineChars="300"/>
              <w:textAlignment w:val="auto"/>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4、其他产污工序</w:t>
            </w:r>
          </w:p>
          <w:p w14:paraId="62DA687D">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kern w:val="2"/>
                <w:sz w:val="24"/>
                <w:szCs w:val="24"/>
                <w:lang w:val="en-US" w:eastAsia="zh-CN" w:bidi="ar-SA"/>
              </w:rPr>
              <w:t>（1）项目挤出机、压塑机、吹塑机定期保养，产生少量废液压油</w:t>
            </w:r>
            <w:r>
              <w:rPr>
                <w:rFonts w:hint="default" w:ascii="Times New Roman" w:hAnsi="Times New Roman" w:cs="Times New Roman"/>
                <w:b w:val="0"/>
                <w:bCs w:val="0"/>
                <w:color w:val="auto"/>
                <w:sz w:val="24"/>
                <w:szCs w:val="24"/>
                <w:highlight w:val="none"/>
                <w:lang w:val="en-US" w:eastAsia="zh-CN"/>
              </w:rPr>
              <w:t>、废油桶和含油废抹布手套</w:t>
            </w:r>
            <w:r>
              <w:rPr>
                <w:rFonts w:hint="default" w:ascii="Times New Roman" w:hAnsi="Times New Roman" w:eastAsia="宋体" w:cs="Times New Roman"/>
                <w:b w:val="0"/>
                <w:bCs w:val="0"/>
                <w:color w:val="auto"/>
                <w:sz w:val="24"/>
                <w:szCs w:val="24"/>
                <w:highlight w:val="none"/>
                <w:lang w:val="en-US" w:eastAsia="zh-CN"/>
              </w:rPr>
              <w:t>；</w:t>
            </w:r>
          </w:p>
          <w:p w14:paraId="17B00C60">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项</w:t>
            </w:r>
            <w:r>
              <w:rPr>
                <w:rFonts w:hint="default" w:ascii="Times New Roman" w:hAnsi="Times New Roman" w:eastAsia="宋体" w:cs="Times New Roman"/>
                <w:color w:val="auto"/>
                <w:sz w:val="24"/>
                <w:szCs w:val="24"/>
                <w:highlight w:val="none"/>
                <w:lang w:val="en-US" w:eastAsia="zh-CN"/>
              </w:rPr>
              <w:t>目有机废气采用二级活性炭吸附装置处理，废气处理过程中会产生废活性炭</w:t>
            </w:r>
            <w:r>
              <w:rPr>
                <w:rFonts w:hint="default" w:ascii="Times New Roman" w:hAnsi="Times New Roman" w:eastAsia="宋体" w:cs="Times New Roman"/>
                <w:b w:val="0"/>
                <w:bCs w:val="0"/>
                <w:color w:val="auto"/>
                <w:kern w:val="2"/>
                <w:sz w:val="24"/>
                <w:szCs w:val="24"/>
                <w:lang w:val="en-US" w:eastAsia="zh-CN" w:bidi="ar-SA"/>
              </w:rPr>
              <w:t>。</w:t>
            </w:r>
          </w:p>
        </w:tc>
      </w:tr>
      <w:tr w14:paraId="1ECC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0" w:hRule="atLeast"/>
        </w:trPr>
        <w:tc>
          <w:tcPr>
            <w:tcW w:w="777" w:type="dxa"/>
            <w:vAlign w:val="center"/>
          </w:tcPr>
          <w:p w14:paraId="4F56FA32">
            <w:pPr>
              <w:pStyle w:val="22"/>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Cs w:val="24"/>
              </w:rPr>
              <w:t>与项目有关的原有环境污染问题</w:t>
            </w:r>
          </w:p>
        </w:tc>
        <w:tc>
          <w:tcPr>
            <w:tcW w:w="8283" w:type="dxa"/>
          </w:tcPr>
          <w:p w14:paraId="74725148">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right="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一、与本项目有关的原有污染情况及主要环境问题</w:t>
            </w:r>
          </w:p>
          <w:p w14:paraId="2F4C8684">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right="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本项目为新建项目，租用</w:t>
            </w:r>
            <w:r>
              <w:rPr>
                <w:rFonts w:hint="default" w:ascii="Times New Roman" w:hAnsi="Times New Roman" w:cs="Times New Roman"/>
                <w:b w:val="0"/>
                <w:bCs w:val="0"/>
                <w:color w:val="auto"/>
                <w:kern w:val="2"/>
                <w:sz w:val="24"/>
                <w:szCs w:val="24"/>
                <w:lang w:val="en-US" w:eastAsia="zh-CN" w:bidi="ar-SA"/>
              </w:rPr>
              <w:t>天津国源港通燃料油有限公司位于</w:t>
            </w:r>
            <w:r>
              <w:rPr>
                <w:rFonts w:hint="default" w:ascii="Times New Roman" w:hAnsi="Times New Roman" w:cs="Times New Roman"/>
                <w:color w:val="auto"/>
                <w:spacing w:val="-3"/>
                <w:sz w:val="24"/>
                <w:szCs w:val="24"/>
              </w:rPr>
              <w:t>凤凰城经济工业园</w:t>
            </w:r>
            <w:r>
              <w:rPr>
                <w:rFonts w:hint="default" w:ascii="Times New Roman" w:hAnsi="Times New Roman" w:cs="Times New Roman"/>
                <w:color w:val="auto"/>
                <w:spacing w:val="-3"/>
                <w:sz w:val="24"/>
                <w:szCs w:val="24"/>
                <w:lang w:val="en-US" w:eastAsia="zh-CN"/>
              </w:rPr>
              <w:t>的</w:t>
            </w:r>
            <w:r>
              <w:rPr>
                <w:rFonts w:hint="default" w:ascii="Times New Roman" w:hAnsi="Times New Roman" w:eastAsia="宋体" w:cs="Times New Roman"/>
                <w:b w:val="0"/>
                <w:bCs w:val="0"/>
                <w:color w:val="auto"/>
                <w:kern w:val="2"/>
                <w:sz w:val="24"/>
                <w:szCs w:val="24"/>
                <w:lang w:val="en-US" w:eastAsia="zh-CN" w:bidi="ar-SA"/>
              </w:rPr>
              <w:t>闲置</w:t>
            </w:r>
            <w:r>
              <w:rPr>
                <w:rFonts w:hint="default" w:ascii="Times New Roman" w:hAnsi="Times New Roman" w:cs="Times New Roman"/>
                <w:b w:val="0"/>
                <w:bCs w:val="0"/>
                <w:color w:val="auto"/>
                <w:kern w:val="2"/>
                <w:sz w:val="24"/>
                <w:szCs w:val="24"/>
                <w:lang w:val="en-US" w:eastAsia="zh-CN" w:bidi="ar-SA"/>
              </w:rPr>
              <w:t>车间</w:t>
            </w:r>
            <w:r>
              <w:rPr>
                <w:rFonts w:hint="default" w:ascii="Times New Roman" w:hAnsi="Times New Roman" w:eastAsia="宋体" w:cs="Times New Roman"/>
                <w:b w:val="0"/>
                <w:bCs w:val="0"/>
                <w:color w:val="auto"/>
                <w:kern w:val="2"/>
                <w:sz w:val="24"/>
                <w:szCs w:val="24"/>
                <w:lang w:val="en-US" w:eastAsia="zh-CN" w:bidi="ar-SA"/>
              </w:rPr>
              <w:t>生产，该</w:t>
            </w:r>
            <w:r>
              <w:rPr>
                <w:rFonts w:hint="default" w:ascii="Times New Roman" w:hAnsi="Times New Roman" w:cs="Times New Roman"/>
                <w:b w:val="0"/>
                <w:bCs w:val="0"/>
                <w:color w:val="auto"/>
                <w:kern w:val="2"/>
                <w:sz w:val="24"/>
                <w:szCs w:val="24"/>
                <w:lang w:val="en-US" w:eastAsia="zh-CN" w:bidi="ar-SA"/>
              </w:rPr>
              <w:t>车间原租赁给物流公司做仓库，现已腾空租赁给本项目，</w:t>
            </w:r>
            <w:r>
              <w:rPr>
                <w:rFonts w:hint="default" w:ascii="Times New Roman" w:hAnsi="Times New Roman" w:eastAsia="宋体" w:cs="Times New Roman"/>
                <w:b w:val="0"/>
                <w:bCs w:val="0"/>
                <w:color w:val="auto"/>
                <w:kern w:val="2"/>
                <w:sz w:val="24"/>
                <w:szCs w:val="24"/>
                <w:lang w:val="en-US" w:eastAsia="zh-CN" w:bidi="ar-SA"/>
              </w:rPr>
              <w:t>无环境遗留问题。</w:t>
            </w:r>
          </w:p>
          <w:p w14:paraId="0A9576AA">
            <w:pPr>
              <w:pStyle w:val="82"/>
              <w:keepNext w:val="0"/>
              <w:keepLines w:val="0"/>
              <w:pageBreakBefore w:val="0"/>
              <w:widowControl w:val="0"/>
              <w:tabs>
                <w:tab w:val="left" w:pos="1297"/>
              </w:tabs>
              <w:kinsoku/>
              <w:wordWrap/>
              <w:overflowPunct/>
              <w:topLinePunct w:val="0"/>
              <w:autoSpaceDE w:val="0"/>
              <w:autoSpaceDN w:val="0"/>
              <w:bidi w:val="0"/>
              <w:adjustRightInd w:val="0"/>
              <w:snapToGrid w:val="0"/>
              <w:spacing w:line="500" w:lineRule="exact"/>
              <w:ind w:firstLine="422"/>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二、本项目与凤凰城经济工业园的依托关系</w:t>
            </w:r>
          </w:p>
          <w:p w14:paraId="7C5FF8A3">
            <w:pPr>
              <w:pStyle w:val="8"/>
              <w:keepNext w:val="0"/>
              <w:keepLines w:val="0"/>
              <w:pageBreakBefore w:val="0"/>
              <w:widowControl w:val="0"/>
              <w:kinsoku/>
              <w:wordWrap/>
              <w:overflowPunct/>
              <w:topLinePunct w:val="0"/>
              <w:autoSpaceDE w:val="0"/>
              <w:autoSpaceDN w:val="0"/>
              <w:bidi w:val="0"/>
              <w:adjustRightInd w:val="0"/>
              <w:snapToGrid w:val="0"/>
              <w:spacing w:before="0" w:after="0" w:line="500" w:lineRule="exact"/>
              <w:ind w:right="0"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、凤凰城经济工业园简介</w:t>
            </w:r>
          </w:p>
          <w:p w14:paraId="5C198D2A">
            <w:pPr>
              <w:pStyle w:val="8"/>
              <w:keepNext w:val="0"/>
              <w:keepLines w:val="0"/>
              <w:pageBreakBefore w:val="0"/>
              <w:widowControl w:val="0"/>
              <w:kinsoku/>
              <w:wordWrap/>
              <w:overflowPunct/>
              <w:topLinePunct w:val="0"/>
              <w:autoSpaceDE w:val="0"/>
              <w:autoSpaceDN w:val="0"/>
              <w:bidi w:val="0"/>
              <w:adjustRightInd w:val="0"/>
              <w:snapToGrid w:val="0"/>
              <w:spacing w:before="0" w:after="0" w:line="500" w:lineRule="exact"/>
              <w:ind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pacing w:val="-3"/>
                <w:sz w:val="24"/>
                <w:szCs w:val="24"/>
              </w:rPr>
              <w:t>凤凰城经济工业园</w:t>
            </w:r>
            <w:r>
              <w:rPr>
                <w:rFonts w:hint="default" w:ascii="Times New Roman" w:hAnsi="Times New Roman" w:cs="Times New Roman"/>
                <w:color w:val="auto"/>
                <w:sz w:val="24"/>
                <w:szCs w:val="24"/>
              </w:rPr>
              <w:t>环保手续履行情况</w:t>
            </w:r>
          </w:p>
          <w:p w14:paraId="481DA5EF">
            <w:pPr>
              <w:pStyle w:val="8"/>
              <w:keepNext w:val="0"/>
              <w:keepLines w:val="0"/>
              <w:pageBreakBefore w:val="0"/>
              <w:widowControl w:val="0"/>
              <w:kinsoku/>
              <w:wordWrap/>
              <w:overflowPunct/>
              <w:topLinePunct w:val="0"/>
              <w:autoSpaceDE w:val="0"/>
              <w:autoSpaceDN w:val="0"/>
              <w:bidi w:val="0"/>
              <w:adjustRightInd w:val="0"/>
              <w:snapToGrid w:val="0"/>
              <w:spacing w:before="0" w:after="0" w:line="500" w:lineRule="exact"/>
              <w:ind w:right="0" w:firstLine="468"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3"/>
                <w:sz w:val="24"/>
                <w:szCs w:val="24"/>
              </w:rPr>
              <w:t>凤凰城经济工业园产权单位为常州市金坛区宏达阳光置业有限公司，常州市金坛区宏达阳光置业有限公司于2015</w:t>
            </w:r>
            <w:r>
              <w:rPr>
                <w:rFonts w:hint="default" w:ascii="Times New Roman" w:hAnsi="Times New Roman" w:cs="Times New Roman"/>
                <w:color w:val="auto"/>
                <w:spacing w:val="-1"/>
                <w:sz w:val="24"/>
                <w:szCs w:val="24"/>
              </w:rPr>
              <w:t>年1月20日取得了金坛市环境保护局《关于</w:t>
            </w:r>
            <w:r>
              <w:rPr>
                <w:rFonts w:hint="default" w:ascii="Times New Roman" w:hAnsi="Times New Roman" w:cs="Times New Roman"/>
                <w:color w:val="auto"/>
                <w:spacing w:val="-3"/>
                <w:sz w:val="24"/>
                <w:szCs w:val="24"/>
              </w:rPr>
              <w:t>常州市金坛区宏达阳光置业有限公司</w:t>
            </w:r>
            <w:r>
              <w:rPr>
                <w:rFonts w:hint="default" w:ascii="Times New Roman" w:hAnsi="Times New Roman" w:cs="Times New Roman"/>
                <w:color w:val="auto"/>
                <w:spacing w:val="-2"/>
                <w:sz w:val="24"/>
                <w:szCs w:val="24"/>
              </w:rPr>
              <w:t>新建标准厂房及配套用房项目环境影响报告书》审批意见</w:t>
            </w:r>
            <w:r>
              <w:rPr>
                <w:rFonts w:hint="default" w:ascii="Times New Roman" w:hAnsi="Times New Roman" w:cs="Times New Roman"/>
                <w:color w:val="auto"/>
                <w:sz w:val="24"/>
                <w:szCs w:val="24"/>
              </w:rPr>
              <w:t>（</w:t>
            </w:r>
            <w:r>
              <w:rPr>
                <w:rFonts w:hint="default" w:ascii="Times New Roman" w:hAnsi="Times New Roman" w:cs="Times New Roman"/>
                <w:color w:val="auto"/>
                <w:spacing w:val="-13"/>
                <w:sz w:val="24"/>
                <w:szCs w:val="24"/>
              </w:rPr>
              <w:t>坛环审</w:t>
            </w:r>
            <w:r>
              <w:rPr>
                <w:rFonts w:hint="default" w:ascii="Times New Roman" w:hAnsi="Times New Roman" w:cs="Times New Roman"/>
                <w:color w:val="auto"/>
                <w:sz w:val="24"/>
                <w:szCs w:val="24"/>
              </w:rPr>
              <w:t>[2015]7号）。</w:t>
            </w:r>
          </w:p>
          <w:p w14:paraId="684ED047">
            <w:pPr>
              <w:pStyle w:val="3"/>
              <w:pageBreakBefore w:val="0"/>
              <w:widowControl w:val="0"/>
              <w:kinsoku/>
              <w:wordWrap/>
              <w:overflowPunct/>
              <w:topLinePunct w:val="0"/>
              <w:bidi w:val="0"/>
              <w:adjustRightInd w:val="0"/>
              <w:snapToGrid w:val="0"/>
              <w:spacing w:before="0" w:after="0" w:line="5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表</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3"/>
                <w:sz w:val="21"/>
                <w:szCs w:val="21"/>
              </w:rPr>
              <w:t>常州市金坛区宏达阳光置业有限公司</w:t>
            </w:r>
            <w:r>
              <w:rPr>
                <w:rFonts w:hint="default" w:ascii="Times New Roman" w:hAnsi="Times New Roman" w:eastAsia="宋体" w:cs="Times New Roman"/>
                <w:color w:val="auto"/>
                <w:sz w:val="21"/>
                <w:szCs w:val="21"/>
              </w:rPr>
              <w:t>环保手续情况</w:t>
            </w:r>
          </w:p>
          <w:tbl>
            <w:tblPr>
              <w:tblStyle w:val="27"/>
              <w:tblW w:w="4998" w:type="pct"/>
              <w:tblInd w:w="0" w:type="dxa"/>
              <w:tblBorders>
                <w:top w:val="single" w:color="auto" w:sz="4" w:space="0"/>
                <w:left w:val="single" w:color="000000" w:sz="12" w:space="0"/>
                <w:bottom w:val="single" w:color="auto" w:sz="4"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599"/>
              <w:gridCol w:w="1168"/>
              <w:gridCol w:w="3312"/>
              <w:gridCol w:w="1664"/>
              <w:gridCol w:w="1768"/>
            </w:tblGrid>
            <w:tr w14:paraId="46FE7E76">
              <w:tblPrEx>
                <w:tblBorders>
                  <w:top w:val="single" w:color="auto" w:sz="4" w:space="0"/>
                  <w:left w:val="single" w:color="000000" w:sz="12" w:space="0"/>
                  <w:bottom w:val="single" w:color="auto" w:sz="4"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52" w:type="pct"/>
                  <w:tcBorders>
                    <w:left w:val="nil"/>
                    <w:bottom w:val="single" w:color="000000" w:sz="4" w:space="0"/>
                    <w:right w:val="single" w:color="000000" w:sz="4" w:space="0"/>
                  </w:tcBorders>
                  <w:noWrap w:val="0"/>
                  <w:vAlign w:val="center"/>
                </w:tcPr>
                <w:p w14:paraId="3EC4F686">
                  <w:pPr>
                    <w:pStyle w:val="56"/>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w w:val="105"/>
                      <w:sz w:val="21"/>
                      <w:szCs w:val="21"/>
                    </w:rPr>
                    <w:t>序号</w:t>
                  </w:r>
                </w:p>
              </w:tc>
              <w:tc>
                <w:tcPr>
                  <w:tcW w:w="686" w:type="pct"/>
                  <w:tcBorders>
                    <w:left w:val="single" w:color="000000" w:sz="4" w:space="0"/>
                    <w:bottom w:val="single" w:color="000000" w:sz="4" w:space="0"/>
                    <w:right w:val="single" w:color="000000" w:sz="4" w:space="0"/>
                  </w:tcBorders>
                  <w:noWrap w:val="0"/>
                  <w:vAlign w:val="center"/>
                </w:tcPr>
                <w:p w14:paraId="2CE40A31">
                  <w:pPr>
                    <w:pStyle w:val="56"/>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w w:val="105"/>
                      <w:sz w:val="21"/>
                      <w:szCs w:val="21"/>
                    </w:rPr>
                    <w:t>项目名称</w:t>
                  </w:r>
                </w:p>
              </w:tc>
              <w:tc>
                <w:tcPr>
                  <w:tcW w:w="1945" w:type="pct"/>
                  <w:tcBorders>
                    <w:left w:val="single" w:color="000000" w:sz="4" w:space="0"/>
                    <w:bottom w:val="single" w:color="000000" w:sz="4" w:space="0"/>
                    <w:right w:val="single" w:color="000000" w:sz="4" w:space="0"/>
                  </w:tcBorders>
                  <w:noWrap w:val="0"/>
                  <w:vAlign w:val="center"/>
                </w:tcPr>
                <w:p w14:paraId="02F741D6">
                  <w:pPr>
                    <w:pStyle w:val="56"/>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w w:val="105"/>
                      <w:sz w:val="21"/>
                      <w:szCs w:val="21"/>
                    </w:rPr>
                    <w:t>建设内容</w:t>
                  </w:r>
                </w:p>
              </w:tc>
              <w:tc>
                <w:tcPr>
                  <w:tcW w:w="977" w:type="pct"/>
                  <w:tcBorders>
                    <w:left w:val="single" w:color="000000" w:sz="4" w:space="0"/>
                    <w:bottom w:val="single" w:color="000000" w:sz="4" w:space="0"/>
                    <w:right w:val="single" w:color="000000" w:sz="4" w:space="0"/>
                  </w:tcBorders>
                  <w:noWrap w:val="0"/>
                  <w:vAlign w:val="center"/>
                </w:tcPr>
                <w:p w14:paraId="4BD937DB">
                  <w:pPr>
                    <w:pStyle w:val="56"/>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w w:val="105"/>
                      <w:sz w:val="21"/>
                      <w:szCs w:val="21"/>
                    </w:rPr>
                    <w:t>环评审批情况</w:t>
                  </w:r>
                </w:p>
              </w:tc>
              <w:tc>
                <w:tcPr>
                  <w:tcW w:w="1038" w:type="pct"/>
                  <w:tcBorders>
                    <w:left w:val="single" w:color="000000" w:sz="4" w:space="0"/>
                    <w:bottom w:val="single" w:color="000000" w:sz="4" w:space="0"/>
                    <w:right w:val="nil"/>
                  </w:tcBorders>
                  <w:noWrap w:val="0"/>
                  <w:vAlign w:val="center"/>
                </w:tcPr>
                <w:p w14:paraId="1D8CB309">
                  <w:pPr>
                    <w:pStyle w:val="56"/>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w w:val="105"/>
                      <w:sz w:val="21"/>
                      <w:szCs w:val="21"/>
                    </w:rPr>
                    <w:t>竣工验收情况</w:t>
                  </w:r>
                </w:p>
              </w:tc>
            </w:tr>
            <w:tr w14:paraId="5BA25286">
              <w:tblPrEx>
                <w:tblBorders>
                  <w:top w:val="single" w:color="auto" w:sz="4" w:space="0"/>
                  <w:left w:val="single" w:color="000000" w:sz="12" w:space="0"/>
                  <w:bottom w:val="single" w:color="auto" w:sz="4"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52" w:type="pct"/>
                  <w:tcBorders>
                    <w:top w:val="single" w:color="000000" w:sz="4" w:space="0"/>
                    <w:left w:val="nil"/>
                    <w:right w:val="single" w:color="000000" w:sz="4" w:space="0"/>
                  </w:tcBorders>
                  <w:noWrap w:val="0"/>
                  <w:vAlign w:val="center"/>
                </w:tcPr>
                <w:p w14:paraId="7D0FF363">
                  <w:pPr>
                    <w:pStyle w:val="56"/>
                    <w:autoSpaceDE w:val="0"/>
                    <w:autoSpaceDN w:val="0"/>
                    <w:adjustRightInd w:val="0"/>
                    <w:snapToGrid w:val="0"/>
                    <w:jc w:val="center"/>
                    <w:rPr>
                      <w:rFonts w:hint="default" w:ascii="Times New Roman" w:hAnsi="Times New Roman" w:cs="Times New Roman"/>
                      <w:b/>
                      <w:color w:val="auto"/>
                      <w:sz w:val="21"/>
                      <w:szCs w:val="21"/>
                    </w:rPr>
                  </w:pPr>
                </w:p>
                <w:p w14:paraId="5B6E6104">
                  <w:pPr>
                    <w:pStyle w:val="56"/>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686" w:type="pct"/>
                  <w:tcBorders>
                    <w:top w:val="single" w:color="000000" w:sz="4" w:space="0"/>
                    <w:left w:val="single" w:color="000000" w:sz="4" w:space="0"/>
                    <w:right w:val="single" w:color="000000" w:sz="4" w:space="0"/>
                  </w:tcBorders>
                  <w:noWrap w:val="0"/>
                  <w:vAlign w:val="center"/>
                </w:tcPr>
                <w:p w14:paraId="2C02719F">
                  <w:pPr>
                    <w:pStyle w:val="56"/>
                    <w:autoSpaceDE w:val="0"/>
                    <w:autoSpaceDN w:val="0"/>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w w:val="105"/>
                      <w:sz w:val="21"/>
                      <w:szCs w:val="21"/>
                      <w:lang w:eastAsia="zh-CN"/>
                    </w:rPr>
                    <w:t>新建</w:t>
                  </w:r>
                  <w:r>
                    <w:rPr>
                      <w:rFonts w:hint="default" w:ascii="Times New Roman" w:hAnsi="Times New Roman" w:cs="Times New Roman"/>
                      <w:color w:val="auto"/>
                      <w:spacing w:val="-2"/>
                      <w:w w:val="105"/>
                      <w:sz w:val="21"/>
                      <w:szCs w:val="21"/>
                      <w:lang w:eastAsia="zh-CN"/>
                    </w:rPr>
                    <w:t>标准厂房</w:t>
                  </w:r>
                  <w:r>
                    <w:rPr>
                      <w:rFonts w:hint="default" w:ascii="Times New Roman" w:hAnsi="Times New Roman" w:cs="Times New Roman"/>
                      <w:color w:val="auto"/>
                      <w:spacing w:val="-3"/>
                      <w:w w:val="105"/>
                      <w:sz w:val="21"/>
                      <w:szCs w:val="21"/>
                      <w:lang w:eastAsia="zh-CN"/>
                    </w:rPr>
                    <w:t>及配套用房项目</w:t>
                  </w:r>
                </w:p>
              </w:tc>
              <w:tc>
                <w:tcPr>
                  <w:tcW w:w="1945" w:type="pct"/>
                  <w:tcBorders>
                    <w:top w:val="single" w:color="000000" w:sz="4" w:space="0"/>
                    <w:left w:val="single" w:color="000000" w:sz="4" w:space="0"/>
                    <w:right w:val="single" w:color="000000" w:sz="4" w:space="0"/>
                  </w:tcBorders>
                  <w:noWrap w:val="0"/>
                  <w:vAlign w:val="center"/>
                </w:tcPr>
                <w:p w14:paraId="70848725">
                  <w:pPr>
                    <w:pStyle w:val="56"/>
                    <w:autoSpaceDE w:val="0"/>
                    <w:autoSpaceDN w:val="0"/>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w w:val="105"/>
                      <w:sz w:val="21"/>
                      <w:szCs w:val="21"/>
                      <w:lang w:eastAsia="zh-CN"/>
                    </w:rPr>
                    <w:t>总投资 26000万元，规划用地面积</w:t>
                  </w:r>
                </w:p>
                <w:p w14:paraId="69EDEA3C">
                  <w:pPr>
                    <w:pStyle w:val="56"/>
                    <w:autoSpaceDE w:val="0"/>
                    <w:autoSpaceDN w:val="0"/>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w w:val="105"/>
                      <w:sz w:val="21"/>
                      <w:szCs w:val="21"/>
                      <w:lang w:eastAsia="zh-CN"/>
                    </w:rPr>
                    <w:t>192082m</w:t>
                  </w:r>
                  <w:r>
                    <w:rPr>
                      <w:rFonts w:hint="default" w:ascii="Times New Roman" w:hAnsi="Times New Roman" w:cs="Times New Roman"/>
                      <w:color w:val="auto"/>
                      <w:w w:val="105"/>
                      <w:sz w:val="21"/>
                      <w:szCs w:val="21"/>
                      <w:vertAlign w:val="superscript"/>
                      <w:lang w:eastAsia="zh-CN"/>
                    </w:rPr>
                    <w:t>2</w:t>
                  </w:r>
                  <w:r>
                    <w:rPr>
                      <w:rFonts w:hint="default" w:ascii="Times New Roman" w:hAnsi="Times New Roman" w:cs="Times New Roman"/>
                      <w:color w:val="auto"/>
                      <w:spacing w:val="-15"/>
                      <w:w w:val="105"/>
                      <w:sz w:val="21"/>
                      <w:szCs w:val="21"/>
                      <w:lang w:eastAsia="zh-CN"/>
                    </w:rPr>
                    <w:t xml:space="preserve">，总建筑面积 </w:t>
                  </w:r>
                  <w:r>
                    <w:rPr>
                      <w:rFonts w:hint="default" w:ascii="Times New Roman" w:hAnsi="Times New Roman" w:cs="Times New Roman"/>
                      <w:color w:val="auto"/>
                      <w:w w:val="105"/>
                      <w:sz w:val="21"/>
                      <w:szCs w:val="21"/>
                      <w:lang w:eastAsia="zh-CN"/>
                    </w:rPr>
                    <w:t>140187.5m</w:t>
                  </w:r>
                  <w:r>
                    <w:rPr>
                      <w:rFonts w:hint="default" w:ascii="Times New Roman" w:hAnsi="Times New Roman" w:cs="Times New Roman"/>
                      <w:color w:val="auto"/>
                      <w:w w:val="105"/>
                      <w:sz w:val="21"/>
                      <w:szCs w:val="21"/>
                      <w:vertAlign w:val="superscript"/>
                      <w:lang w:eastAsia="zh-CN"/>
                    </w:rPr>
                    <w:t>2</w:t>
                  </w:r>
                  <w:r>
                    <w:rPr>
                      <w:rFonts w:hint="default" w:ascii="Times New Roman" w:hAnsi="Times New Roman" w:cs="Times New Roman"/>
                      <w:color w:val="auto"/>
                      <w:w w:val="105"/>
                      <w:sz w:val="21"/>
                      <w:szCs w:val="21"/>
                      <w:lang w:eastAsia="zh-CN"/>
                    </w:rPr>
                    <w:t>，</w:t>
                  </w:r>
                </w:p>
                <w:p w14:paraId="77B65F5C">
                  <w:pPr>
                    <w:pStyle w:val="56"/>
                    <w:autoSpaceDE w:val="0"/>
                    <w:autoSpaceDN w:val="0"/>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w w:val="105"/>
                      <w:sz w:val="21"/>
                      <w:szCs w:val="21"/>
                      <w:lang w:eastAsia="zh-CN"/>
                    </w:rPr>
                    <w:t>用途为标准厂房。</w:t>
                  </w:r>
                </w:p>
              </w:tc>
              <w:tc>
                <w:tcPr>
                  <w:tcW w:w="977" w:type="pct"/>
                  <w:tcBorders>
                    <w:top w:val="single" w:color="000000" w:sz="4" w:space="0"/>
                    <w:left w:val="single" w:color="000000" w:sz="4" w:space="0"/>
                    <w:right w:val="single" w:color="000000" w:sz="4" w:space="0"/>
                  </w:tcBorders>
                  <w:noWrap w:val="0"/>
                  <w:vAlign w:val="center"/>
                </w:tcPr>
                <w:p w14:paraId="60A1118C">
                  <w:pPr>
                    <w:pStyle w:val="56"/>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w w:val="105"/>
                      <w:sz w:val="21"/>
                      <w:szCs w:val="21"/>
                    </w:rPr>
                    <w:t>2015.1.20</w:t>
                  </w:r>
                  <w:r>
                    <w:rPr>
                      <w:rFonts w:hint="default" w:ascii="Times New Roman" w:hAnsi="Times New Roman" w:cs="Times New Roman"/>
                      <w:color w:val="auto"/>
                      <w:spacing w:val="-30"/>
                      <w:w w:val="105"/>
                      <w:sz w:val="21"/>
                      <w:szCs w:val="21"/>
                    </w:rPr>
                    <w:t xml:space="preserve"> </w:t>
                  </w:r>
                  <w:r>
                    <w:rPr>
                      <w:rFonts w:hint="default" w:ascii="Times New Roman" w:hAnsi="Times New Roman" w:cs="Times New Roman"/>
                      <w:color w:val="auto"/>
                      <w:w w:val="105"/>
                      <w:sz w:val="21"/>
                      <w:szCs w:val="21"/>
                    </w:rPr>
                    <w:t>取得</w:t>
                  </w:r>
                  <w:r>
                    <w:rPr>
                      <w:rFonts w:hint="default" w:ascii="Times New Roman" w:hAnsi="Times New Roman" w:cs="Times New Roman"/>
                      <w:color w:val="auto"/>
                      <w:spacing w:val="-2"/>
                      <w:w w:val="105"/>
                      <w:sz w:val="21"/>
                      <w:szCs w:val="21"/>
                    </w:rPr>
                    <w:t>了批复意见</w:t>
                  </w:r>
                </w:p>
              </w:tc>
              <w:tc>
                <w:tcPr>
                  <w:tcW w:w="1038" w:type="pct"/>
                  <w:tcBorders>
                    <w:top w:val="single" w:color="000000" w:sz="4" w:space="0"/>
                    <w:left w:val="single" w:color="000000" w:sz="4" w:space="0"/>
                    <w:right w:val="nil"/>
                  </w:tcBorders>
                  <w:noWrap w:val="0"/>
                  <w:vAlign w:val="center"/>
                </w:tcPr>
                <w:p w14:paraId="4F4900B5">
                  <w:pPr>
                    <w:pStyle w:val="56"/>
                    <w:autoSpaceDE w:val="0"/>
                    <w:autoSpaceDN w:val="0"/>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w w:val="105"/>
                      <w:sz w:val="21"/>
                      <w:szCs w:val="21"/>
                      <w:lang w:eastAsia="zh-CN"/>
                    </w:rPr>
                    <w:t>配套污染防</w:t>
                  </w:r>
                  <w:r>
                    <w:rPr>
                      <w:rFonts w:hint="default" w:ascii="Times New Roman" w:hAnsi="Times New Roman" w:cs="Times New Roman"/>
                      <w:color w:val="auto"/>
                      <w:spacing w:val="-1"/>
                      <w:w w:val="105"/>
                      <w:sz w:val="21"/>
                      <w:szCs w:val="21"/>
                      <w:lang w:eastAsia="zh-CN"/>
                    </w:rPr>
                    <w:t>治措施</w:t>
                  </w:r>
                  <w:r>
                    <w:rPr>
                      <w:rFonts w:hint="default" w:ascii="Times New Roman" w:hAnsi="Times New Roman" w:cs="Times New Roman"/>
                      <w:color w:val="auto"/>
                      <w:spacing w:val="-11"/>
                      <w:w w:val="105"/>
                      <w:sz w:val="21"/>
                      <w:szCs w:val="21"/>
                      <w:lang w:eastAsia="zh-CN"/>
                    </w:rPr>
                    <w:t>已</w:t>
                  </w:r>
                  <w:r>
                    <w:rPr>
                      <w:rFonts w:hint="default" w:ascii="Times New Roman" w:hAnsi="Times New Roman" w:cs="Times New Roman"/>
                      <w:color w:val="auto"/>
                      <w:w w:val="110"/>
                      <w:sz w:val="21"/>
                      <w:szCs w:val="21"/>
                      <w:lang w:eastAsia="zh-CN"/>
                    </w:rPr>
                    <w:t>建成，</w:t>
                  </w:r>
                  <w:r>
                    <w:rPr>
                      <w:rFonts w:hint="default" w:ascii="Times New Roman" w:hAnsi="Times New Roman" w:cs="Times New Roman"/>
                      <w:color w:val="auto"/>
                      <w:spacing w:val="-2"/>
                      <w:w w:val="110"/>
                      <w:sz w:val="21"/>
                      <w:szCs w:val="21"/>
                      <w:lang w:eastAsia="zh-CN"/>
                    </w:rPr>
                    <w:t>暂未验收</w:t>
                  </w:r>
                </w:p>
              </w:tc>
            </w:tr>
          </w:tbl>
          <w:p w14:paraId="1FD03B87">
            <w:pPr>
              <w:pStyle w:val="8"/>
              <w:keepNext w:val="0"/>
              <w:keepLines w:val="0"/>
              <w:pageBreakBefore w:val="0"/>
              <w:widowControl w:val="0"/>
              <w:kinsoku/>
              <w:wordWrap/>
              <w:overflowPunct/>
              <w:topLinePunct w:val="0"/>
              <w:autoSpaceDE w:val="0"/>
              <w:autoSpaceDN w:val="0"/>
              <w:bidi w:val="0"/>
              <w:adjustRightInd w:val="0"/>
              <w:snapToGrid w:val="0"/>
              <w:spacing w:before="0" w:after="0" w:line="500" w:lineRule="exact"/>
              <w:ind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企业入驻情况</w:t>
            </w:r>
          </w:p>
          <w:p w14:paraId="06D2CB21">
            <w:pPr>
              <w:pStyle w:val="8"/>
              <w:keepNext w:val="0"/>
              <w:keepLines w:val="0"/>
              <w:pageBreakBefore w:val="0"/>
              <w:widowControl w:val="0"/>
              <w:kinsoku/>
              <w:wordWrap/>
              <w:overflowPunct/>
              <w:topLinePunct w:val="0"/>
              <w:autoSpaceDE w:val="0"/>
              <w:autoSpaceDN w:val="0"/>
              <w:bidi w:val="0"/>
              <w:adjustRightInd w:val="0"/>
              <w:snapToGrid w:val="0"/>
              <w:spacing w:before="0" w:after="0" w:line="500" w:lineRule="exact"/>
              <w:ind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目前</w:t>
            </w:r>
            <w:r>
              <w:rPr>
                <w:rFonts w:hint="default" w:ascii="Times New Roman" w:hAnsi="Times New Roman" w:cs="Times New Roman"/>
                <w:color w:val="auto"/>
                <w:spacing w:val="-3"/>
                <w:sz w:val="24"/>
                <w:szCs w:val="24"/>
              </w:rPr>
              <w:t>已入驻凤凰城经济工业园的企业主要为机械加工行业、精密仪器行业、电子组</w:t>
            </w:r>
            <w:r>
              <w:rPr>
                <w:rFonts w:hint="default" w:ascii="Times New Roman" w:hAnsi="Times New Roman" w:cs="Times New Roman"/>
                <w:color w:val="auto"/>
                <w:spacing w:val="-7"/>
                <w:sz w:val="24"/>
                <w:szCs w:val="24"/>
              </w:rPr>
              <w:t>装行业、纺织服装行业以及新材料行业等。机械加工行业代表企业有常州市金坛天迈机</w:t>
            </w:r>
            <w:r>
              <w:rPr>
                <w:rFonts w:hint="default" w:ascii="Times New Roman" w:hAnsi="Times New Roman" w:cs="Times New Roman"/>
                <w:color w:val="auto"/>
                <w:spacing w:val="-4"/>
                <w:sz w:val="24"/>
                <w:szCs w:val="24"/>
              </w:rPr>
              <w:t>械加工有限公司、江苏铭驰医疗设备有限公司等；精密仪器行业代表企业有常州市金坛</w:t>
            </w:r>
            <w:r>
              <w:rPr>
                <w:rFonts w:hint="default" w:ascii="Times New Roman" w:hAnsi="Times New Roman" w:cs="Times New Roman"/>
                <w:color w:val="auto"/>
                <w:spacing w:val="-7"/>
                <w:sz w:val="24"/>
                <w:szCs w:val="24"/>
              </w:rPr>
              <w:t>国胜实验仪器制造有限公司、常州丹瑞实验仪器设备有限公司、常州国宇仪器制造有限</w:t>
            </w:r>
            <w:r>
              <w:rPr>
                <w:rFonts w:hint="default" w:ascii="Times New Roman" w:hAnsi="Times New Roman" w:cs="Times New Roman"/>
                <w:color w:val="auto"/>
                <w:spacing w:val="-8"/>
                <w:sz w:val="24"/>
                <w:szCs w:val="24"/>
              </w:rPr>
              <w:t>公司等；电子组装行业代表企业有常州市标青机电设备有限公司等；纺织服务行业代表企业有巨匠制衣(常州)</w:t>
            </w:r>
            <w:r>
              <w:rPr>
                <w:rFonts w:hint="default" w:ascii="Times New Roman" w:hAnsi="Times New Roman" w:cs="Times New Roman"/>
                <w:color w:val="auto"/>
                <w:spacing w:val="-12"/>
                <w:sz w:val="24"/>
                <w:szCs w:val="24"/>
              </w:rPr>
              <w:t>有限公司等；新材料行业有江苏伯龙宇航新材料科技有限公司等。</w:t>
            </w:r>
          </w:p>
          <w:p w14:paraId="3B730AB6">
            <w:pPr>
              <w:pStyle w:val="82"/>
              <w:keepNext w:val="0"/>
              <w:keepLines w:val="0"/>
              <w:pageBreakBefore w:val="0"/>
              <w:widowControl w:val="0"/>
              <w:tabs>
                <w:tab w:val="left" w:pos="1297"/>
              </w:tabs>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污染防治措施情况</w:t>
            </w:r>
          </w:p>
          <w:p w14:paraId="6E20C81F">
            <w:pPr>
              <w:pStyle w:val="8"/>
              <w:keepNext w:val="0"/>
              <w:keepLines w:val="0"/>
              <w:pageBreakBefore w:val="0"/>
              <w:widowControl w:val="0"/>
              <w:kinsoku/>
              <w:wordWrap/>
              <w:overflowPunct/>
              <w:topLinePunct w:val="0"/>
              <w:autoSpaceDE w:val="0"/>
              <w:autoSpaceDN w:val="0"/>
              <w:bidi w:val="0"/>
              <w:adjustRightInd w:val="0"/>
              <w:snapToGrid w:val="0"/>
              <w:spacing w:before="0" w:after="0" w:line="500" w:lineRule="exact"/>
              <w:ind w:right="0" w:firstLine="448"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8"/>
                <w:sz w:val="24"/>
                <w:szCs w:val="24"/>
              </w:rPr>
              <w:t>根据《关于常州市金坛区宏达阳光置业有限新建标准厂房及配套用房项目环境影响书》审批意见，园区入驻企业应单独申报环评手续，经批准后方可进驻。因此，本报告</w:t>
            </w:r>
            <w:r>
              <w:rPr>
                <w:rFonts w:hint="default" w:ascii="Times New Roman" w:hAnsi="Times New Roman" w:cs="Times New Roman"/>
                <w:color w:val="auto"/>
                <w:sz w:val="24"/>
                <w:szCs w:val="24"/>
              </w:rPr>
              <w:t>主要介绍凤凰城经济工业园污染防治措施情况。</w:t>
            </w:r>
          </w:p>
          <w:p w14:paraId="64C8D02A">
            <w:pPr>
              <w:pStyle w:val="8"/>
              <w:keepNext w:val="0"/>
              <w:keepLines w:val="0"/>
              <w:pageBreakBefore w:val="0"/>
              <w:widowControl w:val="0"/>
              <w:kinsoku/>
              <w:wordWrap/>
              <w:overflowPunct/>
              <w:topLinePunct w:val="0"/>
              <w:autoSpaceDE w:val="0"/>
              <w:autoSpaceDN w:val="0"/>
              <w:bidi w:val="0"/>
              <w:adjustRightInd w:val="0"/>
              <w:snapToGrid w:val="0"/>
              <w:spacing w:before="0" w:after="0" w:line="500" w:lineRule="exact"/>
              <w:ind w:right="0" w:firstLine="444"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9"/>
                <w:sz w:val="24"/>
                <w:szCs w:val="24"/>
              </w:rPr>
              <w:t>雨、污水：凤凰城经济工业园已按照雨、污分流原则建设了雨、污水管网，雨水排</w:t>
            </w:r>
            <w:r>
              <w:rPr>
                <w:rFonts w:hint="default" w:ascii="Times New Roman" w:hAnsi="Times New Roman" w:cs="Times New Roman"/>
                <w:color w:val="auto"/>
                <w:spacing w:val="-6"/>
                <w:sz w:val="24"/>
                <w:szCs w:val="24"/>
              </w:rPr>
              <w:t>入良常路市政雨水管网；生活污水排入良常路市政污水管网进入金坛第二污水处理厂集</w:t>
            </w:r>
            <w:r>
              <w:rPr>
                <w:rFonts w:hint="default" w:ascii="Times New Roman" w:hAnsi="Times New Roman" w:cs="Times New Roman"/>
                <w:color w:val="auto"/>
                <w:sz w:val="24"/>
                <w:szCs w:val="24"/>
              </w:rPr>
              <w:t>中处理后达标排放。</w:t>
            </w:r>
          </w:p>
          <w:p w14:paraId="75FBBD70">
            <w:pPr>
              <w:pStyle w:val="82"/>
              <w:keepNext w:val="0"/>
              <w:keepLines w:val="0"/>
              <w:pageBreakBefore w:val="0"/>
              <w:widowControl w:val="0"/>
              <w:tabs>
                <w:tab w:val="left" w:pos="1297"/>
              </w:tabs>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大气污染物：凤凰城经济工业园大气污染物主要为食堂油烟，经油烟净化器处理后排放，排放标准执行《饮食业油烟排放标准》（GB18483-2001）大型标准。生活垃圾：生活垃圾由环卫部门定期清运，日产日清。</w:t>
            </w:r>
          </w:p>
          <w:p w14:paraId="67420BC9">
            <w:pPr>
              <w:pStyle w:val="82"/>
              <w:keepNext w:val="0"/>
              <w:keepLines w:val="0"/>
              <w:pageBreakBefore w:val="0"/>
              <w:widowControl w:val="0"/>
              <w:tabs>
                <w:tab w:val="left" w:pos="1297"/>
              </w:tabs>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污染物产生及排放情况</w:t>
            </w:r>
          </w:p>
          <w:p w14:paraId="5B13CEAF">
            <w:pPr>
              <w:pStyle w:val="8"/>
              <w:keepNext w:val="0"/>
              <w:keepLines w:val="0"/>
              <w:pageBreakBefore w:val="0"/>
              <w:widowControl w:val="0"/>
              <w:kinsoku/>
              <w:wordWrap/>
              <w:overflowPunct/>
              <w:topLinePunct w:val="0"/>
              <w:autoSpaceDE w:val="0"/>
              <w:autoSpaceDN w:val="0"/>
              <w:bidi w:val="0"/>
              <w:adjustRightInd w:val="0"/>
              <w:snapToGrid w:val="0"/>
              <w:spacing w:before="0" w:after="0" w:line="500" w:lineRule="exact"/>
              <w:ind w:right="0" w:firstLine="448"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8"/>
                <w:sz w:val="24"/>
                <w:szCs w:val="24"/>
              </w:rPr>
              <w:t>根据《关于常州市金坛区宏达阳光置业有限公司新建标准厂房及配套用房项目环境</w:t>
            </w:r>
            <w:r>
              <w:rPr>
                <w:rFonts w:hint="default" w:ascii="Times New Roman" w:hAnsi="Times New Roman" w:cs="Times New Roman"/>
                <w:color w:val="auto"/>
                <w:spacing w:val="-6"/>
                <w:sz w:val="24"/>
                <w:szCs w:val="24"/>
              </w:rPr>
              <w:t>影响报告书》审批意见，园区入驻企业应单独申报环评手续，因此园区内企业产排污由企业环评单独批准，本章节不另行统计。</w:t>
            </w:r>
          </w:p>
          <w:p w14:paraId="23A835D0">
            <w:pPr>
              <w:pStyle w:val="82"/>
              <w:keepNext w:val="0"/>
              <w:keepLines w:val="0"/>
              <w:pageBreakBefore w:val="0"/>
              <w:widowControl w:val="0"/>
              <w:tabs>
                <w:tab w:val="left" w:pos="1297"/>
              </w:tabs>
              <w:kinsoku/>
              <w:wordWrap/>
              <w:overflowPunct/>
              <w:topLinePunct w:val="0"/>
              <w:autoSpaceDE w:val="0"/>
              <w:autoSpaceDN w:val="0"/>
              <w:bidi w:val="0"/>
              <w:adjustRightInd w:val="0"/>
              <w:snapToGrid w:val="0"/>
              <w:spacing w:line="500" w:lineRule="exact"/>
              <w:ind w:firstLine="422"/>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、本项目与凤凰城经济工业园的依托关系</w:t>
            </w:r>
          </w:p>
          <w:p w14:paraId="51CEF58D">
            <w:pPr>
              <w:pStyle w:val="82"/>
              <w:keepNext w:val="0"/>
              <w:keepLines w:val="0"/>
              <w:pageBreakBefore w:val="0"/>
              <w:widowControl w:val="0"/>
              <w:tabs>
                <w:tab w:val="left" w:pos="1297"/>
              </w:tabs>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凤凰城经济工业园已按照雨污分流、清污分流的原则进行建设，本项目与园区的依托关系如下：</w:t>
            </w:r>
          </w:p>
          <w:p w14:paraId="4A49667F">
            <w:pPr>
              <w:pStyle w:val="82"/>
              <w:keepNext w:val="0"/>
              <w:keepLines w:val="0"/>
              <w:pageBreakBefore w:val="0"/>
              <w:widowControl w:val="0"/>
              <w:tabs>
                <w:tab w:val="left" w:pos="1297"/>
              </w:tabs>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本项目依托园区已建污水管网及污水接管口，生活污水通过良常路污水管网接管至金坛第二污水处理厂集中处理，达标尾水排入尧塘河。本项目生活污水在接入凤凰城经济工业园已有污水管网前设置1个采样口，一旦总排污口发生污染事故，通过水质监测数据的达标情况即可明确责任主体；设置符合规定的环境保护图形标牌，采样口的环境管理以及相关环保责任由</w:t>
            </w:r>
            <w:r>
              <w:rPr>
                <w:rFonts w:hint="default" w:ascii="Times New Roman" w:hAnsi="Times New Roman" w:cs="Times New Roman"/>
                <w:bCs/>
                <w:color w:val="auto"/>
                <w:sz w:val="24"/>
                <w:lang w:eastAsia="zh-CN"/>
              </w:rPr>
              <w:t>常州市恒运塑业科技有限公司</w:t>
            </w:r>
            <w:r>
              <w:rPr>
                <w:rFonts w:hint="default" w:ascii="Times New Roman" w:hAnsi="Times New Roman" w:cs="Times New Roman"/>
                <w:color w:val="auto"/>
                <w:sz w:val="24"/>
                <w:szCs w:val="24"/>
              </w:rPr>
              <w:t>来承担。</w:t>
            </w:r>
            <w:r>
              <w:rPr>
                <w:rFonts w:hint="default" w:ascii="Times New Roman" w:hAnsi="Times New Roman" w:cs="Times New Roman"/>
                <w:color w:val="auto"/>
                <w:sz w:val="24"/>
                <w:szCs w:val="24"/>
              </w:rPr>
              <w:br w:type="textWrapping"/>
            </w:r>
            <w:r>
              <w:rPr>
                <w:rFonts w:hint="default" w:ascii="Times New Roman" w:hAnsi="Times New Roman" w:cs="Times New Roman"/>
                <w:color w:val="auto"/>
                <w:sz w:val="24"/>
                <w:szCs w:val="24"/>
              </w:rPr>
              <w:t xml:space="preserve">   （2）本项目不增设雨水管网及雨水排口，依托凤凰城经济工业园已建雨水管网及雨水排口。</w:t>
            </w:r>
          </w:p>
          <w:p w14:paraId="4050DF5B">
            <w:pPr>
              <w:pStyle w:val="82"/>
              <w:keepNext w:val="0"/>
              <w:keepLines w:val="0"/>
              <w:pageBreakBefore w:val="0"/>
              <w:widowControl w:val="0"/>
              <w:tabs>
                <w:tab w:val="left" w:pos="1297"/>
              </w:tabs>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（3）本项目供水、供电等基础设施均依托凤凰城经济工业园。</w:t>
            </w:r>
          </w:p>
          <w:p w14:paraId="4264FE2D">
            <w:pPr>
              <w:pStyle w:val="7"/>
              <w:adjustRightInd w:val="0"/>
              <w:snapToGrid w:val="0"/>
              <w:spacing w:line="500" w:lineRule="exact"/>
              <w:ind w:firstLine="480" w:firstLineChars="200"/>
              <w:rPr>
                <w:rFonts w:hint="default" w:ascii="Times New Roman" w:hAnsi="Times New Roman" w:eastAsia="宋体" w:cs="Times New Roman"/>
                <w:b w:val="0"/>
                <w:bCs/>
                <w:color w:val="auto"/>
                <w:sz w:val="24"/>
                <w:szCs w:val="24"/>
                <w:highlight w:val="none"/>
                <w:lang w:val="en-US" w:eastAsia="zh-CN"/>
              </w:rPr>
            </w:pPr>
          </w:p>
        </w:tc>
      </w:tr>
    </w:tbl>
    <w:p w14:paraId="7788F354">
      <w:pPr>
        <w:pStyle w:val="22"/>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14:paraId="06673B73">
      <w:pPr>
        <w:pStyle w:val="22"/>
        <w:spacing w:before="0" w:beforeAutospacing="0" w:after="0" w:afterAutospacing="0"/>
        <w:jc w:val="center"/>
        <w:outlineLvl w:val="0"/>
        <w:rPr>
          <w:rFonts w:hint="default" w:ascii="Times New Roman" w:hAnsi="Times New Roman" w:eastAsia="黑体" w:cs="Times New Roman"/>
          <w:snapToGrid w:val="0"/>
          <w:color w:val="auto"/>
          <w:sz w:val="30"/>
          <w:szCs w:val="30"/>
        </w:rPr>
        <w:sectPr>
          <w:footerReference r:id="rId4"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bookmarkStart w:id="3" w:name="_Toc17832"/>
    </w:p>
    <w:bookmarkEnd w:id="3"/>
    <w:p w14:paraId="4A3BDB03">
      <w:pPr>
        <w:pStyle w:val="22"/>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4" w:name="_Toc4503"/>
      <w:r>
        <w:rPr>
          <w:rFonts w:hint="default" w:ascii="Times New Roman" w:hAnsi="Times New Roman" w:eastAsia="黑体" w:cs="Times New Roman"/>
          <w:snapToGrid w:val="0"/>
          <w:color w:val="auto"/>
          <w:sz w:val="30"/>
          <w:szCs w:val="30"/>
        </w:rPr>
        <w:t>三、区域环境质量现状、环境保护目标及评价标准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8599"/>
      </w:tblGrid>
      <w:tr w14:paraId="6307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32" w:type="dxa"/>
            <w:vAlign w:val="center"/>
          </w:tcPr>
          <w:p w14:paraId="0E122A1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区域</w:t>
            </w:r>
          </w:p>
          <w:p w14:paraId="183D58F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w:t>
            </w:r>
          </w:p>
          <w:p w14:paraId="6DDBAC3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质量</w:t>
            </w:r>
          </w:p>
          <w:p w14:paraId="536EE39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现状</w:t>
            </w:r>
          </w:p>
        </w:tc>
        <w:tc>
          <w:tcPr>
            <w:tcW w:w="8228" w:type="dxa"/>
            <w:vAlign w:val="center"/>
          </w:tcPr>
          <w:p w14:paraId="0D429D0C">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1、环境空气质量现状</w:t>
            </w:r>
          </w:p>
          <w:p w14:paraId="2C1DF77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w:t>
            </w:r>
            <w:r>
              <w:rPr>
                <w:rFonts w:hint="default" w:ascii="Times New Roman" w:hAnsi="Times New Roman" w:eastAsia="宋体" w:cs="Times New Roman"/>
                <w:color w:val="auto"/>
                <w:kern w:val="0"/>
                <w:sz w:val="24"/>
                <w:szCs w:val="24"/>
              </w:rPr>
              <w:t>基本污染物环境质量现状</w:t>
            </w:r>
          </w:p>
          <w:p w14:paraId="33BA620B">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根据《常州市环境空气质量功能区划分规定（2017）》，项目所在地空气质量功能区为二类区。S</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rPr>
              <w:t>、N</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rPr>
              <w:t>、CO、</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10</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2.5</w:t>
            </w:r>
            <w:r>
              <w:rPr>
                <w:rFonts w:hint="default" w:ascii="Times New Roman" w:hAnsi="Times New Roman" w:eastAsia="宋体" w:cs="Times New Roman"/>
                <w:color w:val="auto"/>
                <w:sz w:val="24"/>
              </w:rPr>
              <w:t>、O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执行《环境空气质量标准》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GB3095-2012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中二级标准，根据《环境影响评价技术导则大气环境》</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HJ2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2-2018</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，项目所在区域达标情况判定优先采用</w:t>
            </w:r>
            <w:r>
              <w:rPr>
                <w:rFonts w:hint="default" w:ascii="Times New Roman" w:hAnsi="Times New Roman" w:eastAsia="宋体" w:cs="Times New Roman"/>
                <w:color w:val="auto"/>
                <w:sz w:val="24"/>
                <w:shd w:val="clear" w:fill="auto"/>
              </w:rPr>
              <w:t>国家</w:t>
            </w:r>
            <w:r>
              <w:rPr>
                <w:rFonts w:hint="default" w:ascii="Times New Roman" w:hAnsi="Times New Roman" w:eastAsia="宋体" w:cs="Times New Roman"/>
                <w:color w:val="auto"/>
                <w:sz w:val="24"/>
              </w:rPr>
              <w:t>或地方生态环境主管部门公开发布的环境质量报告或环境质量报告书中的数据或结论。本次评价选取202</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年作为评价基准年，根据《</w:t>
            </w:r>
            <w:r>
              <w:rPr>
                <w:rFonts w:hint="eastAsia" w:cs="Times New Roman"/>
                <w:color w:val="auto"/>
                <w:sz w:val="24"/>
                <w:lang w:eastAsia="zh-CN"/>
              </w:rPr>
              <w:t>2023年常州市生态环境状况公报</w:t>
            </w:r>
            <w:r>
              <w:rPr>
                <w:rFonts w:hint="default" w:ascii="Times New Roman" w:hAnsi="Times New Roman" w:eastAsia="宋体" w:cs="Times New Roman"/>
                <w:color w:val="auto"/>
                <w:sz w:val="24"/>
              </w:rPr>
              <w:t>》。项目所在区域环境空气质量汇总见下表。</w:t>
            </w:r>
          </w:p>
          <w:p w14:paraId="095E11E0">
            <w:pPr>
              <w:pStyle w:val="103"/>
              <w:keepNext w:val="0"/>
              <w:keepLines w:val="0"/>
              <w:pageBreakBefore w:val="0"/>
              <w:widowControl w:val="0"/>
              <w:kinsoku/>
              <w:wordWrap/>
              <w:overflowPunct/>
              <w:topLinePunct w:val="0"/>
              <w:autoSpaceDE/>
              <w:autoSpaceDN/>
              <w:bidi w:val="0"/>
              <w:adjustRightInd w:val="0"/>
              <w:snapToGrid w:val="0"/>
              <w:spacing w:line="50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表3-1</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区域空气质量现状评价表</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941"/>
              <w:gridCol w:w="2209"/>
              <w:gridCol w:w="1384"/>
              <w:gridCol w:w="1649"/>
              <w:gridCol w:w="1013"/>
              <w:gridCol w:w="1187"/>
            </w:tblGrid>
            <w:tr w14:paraId="0531326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0A10AA91">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污染物</w:t>
                  </w:r>
                </w:p>
              </w:tc>
              <w:tc>
                <w:tcPr>
                  <w:tcW w:w="1317" w:type="pct"/>
                  <w:tcBorders>
                    <w:tl2br w:val="nil"/>
                    <w:tr2bl w:val="nil"/>
                  </w:tcBorders>
                  <w:noWrap w:val="0"/>
                  <w:vAlign w:val="center"/>
                </w:tcPr>
                <w:p w14:paraId="41671485">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年平均指标</w:t>
                  </w:r>
                </w:p>
              </w:tc>
              <w:tc>
                <w:tcPr>
                  <w:tcW w:w="825" w:type="pct"/>
                  <w:tcBorders>
                    <w:tl2br w:val="nil"/>
                    <w:tr2bl w:val="nil"/>
                  </w:tcBorders>
                  <w:noWrap w:val="0"/>
                  <w:vAlign w:val="center"/>
                </w:tcPr>
                <w:p w14:paraId="2F043B02">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现状浓度μg/m</w:t>
                  </w:r>
                  <w:r>
                    <w:rPr>
                      <w:rFonts w:hint="default" w:ascii="Times New Roman" w:hAnsi="Times New Roman" w:eastAsia="宋体" w:cs="Times New Roman"/>
                      <w:b/>
                      <w:color w:val="auto"/>
                      <w:sz w:val="21"/>
                      <w:szCs w:val="21"/>
                      <w:highlight w:val="none"/>
                      <w:vertAlign w:val="superscript"/>
                    </w:rPr>
                    <w:t>3</w:t>
                  </w:r>
                </w:p>
              </w:tc>
              <w:tc>
                <w:tcPr>
                  <w:tcW w:w="983" w:type="pct"/>
                  <w:tcBorders>
                    <w:tl2br w:val="nil"/>
                    <w:tr2bl w:val="nil"/>
                  </w:tcBorders>
                  <w:noWrap w:val="0"/>
                  <w:vAlign w:val="center"/>
                </w:tcPr>
                <w:p w14:paraId="3B55C373">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标准限值μg/m</w:t>
                  </w:r>
                  <w:r>
                    <w:rPr>
                      <w:rFonts w:hint="default" w:ascii="Times New Roman" w:hAnsi="Times New Roman" w:eastAsia="宋体" w:cs="Times New Roman"/>
                      <w:b/>
                      <w:color w:val="auto"/>
                      <w:sz w:val="21"/>
                      <w:szCs w:val="21"/>
                      <w:highlight w:val="none"/>
                      <w:vertAlign w:val="superscript"/>
                    </w:rPr>
                    <w:t>3</w:t>
                  </w:r>
                </w:p>
              </w:tc>
              <w:tc>
                <w:tcPr>
                  <w:tcW w:w="604" w:type="pct"/>
                  <w:tcBorders>
                    <w:tl2br w:val="nil"/>
                    <w:tr2bl w:val="nil"/>
                  </w:tcBorders>
                  <w:noWrap w:val="0"/>
                  <w:vAlign w:val="center"/>
                </w:tcPr>
                <w:p w14:paraId="14ED6A39">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lang w:val="en-US" w:eastAsia="zh-CN"/>
                    </w:rPr>
                    <w:t>达标率</w:t>
                  </w:r>
                  <w:r>
                    <w:rPr>
                      <w:rFonts w:hint="default" w:ascii="Times New Roman" w:hAnsi="Times New Roman" w:eastAsia="宋体" w:cs="Times New Roman"/>
                      <w:b/>
                      <w:color w:val="auto"/>
                      <w:kern w:val="0"/>
                      <w:sz w:val="21"/>
                      <w:szCs w:val="21"/>
                      <w:highlight w:val="none"/>
                    </w:rPr>
                    <w:t>%</w:t>
                  </w:r>
                </w:p>
              </w:tc>
              <w:tc>
                <w:tcPr>
                  <w:tcW w:w="708" w:type="pct"/>
                  <w:tcBorders>
                    <w:tl2br w:val="nil"/>
                    <w:tr2bl w:val="nil"/>
                  </w:tcBorders>
                  <w:noWrap w:val="0"/>
                  <w:vAlign w:val="center"/>
                </w:tcPr>
                <w:p w14:paraId="32C0FC3E">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达标情况</w:t>
                  </w:r>
                </w:p>
              </w:tc>
            </w:tr>
            <w:tr w14:paraId="0BEFEAC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3FB72B6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p>
              </w:tc>
              <w:tc>
                <w:tcPr>
                  <w:tcW w:w="1317" w:type="pct"/>
                  <w:tcBorders>
                    <w:tl2br w:val="nil"/>
                    <w:tr2bl w:val="nil"/>
                  </w:tcBorders>
                  <w:noWrap w:val="0"/>
                  <w:vAlign w:val="center"/>
                </w:tcPr>
                <w:p w14:paraId="13E74BA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14A8291C">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34</w:t>
                  </w:r>
                </w:p>
              </w:tc>
              <w:tc>
                <w:tcPr>
                  <w:tcW w:w="983" w:type="pct"/>
                  <w:tcBorders>
                    <w:tl2br w:val="nil"/>
                    <w:tr2bl w:val="nil"/>
                  </w:tcBorders>
                  <w:noWrap w:val="0"/>
                  <w:vAlign w:val="center"/>
                </w:tcPr>
                <w:p w14:paraId="0895463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w:t>
                  </w:r>
                </w:p>
              </w:tc>
              <w:tc>
                <w:tcPr>
                  <w:tcW w:w="604" w:type="pct"/>
                  <w:tcBorders>
                    <w:tl2br w:val="nil"/>
                    <w:tr2bl w:val="nil"/>
                  </w:tcBorders>
                  <w:noWrap w:val="0"/>
                  <w:vAlign w:val="center"/>
                </w:tcPr>
                <w:p w14:paraId="0C5B14DB">
                  <w:pPr>
                    <w:widowControl/>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100</w:t>
                  </w:r>
                </w:p>
              </w:tc>
              <w:tc>
                <w:tcPr>
                  <w:tcW w:w="708" w:type="pct"/>
                  <w:vMerge w:val="restart"/>
                  <w:tcBorders>
                    <w:tl2br w:val="nil"/>
                    <w:tr2bl w:val="nil"/>
                  </w:tcBorders>
                  <w:noWrap w:val="0"/>
                  <w:vAlign w:val="center"/>
                </w:tcPr>
                <w:p w14:paraId="16E20A06">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不</w:t>
                  </w:r>
                  <w:r>
                    <w:rPr>
                      <w:rFonts w:hint="default" w:ascii="Times New Roman" w:hAnsi="Times New Roman" w:eastAsia="宋体" w:cs="Times New Roman"/>
                      <w:color w:val="auto"/>
                      <w:kern w:val="0"/>
                      <w:sz w:val="21"/>
                      <w:szCs w:val="21"/>
                      <w:highlight w:val="none"/>
                    </w:rPr>
                    <w:t>达标</w:t>
                  </w:r>
                </w:p>
              </w:tc>
            </w:tr>
            <w:tr w14:paraId="39582FC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3AB4238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5185BA35">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2527BCFD">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6-151</w:t>
                  </w:r>
                </w:p>
              </w:tc>
              <w:tc>
                <w:tcPr>
                  <w:tcW w:w="983" w:type="pct"/>
                  <w:tcBorders>
                    <w:tl2br w:val="nil"/>
                    <w:tr2bl w:val="nil"/>
                  </w:tcBorders>
                  <w:noWrap w:val="0"/>
                  <w:vAlign w:val="center"/>
                </w:tcPr>
                <w:p w14:paraId="1AD919FE">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75</w:t>
                  </w:r>
                </w:p>
              </w:tc>
              <w:tc>
                <w:tcPr>
                  <w:tcW w:w="604" w:type="pct"/>
                  <w:tcBorders>
                    <w:tl2br w:val="nil"/>
                    <w:tr2bl w:val="nil"/>
                  </w:tcBorders>
                  <w:noWrap w:val="0"/>
                  <w:vAlign w:val="center"/>
                </w:tcPr>
                <w:p w14:paraId="06F5D698">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93.6</w:t>
                  </w:r>
                </w:p>
              </w:tc>
              <w:tc>
                <w:tcPr>
                  <w:tcW w:w="708" w:type="pct"/>
                  <w:vMerge w:val="continue"/>
                  <w:tcBorders>
                    <w:tl2br w:val="nil"/>
                    <w:tr2bl w:val="nil"/>
                  </w:tcBorders>
                  <w:noWrap w:val="0"/>
                  <w:vAlign w:val="center"/>
                </w:tcPr>
                <w:p w14:paraId="3679C1D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5284D09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4BE1198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p>
              </w:tc>
              <w:tc>
                <w:tcPr>
                  <w:tcW w:w="1317" w:type="pct"/>
                  <w:tcBorders>
                    <w:tl2br w:val="nil"/>
                    <w:tr2bl w:val="nil"/>
                  </w:tcBorders>
                  <w:noWrap w:val="0"/>
                  <w:vAlign w:val="center"/>
                </w:tcPr>
                <w:p w14:paraId="2465A8DA">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4D5A9580">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57</w:t>
                  </w:r>
                </w:p>
              </w:tc>
              <w:tc>
                <w:tcPr>
                  <w:tcW w:w="983" w:type="pct"/>
                  <w:tcBorders>
                    <w:tl2br w:val="nil"/>
                    <w:tr2bl w:val="nil"/>
                  </w:tcBorders>
                  <w:noWrap w:val="0"/>
                  <w:vAlign w:val="center"/>
                </w:tcPr>
                <w:p w14:paraId="1657BC0A">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c>
                <w:tcPr>
                  <w:tcW w:w="604" w:type="pct"/>
                  <w:tcBorders>
                    <w:tl2br w:val="nil"/>
                    <w:tr2bl w:val="nil"/>
                  </w:tcBorders>
                  <w:noWrap w:val="0"/>
                  <w:vAlign w:val="center"/>
                </w:tcPr>
                <w:p w14:paraId="47184012">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76F4DAA1">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14DE2AD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0CBAB0C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3FA0D80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12DD6C1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12-188</w:t>
                  </w:r>
                </w:p>
              </w:tc>
              <w:tc>
                <w:tcPr>
                  <w:tcW w:w="983" w:type="pct"/>
                  <w:tcBorders>
                    <w:tl2br w:val="nil"/>
                    <w:tr2bl w:val="nil"/>
                  </w:tcBorders>
                  <w:noWrap w:val="0"/>
                  <w:vAlign w:val="center"/>
                </w:tcPr>
                <w:p w14:paraId="5F4CC98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604" w:type="pct"/>
                  <w:tcBorders>
                    <w:tl2br w:val="nil"/>
                    <w:tr2bl w:val="nil"/>
                  </w:tcBorders>
                  <w:noWrap w:val="0"/>
                  <w:vAlign w:val="center"/>
                </w:tcPr>
                <w:p w14:paraId="3565069C">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98.8</w:t>
                  </w:r>
                </w:p>
              </w:tc>
              <w:tc>
                <w:tcPr>
                  <w:tcW w:w="708" w:type="pct"/>
                  <w:vMerge w:val="continue"/>
                  <w:tcBorders>
                    <w:tl2br w:val="nil"/>
                    <w:tr2bl w:val="nil"/>
                  </w:tcBorders>
                  <w:noWrap w:val="0"/>
                  <w:vAlign w:val="center"/>
                </w:tcPr>
                <w:p w14:paraId="4B7C2BE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40AE522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2E3000A1">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p>
              </w:tc>
              <w:tc>
                <w:tcPr>
                  <w:tcW w:w="1317" w:type="pct"/>
                  <w:tcBorders>
                    <w:tl2br w:val="nil"/>
                    <w:tr2bl w:val="nil"/>
                  </w:tcBorders>
                  <w:noWrap w:val="0"/>
                  <w:vAlign w:val="center"/>
                </w:tcPr>
                <w:p w14:paraId="0998403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41787BB5">
                  <w:pPr>
                    <w:adjustRightInd w:val="0"/>
                    <w:snapToGrid w:val="0"/>
                    <w:spacing w:line="240" w:lineRule="auto"/>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8</w:t>
                  </w:r>
                </w:p>
              </w:tc>
              <w:tc>
                <w:tcPr>
                  <w:tcW w:w="983" w:type="pct"/>
                  <w:tcBorders>
                    <w:tl2br w:val="nil"/>
                    <w:tr2bl w:val="nil"/>
                  </w:tcBorders>
                  <w:noWrap w:val="0"/>
                  <w:vAlign w:val="center"/>
                </w:tcPr>
                <w:p w14:paraId="79FC54E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604" w:type="pct"/>
                  <w:tcBorders>
                    <w:tl2br w:val="nil"/>
                    <w:tr2bl w:val="nil"/>
                  </w:tcBorders>
                  <w:noWrap w:val="0"/>
                  <w:vAlign w:val="center"/>
                </w:tcPr>
                <w:p w14:paraId="0267D45D">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0618231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109C7C1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2371346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79A99B0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50D2948F">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4-17</w:t>
                  </w:r>
                </w:p>
              </w:tc>
              <w:tc>
                <w:tcPr>
                  <w:tcW w:w="983" w:type="pct"/>
                  <w:tcBorders>
                    <w:tl2br w:val="nil"/>
                    <w:tr2bl w:val="nil"/>
                  </w:tcBorders>
                  <w:noWrap w:val="0"/>
                  <w:vAlign w:val="center"/>
                </w:tcPr>
                <w:p w14:paraId="66B3947E">
                  <w:pPr>
                    <w:keepNext w:val="0"/>
                    <w:keepLines w:val="0"/>
                    <w:suppressLineNumbers w:val="0"/>
                    <w:snapToGrid w:val="0"/>
                    <w:spacing w:before="0" w:beforeAutospacing="0" w:after="0" w:afterAutospacing="0" w:line="240" w:lineRule="auto"/>
                    <w:ind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604" w:type="pct"/>
                  <w:tcBorders>
                    <w:tl2br w:val="nil"/>
                    <w:tr2bl w:val="nil"/>
                  </w:tcBorders>
                  <w:noWrap w:val="0"/>
                  <w:vAlign w:val="center"/>
                </w:tcPr>
                <w:p w14:paraId="52B81C40">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100</w:t>
                  </w:r>
                </w:p>
              </w:tc>
              <w:tc>
                <w:tcPr>
                  <w:tcW w:w="708" w:type="pct"/>
                  <w:vMerge w:val="continue"/>
                  <w:tcBorders>
                    <w:tl2br w:val="nil"/>
                    <w:tr2bl w:val="nil"/>
                  </w:tcBorders>
                  <w:noWrap w:val="0"/>
                  <w:vAlign w:val="center"/>
                </w:tcPr>
                <w:p w14:paraId="16292C3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5F3C52A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58FA79F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p>
              </w:tc>
              <w:tc>
                <w:tcPr>
                  <w:tcW w:w="1317" w:type="pct"/>
                  <w:tcBorders>
                    <w:tl2br w:val="nil"/>
                    <w:tr2bl w:val="nil"/>
                  </w:tcBorders>
                  <w:noWrap w:val="0"/>
                  <w:vAlign w:val="center"/>
                </w:tcPr>
                <w:p w14:paraId="1AB4CD9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02A68680">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w:t>
                  </w:r>
                </w:p>
              </w:tc>
              <w:tc>
                <w:tcPr>
                  <w:tcW w:w="983" w:type="pct"/>
                  <w:tcBorders>
                    <w:tl2br w:val="nil"/>
                    <w:tr2bl w:val="nil"/>
                  </w:tcBorders>
                  <w:noWrap w:val="0"/>
                  <w:vAlign w:val="center"/>
                </w:tcPr>
                <w:p w14:paraId="04DC40C6">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604" w:type="pct"/>
                  <w:tcBorders>
                    <w:tl2br w:val="nil"/>
                    <w:tr2bl w:val="nil"/>
                  </w:tcBorders>
                  <w:noWrap w:val="0"/>
                  <w:vAlign w:val="center"/>
                </w:tcPr>
                <w:p w14:paraId="22AF6D9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3BC3E0BB">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2B8EF1B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5212911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349F303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6E055E8B">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6-106</w:t>
                  </w:r>
                </w:p>
              </w:tc>
              <w:tc>
                <w:tcPr>
                  <w:tcW w:w="983" w:type="pct"/>
                  <w:tcBorders>
                    <w:tl2br w:val="nil"/>
                    <w:tr2bl w:val="nil"/>
                  </w:tcBorders>
                  <w:noWrap w:val="0"/>
                  <w:vAlign w:val="center"/>
                </w:tcPr>
                <w:p w14:paraId="0E8780D2">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80</w:t>
                  </w:r>
                </w:p>
              </w:tc>
              <w:tc>
                <w:tcPr>
                  <w:tcW w:w="604" w:type="pct"/>
                  <w:tcBorders>
                    <w:tl2br w:val="nil"/>
                    <w:tr2bl w:val="nil"/>
                  </w:tcBorders>
                  <w:noWrap w:val="0"/>
                  <w:vAlign w:val="center"/>
                </w:tcPr>
                <w:p w14:paraId="72691D6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98.1</w:t>
                  </w:r>
                </w:p>
              </w:tc>
              <w:tc>
                <w:tcPr>
                  <w:tcW w:w="708" w:type="pct"/>
                  <w:vMerge w:val="continue"/>
                  <w:tcBorders>
                    <w:tl2br w:val="nil"/>
                    <w:tr2bl w:val="nil"/>
                  </w:tcBorders>
                  <w:noWrap w:val="0"/>
                  <w:vAlign w:val="center"/>
                </w:tcPr>
                <w:p w14:paraId="665B5F7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2972776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26635D0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w:t>
                  </w:r>
                </w:p>
              </w:tc>
              <w:tc>
                <w:tcPr>
                  <w:tcW w:w="1317" w:type="pct"/>
                  <w:tcBorders>
                    <w:tl2br w:val="nil"/>
                    <w:tr2bl w:val="nil"/>
                  </w:tcBorders>
                  <w:noWrap w:val="0"/>
                  <w:vAlign w:val="center"/>
                </w:tcPr>
                <w:p w14:paraId="41E6953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日均值的第95百分位数</w:t>
                  </w:r>
                </w:p>
              </w:tc>
              <w:tc>
                <w:tcPr>
                  <w:tcW w:w="825" w:type="pct"/>
                  <w:tcBorders>
                    <w:tl2br w:val="nil"/>
                    <w:tr2bl w:val="nil"/>
                  </w:tcBorders>
                  <w:noWrap w:val="0"/>
                  <w:vAlign w:val="center"/>
                </w:tcPr>
                <w:p w14:paraId="11F3A372">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1100</w:t>
                  </w:r>
                </w:p>
              </w:tc>
              <w:tc>
                <w:tcPr>
                  <w:tcW w:w="983" w:type="pct"/>
                  <w:tcBorders>
                    <w:tl2br w:val="nil"/>
                    <w:tr2bl w:val="nil"/>
                  </w:tcBorders>
                  <w:noWrap w:val="0"/>
                  <w:vAlign w:val="center"/>
                </w:tcPr>
                <w:p w14:paraId="49B21FD4">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4000</w:t>
                  </w:r>
                </w:p>
              </w:tc>
              <w:tc>
                <w:tcPr>
                  <w:tcW w:w="604" w:type="pct"/>
                  <w:tcBorders>
                    <w:tl2br w:val="nil"/>
                    <w:tr2bl w:val="nil"/>
                  </w:tcBorders>
                  <w:noWrap w:val="0"/>
                  <w:vAlign w:val="center"/>
                </w:tcPr>
                <w:p w14:paraId="7AB44240">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tcBorders>
                    <w:tl2br w:val="nil"/>
                    <w:tr2bl w:val="nil"/>
                  </w:tcBorders>
                  <w:noWrap w:val="0"/>
                  <w:vAlign w:val="center"/>
                </w:tcPr>
                <w:p w14:paraId="7D31A534">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36934CA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4D15DA1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O</w:t>
                  </w:r>
                  <w:r>
                    <w:rPr>
                      <w:rFonts w:hint="default" w:ascii="Times New Roman" w:hAnsi="Times New Roman" w:eastAsia="宋体" w:cs="Times New Roman"/>
                      <w:color w:val="auto"/>
                      <w:kern w:val="0"/>
                      <w:sz w:val="21"/>
                      <w:szCs w:val="21"/>
                      <w:highlight w:val="none"/>
                      <w:vertAlign w:val="subscript"/>
                    </w:rPr>
                    <w:t>3</w:t>
                  </w:r>
                </w:p>
              </w:tc>
              <w:tc>
                <w:tcPr>
                  <w:tcW w:w="1317" w:type="pct"/>
                  <w:tcBorders>
                    <w:tl2br w:val="nil"/>
                    <w:tr2bl w:val="nil"/>
                  </w:tcBorders>
                  <w:noWrap w:val="0"/>
                  <w:vAlign w:val="center"/>
                </w:tcPr>
                <w:p w14:paraId="1D6D63C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日最大8小时滑动平均值的第90百分位数</w:t>
                  </w:r>
                </w:p>
              </w:tc>
              <w:tc>
                <w:tcPr>
                  <w:tcW w:w="825" w:type="pct"/>
                  <w:tcBorders>
                    <w:tl2br w:val="nil"/>
                    <w:tr2bl w:val="nil"/>
                  </w:tcBorders>
                  <w:noWrap w:val="0"/>
                  <w:vAlign w:val="center"/>
                </w:tcPr>
                <w:p w14:paraId="5428AB73">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174</w:t>
                  </w:r>
                </w:p>
              </w:tc>
              <w:tc>
                <w:tcPr>
                  <w:tcW w:w="983" w:type="pct"/>
                  <w:tcBorders>
                    <w:tl2br w:val="nil"/>
                    <w:tr2bl w:val="nil"/>
                  </w:tcBorders>
                  <w:noWrap w:val="0"/>
                  <w:vAlign w:val="center"/>
                </w:tcPr>
                <w:p w14:paraId="2B414FB5">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160</w:t>
                  </w:r>
                </w:p>
              </w:tc>
              <w:tc>
                <w:tcPr>
                  <w:tcW w:w="604" w:type="pct"/>
                  <w:tcBorders>
                    <w:tl2br w:val="nil"/>
                    <w:tr2bl w:val="nil"/>
                  </w:tcBorders>
                  <w:noWrap w:val="0"/>
                  <w:vAlign w:val="center"/>
                </w:tcPr>
                <w:p w14:paraId="4A4C371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85.5</w:t>
                  </w:r>
                </w:p>
              </w:tc>
              <w:tc>
                <w:tcPr>
                  <w:tcW w:w="708" w:type="pct"/>
                  <w:tcBorders>
                    <w:tl2br w:val="nil"/>
                    <w:tr2bl w:val="nil"/>
                  </w:tcBorders>
                  <w:noWrap w:val="0"/>
                  <w:vAlign w:val="center"/>
                </w:tcPr>
                <w:p w14:paraId="1734EDD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不达标</w:t>
                  </w:r>
                </w:p>
              </w:tc>
            </w:tr>
          </w:tbl>
          <w:p w14:paraId="09471F15">
            <w:pPr>
              <w:keepNext w:val="0"/>
              <w:keepLines w:val="0"/>
              <w:pageBreakBefore w:val="0"/>
              <w:widowControl w:val="0"/>
              <w:kinsoku/>
              <w:wordWrap/>
              <w:overflowPunct/>
              <w:topLinePunct w:val="0"/>
              <w:bidi w:val="0"/>
              <w:adjustRightInd w:val="0"/>
              <w:snapToGrid w:val="0"/>
              <w:spacing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依据</w:t>
            </w:r>
            <w:r>
              <w:rPr>
                <w:rFonts w:hint="default" w:ascii="Times New Roman" w:hAnsi="Times New Roman" w:eastAsia="宋体" w:cs="Times New Roman"/>
                <w:color w:val="auto"/>
                <w:sz w:val="24"/>
                <w:szCs w:val="24"/>
              </w:rPr>
              <w:t>《环境空气质量标准》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GB3095-2012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《环境空气质量评价技术规范（试行）》</w:t>
            </w:r>
            <w:r>
              <w:rPr>
                <w:rFonts w:hint="default" w:ascii="Times New Roman" w:hAnsi="Times New Roman" w:eastAsia="宋体" w:cs="Times New Roman"/>
                <w:color w:val="auto"/>
                <w:sz w:val="24"/>
                <w:szCs w:val="24"/>
                <w:highlight w:val="none"/>
              </w:rPr>
              <w:t>（HJ663-2013）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年常州市环境空气中S</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lang w:val="en-US" w:eastAsia="zh-CN"/>
              </w:rPr>
              <w:t>达标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超标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根据《环境空气质量评价技术规范（试行）》</w:t>
            </w:r>
            <w:r>
              <w:rPr>
                <w:rFonts w:hint="default" w:ascii="Times New Roman" w:hAnsi="Times New Roman" w:eastAsia="宋体" w:cs="Times New Roman"/>
                <w:color w:val="auto"/>
                <w:sz w:val="24"/>
                <w:szCs w:val="24"/>
                <w:highlight w:val="none"/>
              </w:rPr>
              <w:t>（HJ663-2013）</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，6项污染物全部达标即为城市环境空气质量达标，故常州市目前属于环境空气质量不达标区。</w:t>
            </w:r>
          </w:p>
          <w:p w14:paraId="57940C1A">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（2）大气环境质量限期达标规划</w:t>
            </w:r>
          </w:p>
          <w:p w14:paraId="5F145EB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为加快改善环境空气质量，常州市人民政府发布了</w:t>
            </w:r>
            <w:r>
              <w:rPr>
                <w:rFonts w:hint="default" w:ascii="Times New Roman" w:hAnsi="Times New Roman" w:eastAsia="宋体" w:cs="Times New Roman"/>
                <w:b w:val="0"/>
                <w:bCs w:val="0"/>
                <w:color w:val="auto"/>
                <w:kern w:val="44"/>
                <w:sz w:val="24"/>
                <w:szCs w:val="24"/>
                <w:lang w:val="en-US" w:eastAsia="zh-CN" w:bidi="ar-SA"/>
              </w:rPr>
              <w:t>《常州市空气质量持续改善行动计划实施方案》（常政发〔2024〕51号）</w:t>
            </w:r>
            <w:r>
              <w:rPr>
                <w:rFonts w:hint="default" w:ascii="Times New Roman" w:hAnsi="Times New Roman" w:eastAsia="宋体" w:cs="Times New Roman"/>
                <w:color w:val="auto"/>
                <w:sz w:val="24"/>
                <w:szCs w:val="24"/>
              </w:rPr>
              <w:t>，进一步提出如下大气污染</w:t>
            </w:r>
            <w:r>
              <w:rPr>
                <w:rFonts w:hint="default" w:ascii="Times New Roman" w:hAnsi="Times New Roman" w:eastAsia="宋体" w:cs="Times New Roman"/>
                <w:color w:val="auto"/>
                <w:sz w:val="24"/>
                <w:szCs w:val="24"/>
                <w:shd w:val="clear" w:fill="auto"/>
              </w:rPr>
              <w:t>防治</w:t>
            </w:r>
            <w:r>
              <w:rPr>
                <w:rFonts w:hint="default" w:ascii="Times New Roman" w:hAnsi="Times New Roman" w:eastAsia="宋体" w:cs="Times New Roman"/>
                <w:color w:val="auto"/>
                <w:sz w:val="24"/>
                <w:szCs w:val="24"/>
              </w:rPr>
              <w:t>工作计划：</w:t>
            </w:r>
          </w:p>
          <w:p w14:paraId="289440F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主要目标是：到2025年，全市PM</w:t>
            </w:r>
            <w:r>
              <w:rPr>
                <w:rFonts w:hint="default" w:ascii="Times New Roman" w:hAnsi="Times New Roman" w:eastAsia="宋体" w:cs="Times New Roman"/>
                <w:b w:val="0"/>
                <w:bCs w:val="0"/>
                <w:color w:val="auto"/>
                <w:kern w:val="44"/>
                <w:sz w:val="24"/>
                <w:szCs w:val="24"/>
                <w:vertAlign w:val="subscript"/>
                <w:lang w:val="en-US" w:eastAsia="zh-CN" w:bidi="ar-SA"/>
              </w:rPr>
              <w:t>2.5</w:t>
            </w:r>
            <w:r>
              <w:rPr>
                <w:rFonts w:hint="default" w:ascii="Times New Roman" w:hAnsi="Times New Roman" w:eastAsia="宋体" w:cs="Times New Roman"/>
                <w:b w:val="0"/>
                <w:bCs w:val="0"/>
                <w:color w:val="auto"/>
                <w:kern w:val="44"/>
                <w:sz w:val="24"/>
                <w:szCs w:val="24"/>
                <w:lang w:val="en-US" w:eastAsia="zh-CN" w:bidi="ar-SA"/>
              </w:rPr>
              <w:t>浓度总体达标，PM</w:t>
            </w:r>
            <w:r>
              <w:rPr>
                <w:rFonts w:hint="default" w:ascii="Times New Roman" w:hAnsi="Times New Roman" w:eastAsia="宋体" w:cs="Times New Roman"/>
                <w:b w:val="0"/>
                <w:bCs w:val="0"/>
                <w:color w:val="auto"/>
                <w:kern w:val="44"/>
                <w:sz w:val="24"/>
                <w:szCs w:val="24"/>
                <w:vertAlign w:val="subscript"/>
                <w:lang w:val="en-US" w:eastAsia="zh-CN" w:bidi="ar-SA"/>
              </w:rPr>
              <w:t>2.5</w:t>
            </w:r>
            <w:r>
              <w:rPr>
                <w:rFonts w:hint="default" w:ascii="Times New Roman" w:hAnsi="Times New Roman" w:eastAsia="宋体" w:cs="Times New Roman"/>
                <w:b w:val="0"/>
                <w:bCs w:val="0"/>
                <w:color w:val="auto"/>
                <w:kern w:val="44"/>
                <w:sz w:val="24"/>
                <w:szCs w:val="24"/>
                <w:lang w:val="en-US" w:eastAsia="zh-CN" w:bidi="ar-SA"/>
              </w:rPr>
              <w:t>浓度比2020年下降10%，基本消除重度及以上污染天气，空气质量持续改善；氮氧化物和VOCs排放总量比2020年分别下降10%以上，完成省下达的减排目标。</w:t>
            </w:r>
          </w:p>
          <w:p w14:paraId="046B021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重点任务：</w:t>
            </w:r>
          </w:p>
          <w:p w14:paraId="19A0DD7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377221C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（二）加快退出重点行业落后产能。落实《产业结构调整指导目录》，依法依规逐步退出限制类涉气行业工艺和装备、逐步淘汰步进式烧结机和球团竖炉以及半封闭式硅锰合金、镍铁、高碳铬铁、高碳锰铁电炉。</w:t>
            </w:r>
          </w:p>
          <w:p w14:paraId="187F5F6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2582E35F">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（四）优化含VOCs原辅材料和产品结构。严格控制生产和使用高VOCs含量涂料、油墨、</w:t>
            </w:r>
            <w:r>
              <w:rPr>
                <w:rFonts w:hint="eastAsia" w:cs="Times New Roman"/>
                <w:b w:val="0"/>
                <w:bCs w:val="0"/>
                <w:color w:val="auto"/>
                <w:kern w:val="44"/>
                <w:sz w:val="24"/>
                <w:szCs w:val="24"/>
                <w:lang w:val="en-US" w:eastAsia="zh-CN" w:bidi="ar-SA"/>
              </w:rPr>
              <w:t>胶黏剂</w:t>
            </w:r>
            <w:r>
              <w:rPr>
                <w:rFonts w:hint="default" w:ascii="Times New Roman" w:hAnsi="Times New Roman" w:eastAsia="宋体" w:cs="Times New Roman"/>
                <w:b w:val="0"/>
                <w:bCs w:val="0"/>
                <w:color w:val="auto"/>
                <w:kern w:val="44"/>
                <w:sz w:val="24"/>
                <w:szCs w:val="24"/>
                <w:lang w:val="en-US" w:eastAsia="zh-CN" w:bidi="ar-SA"/>
              </w:rPr>
              <w:t>、清洗剂等建设项目。加大工业涂装、包装印刷和电子行业清洁原料替代力度。鼓励和推进汽车4S店、大型汽修厂实施水性涂料替代。</w:t>
            </w:r>
          </w:p>
          <w:p w14:paraId="747E85B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3615335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01851A6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七）推进燃煤锅炉关停整合和工业炉窑清洁能源替代。充分发挥30万千瓦及以上热电联产电厂的供热能力，对其供热半径30公里范围内的燃煤锅炉和落后燃煤小热电机组（含自备电厂）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4793690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八）推进近零碳园区和近零碳工厂试点建设。重点选择绿色产业园区、外贸出口相对集中的园区、“危污乱散低”综合治理“绿岛”园区、科创产业园区等园区类型和市级及以上绿色工厂，推进近零碳园区、近零碳工厂试点。以近零碳园区为主阵地，同步开展近零碳工厂培育和新型智能微电网、虚拟电厂等新能源应用场景推广试点。鼓励企业参与绿电、绿证交易，打造高比例可再生能源消纳示范区，推广综合能源服务，推进能源梯级利用、余热余压回收、绿色供冷供热，推动园区内源网荷储深度融合。</w:t>
            </w:r>
          </w:p>
          <w:p w14:paraId="69E8AEF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（九）持续优化货物运输结构。到2025年，水路、铁路货运量比2020年分别增长12%和10%左右，铁路集装箱多式联运量年均增长10%以上。全市采取公铁联运等“外集内配”物流方式。</w:t>
            </w:r>
          </w:p>
          <w:p w14:paraId="5AEE38C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实施绿色车轮计划。公共领域新增或更新公交、出租、城市物流配送、轻型环卫等车辆中，新能源汽车或者清洁能源汽车比例不低于80%。加快提升新能源汽车配套基础设施服务保障能力，新建住宅小区停车位立足新能源汽车安全特性100%预留充换电设施接入条件，老旧小区改造应因地制宜同步进行充换电设施改造，积极探索私桩共享模式。制定新能源汽车停车收费优惠政策，落实住宅小区新能源汽车充电电价优惠政策，对新能源汽车实行停车、充电收费优惠。力争提前一年在2024年底前基本淘汰国三及以下排放标准柴油货车。</w:t>
            </w:r>
          </w:p>
          <w:p w14:paraId="13C47B2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一）强化非道路移动源综合治理。到2025年，基本淘汰第一阶段及以下排放标准的非道路移动机械，鼓励新增或更新的3吨以下叉车基本实现新能源化；民航机场桥电使用率达95%以上。大力提高岸电使用率，到2025年，主要港口和排放控制区内靠港船舶的岸电使用电量较2020年翻一番。</w:t>
            </w:r>
          </w:p>
          <w:p w14:paraId="0E1B427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二）实施扬尘精细化治理。积极实施“清洁城市行动”。全面取消全市范围内四级道路，进一步提升一、二级道路的比重，重点区域周边道路全部提升为一级道路作业标准。对于部分无法用大型车辆进行作业的区域，要配备一定数量的小型机械化冲洗车、洗扫车，实行人机结合的保洁模式，做到“机械保面、人工保点”。推进5000平方米及以上建筑工地安装视频监控并接入监管平台。鼓励推广使用新能源渣土运输车辆。推广装配式施工，推进“全电工地”试点。</w:t>
            </w:r>
          </w:p>
          <w:p w14:paraId="2391134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（十三）推进矿山生态环境综合整治。新建矿山原则上要同步建设专用廊道或采用其他清洁运输方式。对限期整改仍不达标的矿山，根据安全生产、水土保持、生态环境等要求依法关闭或停止生产。</w:t>
            </w:r>
          </w:p>
          <w:p w14:paraId="30E4794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（十四）加强秸秆禁烧和综合利用。到2025年，全市农作物秸秆综合利用率稳定达95%以上。禁止露天焚烧秸秆。综合运用卫星遥感、高清视频监控、无人机等手段，提高秸秆焚烧火点监测及巡查精准度。</w:t>
            </w:r>
          </w:p>
          <w:p w14:paraId="0B799E5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五）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p w14:paraId="48CA1BD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六）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257A3A4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七）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2527AE5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八）推动大气氨污染防控。推广氮肥机械深施和低蛋白日粮技术。到2025年，全市主要农作物化肥施用量较2020年削减3%，畜禽粪污综合利用率稳定在95%左右。加强氮肥、纯碱等行业大气氨排放治理。强化工业源烟气脱硫脱硝氨逃逸防控。</w:t>
            </w:r>
          </w:p>
          <w:p w14:paraId="238C91F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（十九）开展区域联防联控和城市空气质量达标管理。积极推进大气污染联防联控机制建设。空气质量未达标的地区编制实施大气环境质量限期达标规划，明确达标路线图及重点任务，并向社会公开。</w:t>
            </w:r>
          </w:p>
          <w:p w14:paraId="1702F54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提升重污染天气应对能力。建立健全市、县两级重污染天气应急预案体系，进一步明确各级政府部门责任分工。结合排污许可制度，确保应急减排清单覆盖所有涉气企业。按照区域预警提示信息，依法依规与同一区域内的城市同步采取应急响应措施。</w:t>
            </w:r>
          </w:p>
          <w:p w14:paraId="3B8FCE3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一）强化大气监测和执法监管。加强机场、港口、铁路货场、物流园区、工业园区、产业集群、公路等大气环境监测。依法拓展非现场监管手段应用，探索超标识别、取证和执法的数字化监管模式，强化执法效能评估。</w:t>
            </w:r>
          </w:p>
          <w:p w14:paraId="5482C05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（二十二）加强决策科技支撑。持续开展PM2.5和臭氧协同控制科技攻关。推进致臭物质识别、恶臭污染评估和溯源技术方法研究。到2025年，完成排放清单编制并实现逐年更新。推进“一地一策”驻点跟踪研究。</w:t>
            </w:r>
          </w:p>
          <w:p w14:paraId="3501750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三）强化标准引领。推动落实大气污染物排放最新标准，重点行业逐步配套技术指南和工程技术规范，研究制定精细化治理方案。在生产、销售、进口、使用等环节严格执行VOCs含量限值标准。进口非道路移动机械和发动机应达到我国现行新生产设备排放标准。</w:t>
            </w:r>
          </w:p>
          <w:p w14:paraId="13699CC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四）完善生态环境资金投入机制。综合运用经济、技术等手段推动老旧车辆退出。按照市场化方式加大传统产业及集群升级、工业污染治理、铁路专用线建设、新能源铁路装备推广等领域信贷融资支持力度。</w:t>
            </w:r>
          </w:p>
          <w:p w14:paraId="6FFEB0E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五）加强组织领导。坚持和加强党对大气污染防治工作的全面领导。各级政府对本行政区域内空气质量负总责，组织制定本地实施方案。市各有关部门要协同配合落实任务分工，出台政策时统筹考虑空气质量持续改善需求。</w:t>
            </w:r>
          </w:p>
          <w:p w14:paraId="4B84BC0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六）严格监督考核。将空气质量改善目标完成情况作为深入打好污染防治攻坚战成效考核的重要内容。对超额完成目标的地区给予激励；对未完成目标的地区，从资金分配、项目审批、荣誉表彰、责任追究等方面实施惩戒；对问题突出的地区，视情组织开展约谈督查。</w:t>
            </w:r>
          </w:p>
          <w:p w14:paraId="428DF05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七）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3400AC5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通过上述工作的不断推进实施，本项目所在</w:t>
            </w:r>
            <w:r>
              <w:rPr>
                <w:rFonts w:hint="default" w:ascii="Times New Roman" w:hAnsi="Times New Roman" w:eastAsia="宋体" w:cs="Times New Roman"/>
                <w:color w:val="auto"/>
                <w:sz w:val="24"/>
                <w:szCs w:val="24"/>
                <w:lang w:val="en-US" w:eastAsia="zh-CN"/>
              </w:rPr>
              <w:t>区域</w:t>
            </w:r>
            <w:r>
              <w:rPr>
                <w:rFonts w:hint="default" w:ascii="Times New Roman" w:hAnsi="Times New Roman" w:eastAsia="宋体" w:cs="Times New Roman"/>
                <w:color w:val="auto"/>
                <w:sz w:val="24"/>
                <w:szCs w:val="24"/>
              </w:rPr>
              <w:t>空气环境质量将得到持续改善。</w:t>
            </w:r>
          </w:p>
          <w:p w14:paraId="1FF916C2">
            <w:pPr>
              <w:keepNext w:val="0"/>
              <w:keepLines w:val="0"/>
              <w:pageBreakBefore w:val="0"/>
              <w:widowControl w:val="0"/>
              <w:kinsoku/>
              <w:wordWrap/>
              <w:overflowPunct/>
              <w:topLinePunct w:val="0"/>
              <w:bidi w:val="0"/>
              <w:adjustRightInd w:val="0"/>
              <w:snapToGrid w:val="0"/>
              <w:spacing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（3）其他污染物环境质量现状</w:t>
            </w:r>
          </w:p>
          <w:p w14:paraId="7B2BF8D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cs="Times New Roman"/>
                <w:color w:val="auto"/>
                <w:kern w:val="2"/>
                <w:sz w:val="24"/>
                <w:szCs w:val="24"/>
                <w:highlight w:val="none"/>
                <w:lang w:val="en-US" w:eastAsia="zh-CN" w:bidi="ar-SA"/>
              </w:rPr>
              <w:t>非甲烷总烃</w:t>
            </w:r>
            <w:r>
              <w:rPr>
                <w:rFonts w:hint="default" w:ascii="Times New Roman" w:hAnsi="Times New Roman" w:eastAsia="宋体" w:cs="Times New Roman"/>
                <w:color w:val="auto"/>
                <w:kern w:val="2"/>
                <w:sz w:val="24"/>
                <w:szCs w:val="24"/>
                <w:highlight w:val="none"/>
                <w:lang w:val="en-US" w:eastAsia="zh-CN" w:bidi="ar-SA"/>
              </w:rPr>
              <w:t>现状</w:t>
            </w:r>
            <w:r>
              <w:rPr>
                <w:rFonts w:hint="default" w:ascii="Times New Roman" w:hAnsi="Times New Roman" w:cs="Times New Roman"/>
                <w:color w:val="auto"/>
                <w:kern w:val="2"/>
                <w:sz w:val="24"/>
                <w:szCs w:val="24"/>
                <w:highlight w:val="none"/>
                <w:lang w:val="en-US" w:eastAsia="zh-CN" w:bidi="ar-SA"/>
              </w:rPr>
              <w:t>监测</w:t>
            </w:r>
            <w:r>
              <w:rPr>
                <w:rFonts w:hint="default" w:ascii="Times New Roman" w:hAnsi="Times New Roman" w:cs="Times New Roman"/>
                <w:bCs/>
                <w:color w:val="auto"/>
                <w:sz w:val="24"/>
                <w:highlight w:val="none"/>
              </w:rPr>
              <w:t>引用</w:t>
            </w:r>
            <w:r>
              <w:rPr>
                <w:rFonts w:hint="default" w:ascii="Times New Roman" w:hAnsi="Times New Roman" w:cs="Times New Roman"/>
                <w:bCs/>
                <w:color w:val="auto"/>
                <w:sz w:val="24"/>
                <w:highlight w:val="none"/>
                <w:lang w:eastAsia="zh-CN"/>
              </w:rPr>
              <w:t>江苏久诚检验检测有限公</w:t>
            </w:r>
            <w:r>
              <w:rPr>
                <w:rFonts w:hint="default" w:ascii="Times New Roman" w:hAnsi="Times New Roman" w:cs="Times New Roman"/>
                <w:bCs/>
                <w:color w:val="auto"/>
                <w:sz w:val="24"/>
                <w:highlight w:val="none"/>
                <w:lang w:val="en-US" w:eastAsia="zh-CN"/>
              </w:rPr>
              <w:t>司</w:t>
            </w:r>
            <w:r>
              <w:rPr>
                <w:rFonts w:hint="default" w:ascii="Times New Roman" w:hAnsi="Times New Roman" w:eastAsia="宋体" w:cs="Times New Roman"/>
                <w:color w:val="auto"/>
                <w:kern w:val="2"/>
                <w:sz w:val="24"/>
                <w:szCs w:val="24"/>
                <w:highlight w:val="none"/>
                <w:lang w:val="en-US" w:eastAsia="zh-CN" w:bidi="ar-SA"/>
              </w:rPr>
              <w:t>在</w:t>
            </w:r>
            <w:r>
              <w:rPr>
                <w:rFonts w:hint="eastAsia" w:ascii="Times New Roman" w:hAnsi="Times New Roman" w:eastAsia="宋体" w:cs="Times New Roman"/>
                <w:color w:val="auto"/>
                <w:sz w:val="24"/>
                <w:szCs w:val="24"/>
                <w:highlight w:val="none"/>
                <w:lang w:val="en-US" w:eastAsia="zh-CN"/>
              </w:rPr>
              <w:t>常州轩瑜机械有限</w:t>
            </w:r>
            <w:r>
              <w:rPr>
                <w:rFonts w:hint="eastAsia" w:cs="Times New Roman"/>
                <w:color w:val="auto"/>
                <w:sz w:val="24"/>
                <w:szCs w:val="24"/>
                <w:highlight w:val="none"/>
                <w:lang w:val="en-US" w:eastAsia="zh-CN"/>
              </w:rPr>
              <w:t>公司</w:t>
            </w:r>
            <w:r>
              <w:rPr>
                <w:rFonts w:hint="eastAsia" w:ascii="Times New Roman" w:hAnsi="Times New Roman" w:eastAsia="宋体" w:cs="Times New Roman"/>
                <w:bCs/>
                <w:color w:val="auto"/>
                <w:sz w:val="24"/>
                <w:szCs w:val="24"/>
                <w:highlight w:val="none"/>
                <w:lang w:eastAsia="zh-CN"/>
              </w:rPr>
              <w:t>所在地</w:t>
            </w:r>
            <w:r>
              <w:rPr>
                <w:rFonts w:hint="default" w:ascii="Times New Roman" w:hAnsi="Times New Roman" w:cs="Times New Roman"/>
                <w:color w:val="auto"/>
                <w:kern w:val="2"/>
                <w:sz w:val="24"/>
                <w:szCs w:val="24"/>
                <w:highlight w:val="none"/>
                <w:lang w:val="en-US" w:eastAsia="zh-CN" w:bidi="ar-SA"/>
              </w:rPr>
              <w:t>（G1）</w:t>
            </w:r>
            <w:r>
              <w:rPr>
                <w:rFonts w:hint="default" w:ascii="Times New Roman" w:hAnsi="Times New Roman" w:eastAsia="宋体" w:cs="Times New Roman"/>
                <w:color w:val="auto"/>
                <w:kern w:val="2"/>
                <w:sz w:val="24"/>
                <w:szCs w:val="24"/>
                <w:highlight w:val="none"/>
                <w:lang w:val="en-US" w:eastAsia="zh-CN" w:bidi="ar-SA"/>
              </w:rPr>
              <w:t>的历史监测数据</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bCs/>
                <w:color w:val="auto"/>
                <w:sz w:val="24"/>
                <w:highlight w:val="none"/>
              </w:rPr>
              <w:t>报告编号</w:t>
            </w:r>
            <w:r>
              <w:rPr>
                <w:rFonts w:hint="default" w:ascii="Times New Roman" w:hAnsi="Times New Roman" w:eastAsia="宋体" w:cs="Times New Roman"/>
                <w:bCs/>
                <w:color w:val="auto"/>
                <w:sz w:val="24"/>
                <w:highlight w:val="none"/>
                <w:lang w:val="en-US" w:eastAsia="zh-CN"/>
              </w:rPr>
              <w:t>JCH20220</w:t>
            </w:r>
            <w:r>
              <w:rPr>
                <w:rFonts w:hint="eastAsia" w:ascii="Times New Roman" w:hAnsi="Times New Roman" w:eastAsia="宋体" w:cs="Times New Roman"/>
                <w:bCs/>
                <w:color w:val="auto"/>
                <w:sz w:val="24"/>
                <w:highlight w:val="none"/>
                <w:lang w:val="en-US" w:eastAsia="zh-CN"/>
              </w:rPr>
              <w:t>219</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2"/>
                <w:highlight w:val="none"/>
              </w:rPr>
              <w:t>监测数据结果见</w:t>
            </w:r>
            <w:r>
              <w:rPr>
                <w:rFonts w:hint="default" w:ascii="Times New Roman" w:hAnsi="Times New Roman" w:eastAsia="宋体" w:cs="Times New Roman"/>
                <w:color w:val="auto"/>
                <w:sz w:val="24"/>
                <w:szCs w:val="22"/>
                <w:highlight w:val="none"/>
                <w:lang w:eastAsia="zh-CN"/>
              </w:rPr>
              <w:t>下</w:t>
            </w:r>
            <w:r>
              <w:rPr>
                <w:rFonts w:hint="default" w:ascii="Times New Roman" w:hAnsi="Times New Roman" w:eastAsia="宋体" w:cs="Times New Roman"/>
                <w:color w:val="auto"/>
                <w:sz w:val="24"/>
                <w:szCs w:val="22"/>
                <w:highlight w:val="none"/>
              </w:rPr>
              <w:t>表。</w:t>
            </w:r>
          </w:p>
          <w:p w14:paraId="5B3128A8">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lang w:val="en-US" w:eastAsia="zh-CN"/>
              </w:rPr>
              <w:t>表3-2</w:t>
            </w:r>
            <w:r>
              <w:rPr>
                <w:rFonts w:hint="eastAsia" w:cs="Times New Roman"/>
                <w:b/>
                <w:bCs/>
                <w:color w:val="auto"/>
                <w:sz w:val="21"/>
                <w:szCs w:val="21"/>
                <w:lang w:val="en-US" w:eastAsia="zh-CN"/>
              </w:rPr>
              <w:t xml:space="preserve"> </w:t>
            </w:r>
            <w:r>
              <w:rPr>
                <w:rFonts w:hint="default" w:ascii="Times New Roman" w:hAnsi="Times New Roman" w:eastAsia="宋体" w:cs="Times New Roman"/>
                <w:b/>
                <w:color w:val="auto"/>
                <w:szCs w:val="24"/>
                <w:highlight w:val="none"/>
              </w:rPr>
              <w:t>其他污染物环境质量现状监测结</w:t>
            </w:r>
            <w:r>
              <w:rPr>
                <w:rFonts w:hint="default" w:ascii="Times New Roman" w:hAnsi="Times New Roman" w:eastAsia="宋体" w:cs="Times New Roman"/>
                <w:b/>
                <w:color w:val="auto"/>
                <w:sz w:val="21"/>
                <w:szCs w:val="21"/>
                <w:highlight w:val="none"/>
              </w:rPr>
              <w:t>果单位</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706"/>
              <w:gridCol w:w="1335"/>
              <w:gridCol w:w="691"/>
              <w:gridCol w:w="765"/>
              <w:gridCol w:w="875"/>
              <w:gridCol w:w="934"/>
              <w:gridCol w:w="1263"/>
              <w:gridCol w:w="916"/>
              <w:gridCol w:w="893"/>
            </w:tblGrid>
            <w:tr w14:paraId="30D999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1" w:type="pct"/>
                  <w:vMerge w:val="restart"/>
                  <w:noWrap w:val="0"/>
                  <w:vAlign w:val="center"/>
                </w:tcPr>
                <w:p w14:paraId="6DB970E4">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点位编号</w:t>
                  </w:r>
                </w:p>
              </w:tc>
              <w:tc>
                <w:tcPr>
                  <w:tcW w:w="796" w:type="pct"/>
                  <w:vMerge w:val="restart"/>
                  <w:noWrap w:val="0"/>
                  <w:vAlign w:val="center"/>
                </w:tcPr>
                <w:p w14:paraId="0A87BFE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点位名称</w:t>
                  </w:r>
                </w:p>
              </w:tc>
              <w:tc>
                <w:tcPr>
                  <w:tcW w:w="412" w:type="pct"/>
                  <w:vMerge w:val="restart"/>
                  <w:noWrap w:val="0"/>
                  <w:vAlign w:val="center"/>
                </w:tcPr>
                <w:p w14:paraId="1304FD9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相对</w:t>
                  </w:r>
                </w:p>
                <w:p w14:paraId="5C3CD06E">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方位</w:t>
                  </w:r>
                </w:p>
              </w:tc>
              <w:tc>
                <w:tcPr>
                  <w:tcW w:w="456" w:type="pct"/>
                  <w:vMerge w:val="restart"/>
                  <w:noWrap w:val="0"/>
                  <w:vAlign w:val="center"/>
                </w:tcPr>
                <w:p w14:paraId="7DAF9CE9">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直线</w:t>
                  </w:r>
                </w:p>
                <w:p w14:paraId="341C3E6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距离</w:t>
                  </w:r>
                </w:p>
              </w:tc>
              <w:tc>
                <w:tcPr>
                  <w:tcW w:w="522" w:type="pct"/>
                  <w:vMerge w:val="restart"/>
                  <w:noWrap w:val="0"/>
                  <w:vAlign w:val="center"/>
                </w:tcPr>
                <w:p w14:paraId="3DD0A7B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污染物</w:t>
                  </w:r>
                </w:p>
                <w:p w14:paraId="1C512A0C">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名称</w:t>
                  </w:r>
                </w:p>
              </w:tc>
              <w:tc>
                <w:tcPr>
                  <w:tcW w:w="557" w:type="pct"/>
                  <w:vMerge w:val="restart"/>
                  <w:noWrap w:val="0"/>
                  <w:vAlign w:val="center"/>
                </w:tcPr>
                <w:p w14:paraId="65593402">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评价</w:t>
                  </w:r>
                </w:p>
                <w:p w14:paraId="6D8B37C6">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标准</w:t>
                  </w:r>
                </w:p>
              </w:tc>
              <w:tc>
                <w:tcPr>
                  <w:tcW w:w="1299" w:type="pct"/>
                  <w:gridSpan w:val="2"/>
                  <w:noWrap w:val="0"/>
                  <w:vAlign w:val="center"/>
                </w:tcPr>
                <w:p w14:paraId="275AC755">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小时浓度</w:t>
                  </w:r>
                </w:p>
              </w:tc>
              <w:tc>
                <w:tcPr>
                  <w:tcW w:w="532" w:type="pct"/>
                  <w:vMerge w:val="restart"/>
                  <w:noWrap w:val="0"/>
                  <w:vAlign w:val="center"/>
                </w:tcPr>
                <w:p w14:paraId="3B11FE28">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达标情况</w:t>
                  </w:r>
                </w:p>
              </w:tc>
            </w:tr>
            <w:tr w14:paraId="5542E0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1" w:type="pct"/>
                  <w:vMerge w:val="continue"/>
                  <w:noWrap w:val="0"/>
                  <w:vAlign w:val="center"/>
                </w:tcPr>
                <w:p w14:paraId="22502B85">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796" w:type="pct"/>
                  <w:vMerge w:val="continue"/>
                  <w:noWrap w:val="0"/>
                  <w:vAlign w:val="center"/>
                </w:tcPr>
                <w:p w14:paraId="793A09B0">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412" w:type="pct"/>
                  <w:vMerge w:val="continue"/>
                  <w:noWrap w:val="0"/>
                  <w:vAlign w:val="center"/>
                </w:tcPr>
                <w:p w14:paraId="4ADA352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456" w:type="pct"/>
                  <w:vMerge w:val="continue"/>
                  <w:noWrap w:val="0"/>
                  <w:vAlign w:val="center"/>
                </w:tcPr>
                <w:p w14:paraId="46FEF8C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522" w:type="pct"/>
                  <w:vMerge w:val="continue"/>
                  <w:noWrap w:val="0"/>
                  <w:vAlign w:val="center"/>
                </w:tcPr>
                <w:p w14:paraId="73206CD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557" w:type="pct"/>
                  <w:vMerge w:val="continue"/>
                  <w:noWrap w:val="0"/>
                  <w:vAlign w:val="center"/>
                </w:tcPr>
                <w:p w14:paraId="021DC3F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753" w:type="pct"/>
                  <w:noWrap w:val="0"/>
                  <w:vAlign w:val="center"/>
                </w:tcPr>
                <w:p w14:paraId="7CB6C638">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小时浓度</w:t>
                  </w:r>
                </w:p>
              </w:tc>
              <w:tc>
                <w:tcPr>
                  <w:tcW w:w="546" w:type="pct"/>
                  <w:noWrap w:val="0"/>
                  <w:vAlign w:val="center"/>
                </w:tcPr>
                <w:p w14:paraId="6E205A5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超标率%</w:t>
                  </w:r>
                </w:p>
              </w:tc>
              <w:tc>
                <w:tcPr>
                  <w:tcW w:w="532" w:type="pct"/>
                  <w:vMerge w:val="continue"/>
                  <w:noWrap w:val="0"/>
                  <w:vAlign w:val="center"/>
                </w:tcPr>
                <w:p w14:paraId="6A287BB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r>
            <w:tr w14:paraId="670D3F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1" w:type="pct"/>
                  <w:noWrap w:val="0"/>
                  <w:vAlign w:val="center"/>
                </w:tcPr>
                <w:p w14:paraId="1D8E52D4">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G1</w:t>
                  </w:r>
                </w:p>
              </w:tc>
              <w:tc>
                <w:tcPr>
                  <w:tcW w:w="796" w:type="pct"/>
                  <w:noWrap w:val="0"/>
                  <w:vAlign w:val="center"/>
                </w:tcPr>
                <w:p w14:paraId="4FB67329">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常州轩瑜机械有限</w:t>
                  </w:r>
                  <w:r>
                    <w:rPr>
                      <w:rFonts w:hint="eastAsia" w:cs="Times New Roman"/>
                      <w:color w:val="auto"/>
                      <w:highlight w:val="none"/>
                      <w:lang w:val="en-US" w:eastAsia="zh-CN"/>
                    </w:rPr>
                    <w:t>公司</w:t>
                  </w:r>
                </w:p>
              </w:tc>
              <w:tc>
                <w:tcPr>
                  <w:tcW w:w="412" w:type="pct"/>
                  <w:noWrap w:val="0"/>
                  <w:vAlign w:val="center"/>
                </w:tcPr>
                <w:p w14:paraId="3CF7B0DE">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S</w:t>
                  </w:r>
                </w:p>
              </w:tc>
              <w:tc>
                <w:tcPr>
                  <w:tcW w:w="456" w:type="pct"/>
                  <w:noWrap w:val="0"/>
                  <w:vAlign w:val="center"/>
                </w:tcPr>
                <w:p w14:paraId="338FC2D7">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13</w:t>
                  </w:r>
                  <w:r>
                    <w:rPr>
                      <w:rFonts w:hint="eastAsia"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lang w:val="en-US" w:eastAsia="zh-CN"/>
                    </w:rPr>
                    <w:t>m</w:t>
                  </w:r>
                </w:p>
              </w:tc>
              <w:tc>
                <w:tcPr>
                  <w:tcW w:w="522" w:type="pct"/>
                  <w:noWrap w:val="0"/>
                  <w:vAlign w:val="center"/>
                </w:tcPr>
                <w:p w14:paraId="0965A571">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非甲烷</w:t>
                  </w:r>
                </w:p>
                <w:p w14:paraId="73E34816">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总烃</w:t>
                  </w:r>
                </w:p>
              </w:tc>
              <w:tc>
                <w:tcPr>
                  <w:tcW w:w="557" w:type="pct"/>
                  <w:noWrap w:val="0"/>
                  <w:vAlign w:val="center"/>
                </w:tcPr>
                <w:p w14:paraId="1A14A8DC">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753" w:type="pct"/>
                  <w:noWrap w:val="0"/>
                  <w:vAlign w:val="center"/>
                </w:tcPr>
                <w:p w14:paraId="5E17708D">
                  <w:pPr>
                    <w:adjustRightInd w:val="0"/>
                    <w:snapToGrid w:val="0"/>
                    <w:jc w:val="center"/>
                    <w:rPr>
                      <w:rFonts w:hint="default" w:ascii="Times New Roman" w:hAnsi="Times New Roman" w:eastAsia="宋体" w:cs="Times New Roman"/>
                      <w:color w:val="auto"/>
                      <w:highlight w:val="none"/>
                      <w:lang w:val="en-US" w:eastAsia="zh-CN"/>
                    </w:rPr>
                  </w:pPr>
                  <w:r>
                    <w:rPr>
                      <w:rFonts w:hint="eastAsia"/>
                      <w:color w:val="auto"/>
                      <w:szCs w:val="21"/>
                      <w:lang w:val="en-US" w:eastAsia="zh-CN"/>
                    </w:rPr>
                    <w:t>0.</w:t>
                  </w:r>
                  <w:r>
                    <w:rPr>
                      <w:rFonts w:hint="eastAsia"/>
                      <w:color w:val="auto"/>
                      <w:szCs w:val="21"/>
                    </w:rPr>
                    <w:t>51</w:t>
                  </w:r>
                  <w:r>
                    <w:rPr>
                      <w:bCs/>
                      <w:color w:val="auto"/>
                      <w:szCs w:val="21"/>
                    </w:rPr>
                    <w:t>~</w:t>
                  </w:r>
                  <w:r>
                    <w:rPr>
                      <w:rFonts w:hint="eastAsia"/>
                      <w:bCs/>
                      <w:color w:val="auto"/>
                      <w:szCs w:val="21"/>
                      <w:lang w:val="en-US" w:eastAsia="zh-CN"/>
                    </w:rPr>
                    <w:t>0.</w:t>
                  </w:r>
                  <w:r>
                    <w:rPr>
                      <w:rFonts w:hint="eastAsia"/>
                      <w:bCs/>
                      <w:color w:val="auto"/>
                      <w:szCs w:val="21"/>
                    </w:rPr>
                    <w:t>62</w:t>
                  </w:r>
                </w:p>
              </w:tc>
              <w:tc>
                <w:tcPr>
                  <w:tcW w:w="546" w:type="pct"/>
                  <w:noWrap w:val="0"/>
                  <w:vAlign w:val="center"/>
                </w:tcPr>
                <w:p w14:paraId="7DDEF3C9">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532" w:type="pct"/>
                  <w:noWrap w:val="0"/>
                  <w:vAlign w:val="center"/>
                </w:tcPr>
                <w:p w14:paraId="7B5C029B">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bl>
          <w:p w14:paraId="6C1FBF0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bCs/>
                <w:color w:val="auto"/>
                <w:sz w:val="24"/>
                <w:highlight w:val="none"/>
              </w:rPr>
              <w:t>根据上表现状监测结</w:t>
            </w:r>
            <w:r>
              <w:rPr>
                <w:rFonts w:hint="default" w:ascii="Times New Roman" w:hAnsi="Times New Roman" w:eastAsia="宋体" w:cs="Times New Roman"/>
                <w:bCs/>
                <w:color w:val="auto"/>
                <w:sz w:val="24"/>
                <w:highlight w:val="none"/>
                <w:lang w:val="en-US" w:eastAsia="zh-CN"/>
              </w:rPr>
              <w:t>果可以看出，特征因子非甲烷总烃符合</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大气污染物综合排放标准详解</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标准</w:t>
            </w:r>
            <w:r>
              <w:rPr>
                <w:rFonts w:hint="default" w:ascii="Times New Roman" w:hAnsi="Times New Roman" w:eastAsia="宋体" w:cs="Times New Roman"/>
                <w:color w:val="auto"/>
                <w:sz w:val="24"/>
                <w:szCs w:val="22"/>
                <w:lang w:val="en-US" w:eastAsia="zh-CN"/>
              </w:rPr>
              <w:t>，满足项目所在地区的环境功能区划要求。</w:t>
            </w:r>
          </w:p>
          <w:p w14:paraId="4A2E072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rPr>
              <w:t>数据有效性分析：本项目引用</w:t>
            </w:r>
            <w:r>
              <w:rPr>
                <w:rFonts w:hint="default" w:ascii="Times New Roman" w:hAnsi="Times New Roman" w:eastAsia="宋体" w:cs="Times New Roman"/>
                <w:color w:val="auto"/>
                <w:sz w:val="24"/>
                <w:szCs w:val="22"/>
                <w:lang w:eastAsia="zh-CN"/>
              </w:rPr>
              <w:t>江苏久诚检验检测有限公</w:t>
            </w:r>
            <w:r>
              <w:rPr>
                <w:rFonts w:hint="default" w:ascii="Times New Roman" w:hAnsi="Times New Roman" w:eastAsia="宋体" w:cs="Times New Roman"/>
                <w:color w:val="auto"/>
                <w:sz w:val="24"/>
                <w:szCs w:val="22"/>
                <w:lang w:val="en-US" w:eastAsia="zh-CN"/>
              </w:rPr>
              <w:t>司</w:t>
            </w:r>
            <w:r>
              <w:rPr>
                <w:rFonts w:hint="default" w:ascii="Times New Roman" w:hAnsi="Times New Roman" w:eastAsia="宋体" w:cs="Times New Roman"/>
                <w:color w:val="auto"/>
                <w:sz w:val="24"/>
                <w:szCs w:val="22"/>
              </w:rPr>
              <w:t>于</w:t>
            </w:r>
            <w:r>
              <w:rPr>
                <w:rFonts w:hint="default" w:ascii="Times New Roman" w:hAnsi="Times New Roman" w:eastAsia="宋体" w:cs="Times New Roman"/>
                <w:color w:val="auto"/>
                <w:sz w:val="24"/>
                <w:szCs w:val="22"/>
                <w:lang w:val="en-US" w:eastAsia="zh-CN"/>
              </w:rPr>
              <w:t>2022年</w:t>
            </w:r>
            <w:r>
              <w:rPr>
                <w:rFonts w:hint="eastAsia" w:ascii="Times New Roman" w:hAnsi="Times New Roman" w:eastAsia="宋体" w:cs="Times New Roman"/>
                <w:color w:val="auto"/>
                <w:sz w:val="24"/>
                <w:szCs w:val="22"/>
                <w:lang w:val="en-US" w:eastAsia="zh-CN"/>
              </w:rPr>
              <w:t>4</w:t>
            </w:r>
            <w:r>
              <w:rPr>
                <w:rFonts w:hint="default" w:ascii="Times New Roman" w:hAnsi="Times New Roman" w:eastAsia="宋体" w:cs="Times New Roman"/>
                <w:color w:val="auto"/>
                <w:sz w:val="24"/>
                <w:szCs w:val="22"/>
                <w:lang w:val="en-US" w:eastAsia="zh-CN"/>
              </w:rPr>
              <w:t>月</w:t>
            </w:r>
            <w:r>
              <w:rPr>
                <w:rFonts w:hint="eastAsia" w:ascii="Times New Roman" w:hAnsi="Times New Roman" w:eastAsia="宋体" w:cs="Times New Roman"/>
                <w:color w:val="auto"/>
                <w:sz w:val="24"/>
                <w:szCs w:val="22"/>
                <w:lang w:val="en-US" w:eastAsia="zh-CN"/>
              </w:rPr>
              <w:t>30</w:t>
            </w:r>
            <w:r>
              <w:rPr>
                <w:rFonts w:hint="default" w:ascii="Times New Roman" w:hAnsi="Times New Roman" w:eastAsia="宋体" w:cs="Times New Roman"/>
                <w:color w:val="auto"/>
                <w:sz w:val="24"/>
                <w:szCs w:val="22"/>
                <w:lang w:val="en-US" w:eastAsia="zh-CN"/>
              </w:rPr>
              <w:t>日～</w:t>
            </w:r>
            <w:r>
              <w:rPr>
                <w:rFonts w:hint="eastAsia" w:ascii="Times New Roman" w:hAnsi="Times New Roman" w:eastAsia="宋体" w:cs="Times New Roman"/>
                <w:color w:val="auto"/>
                <w:sz w:val="24"/>
                <w:szCs w:val="22"/>
                <w:lang w:val="en-US" w:eastAsia="zh-CN"/>
              </w:rPr>
              <w:t>5</w:t>
            </w:r>
            <w:r>
              <w:rPr>
                <w:rFonts w:hint="default" w:ascii="Times New Roman" w:hAnsi="Times New Roman" w:eastAsia="宋体" w:cs="Times New Roman"/>
                <w:color w:val="auto"/>
                <w:sz w:val="24"/>
                <w:szCs w:val="22"/>
                <w:lang w:val="en-US" w:eastAsia="zh-CN"/>
              </w:rPr>
              <w:t>月</w:t>
            </w:r>
            <w:r>
              <w:rPr>
                <w:rFonts w:hint="eastAsia" w:ascii="Times New Roman" w:hAnsi="Times New Roman" w:eastAsia="宋体" w:cs="Times New Roman"/>
                <w:color w:val="auto"/>
                <w:sz w:val="24"/>
                <w:szCs w:val="22"/>
                <w:lang w:val="en-US" w:eastAsia="zh-CN"/>
              </w:rPr>
              <w:t>2</w:t>
            </w:r>
            <w:r>
              <w:rPr>
                <w:rFonts w:hint="default" w:ascii="Times New Roman" w:hAnsi="Times New Roman" w:eastAsia="宋体" w:cs="Times New Roman"/>
                <w:color w:val="auto"/>
                <w:sz w:val="24"/>
                <w:szCs w:val="22"/>
                <w:lang w:val="en-US" w:eastAsia="zh-CN"/>
              </w:rPr>
              <w:t>日在</w:t>
            </w:r>
            <w:r>
              <w:rPr>
                <w:rFonts w:hint="default" w:ascii="Times New Roman" w:hAnsi="Times New Roman" w:eastAsia="宋体" w:cs="Times New Roman"/>
                <w:color w:val="auto"/>
                <w:sz w:val="24"/>
                <w:szCs w:val="22"/>
              </w:rPr>
              <w:t>项目</w:t>
            </w:r>
            <w:r>
              <w:rPr>
                <w:rFonts w:hint="default" w:ascii="Times New Roman" w:hAnsi="Times New Roman" w:eastAsia="宋体" w:cs="Times New Roman"/>
                <w:color w:val="auto"/>
                <w:sz w:val="24"/>
                <w:szCs w:val="22"/>
                <w:lang w:val="en-US" w:eastAsia="zh-CN"/>
              </w:rPr>
              <w:t>南</w:t>
            </w:r>
            <w:r>
              <w:rPr>
                <w:rFonts w:hint="default" w:ascii="Times New Roman" w:hAnsi="Times New Roman" w:eastAsia="宋体" w:cs="Times New Roman"/>
                <w:color w:val="auto"/>
                <w:sz w:val="24"/>
                <w:szCs w:val="22"/>
              </w:rPr>
              <w:t>侧</w:t>
            </w:r>
            <w:r>
              <w:rPr>
                <w:rFonts w:hint="eastAsia" w:cs="Times New Roman"/>
                <w:color w:val="auto"/>
                <w:sz w:val="24"/>
                <w:szCs w:val="22"/>
                <w:lang w:val="en-US" w:eastAsia="zh-CN"/>
              </w:rPr>
              <w:t>约13</w:t>
            </w:r>
            <w:r>
              <w:rPr>
                <w:rFonts w:hint="eastAsia" w:ascii="Times New Roman" w:hAnsi="Times New Roman" w:eastAsia="宋体" w:cs="Times New Roman"/>
                <w:color w:val="auto"/>
                <w:sz w:val="24"/>
                <w:szCs w:val="22"/>
                <w:lang w:val="en-US" w:eastAsia="zh-CN"/>
              </w:rPr>
              <w:t>0</w:t>
            </w:r>
            <w:r>
              <w:rPr>
                <w:rFonts w:hint="default" w:ascii="Times New Roman" w:hAnsi="Times New Roman" w:eastAsia="宋体" w:cs="Times New Roman"/>
                <w:color w:val="auto"/>
                <w:sz w:val="24"/>
                <w:szCs w:val="22"/>
              </w:rPr>
              <w:t>m处</w:t>
            </w:r>
            <w:r>
              <w:rPr>
                <w:rFonts w:hint="eastAsia" w:ascii="Times New Roman" w:hAnsi="Times New Roman" w:eastAsia="宋体" w:cs="Times New Roman"/>
                <w:color w:val="auto"/>
                <w:sz w:val="24"/>
                <w:szCs w:val="22"/>
                <w:lang w:val="en-US" w:eastAsia="zh-CN"/>
              </w:rPr>
              <w:t>（常州轩瑜机械有限公司）</w:t>
            </w:r>
            <w:r>
              <w:rPr>
                <w:rFonts w:hint="default" w:ascii="Times New Roman" w:hAnsi="Times New Roman" w:eastAsia="宋体" w:cs="Times New Roman"/>
                <w:color w:val="auto"/>
                <w:sz w:val="24"/>
                <w:szCs w:val="22"/>
              </w:rPr>
              <w:t>的监测数据，引用时间不超过3年，大气环境引用时间有效；项目所在区域污染源未发生重大变化，可引用3年内环境空气的监测数据；引用点位在项目相关评价范围内，大气环境引用点位有效</w:t>
            </w:r>
            <w:r>
              <w:rPr>
                <w:rFonts w:hint="default" w:ascii="Times New Roman" w:hAnsi="Times New Roman" w:cs="Times New Roman"/>
                <w:color w:val="auto"/>
                <w:sz w:val="24"/>
                <w:szCs w:val="22"/>
                <w:lang w:val="en-US" w:eastAsia="zh-CN"/>
              </w:rPr>
              <w:t>。</w:t>
            </w:r>
          </w:p>
          <w:p w14:paraId="6B2701D8">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2、地表水现状</w:t>
            </w:r>
          </w:p>
          <w:p w14:paraId="0C4A2C87">
            <w:pPr>
              <w:pStyle w:val="25"/>
              <w:keepNext w:val="0"/>
              <w:keepLines w:val="0"/>
              <w:pageBreakBefore w:val="0"/>
              <w:widowControl w:val="0"/>
              <w:numPr>
                <w:ilvl w:val="0"/>
                <w:numId w:val="3"/>
              </w:numPr>
              <w:kinsoku/>
              <w:wordWrap/>
              <w:overflowPunct/>
              <w:topLinePunct w:val="0"/>
              <w:autoSpaceDE w:val="0"/>
              <w:autoSpaceDN w:val="0"/>
              <w:bidi w:val="0"/>
              <w:adjustRightInd w:val="0"/>
              <w:snapToGrid/>
              <w:spacing w:line="500" w:lineRule="exact"/>
              <w:ind w:left="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区域地表水环境质量达标现状</w:t>
            </w:r>
          </w:p>
          <w:p w14:paraId="1D7BA97F">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根据《202</w:t>
            </w:r>
            <w:r>
              <w:rPr>
                <w:rFonts w:hint="default"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rPr>
              <w:t>年常州市生态环境状况公报》，</w:t>
            </w:r>
            <w:r>
              <w:rPr>
                <w:rFonts w:hint="default" w:ascii="Times New Roman" w:hAnsi="Times New Roman" w:eastAsia="宋体" w:cs="Times New Roman"/>
                <w:bCs/>
                <w:color w:val="auto"/>
                <w:sz w:val="24"/>
                <w:lang w:val="zh-TW"/>
              </w:rPr>
              <w:t>国考、省考断面水质达到或好于</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zh-TW"/>
              </w:rPr>
              <w:t>类比例超额完成省定考核要求</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太湖常州水域连续16年实现安全度夏。长江干流</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常州段</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水质连续6年稳定Ⅱ类水平</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主要入湖河道、集中式饮用水源地水质达到省定考核目标</w:t>
            </w:r>
            <w:r>
              <w:rPr>
                <w:rFonts w:hint="default" w:ascii="Times New Roman" w:hAnsi="Times New Roman" w:eastAsia="宋体" w:cs="Times New Roman"/>
                <w:bCs/>
                <w:color w:val="auto"/>
                <w:sz w:val="24"/>
                <w:lang w:eastAsia="zh-CN"/>
              </w:rPr>
              <w:t>。</w:t>
            </w:r>
          </w:p>
          <w:p w14:paraId="74409EAA">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饮用水水源地水质：常州市城市饮用水以集中供水为主，根据《江苏省2023年水生态环境保护工作计划》(苏水治办(202311号)，2023年全市5个县级及以上城市集中式饮用水水源地(含备用)，取水总量为5.11亿吨,全年各次监测均达标。</w:t>
            </w:r>
          </w:p>
          <w:p w14:paraId="1D4A0ECC">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国省考断面：2023年，常州市纳入“十四五”国家地表水环境质量考核的20个断面中，年均水质达到或好于《地表水环境质量标准》(GB3838-2002)</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en-US" w:eastAsia="zh-CN"/>
              </w:rPr>
              <w:t>类标准的断面比例为85%，无劣V类断面。纳入江苏省“十四五”水环境质量目标考核51个断面，年均水质达到或好于</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en-US" w:eastAsia="zh-CN"/>
              </w:rPr>
              <w:t>类的比例为94.1%，无劣V类断面。</w:t>
            </w:r>
          </w:p>
          <w:p w14:paraId="1554CE76">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太湖及入太河流：2023年，我市太湖湖心区断面自太湖治理以来首次达到地表水湖库</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en-US" w:eastAsia="zh-CN"/>
              </w:rPr>
              <w:t>类标准，其中总磷0.05</w:t>
            </w:r>
            <w:r>
              <w:rPr>
                <w:rFonts w:hint="eastAsia" w:ascii="Times New Roman" w:hAnsi="Times New Roman" w:eastAsia="宋体" w:cs="Times New Roman"/>
                <w:bCs/>
                <w:color w:val="auto"/>
                <w:sz w:val="24"/>
                <w:lang w:val="en-US" w:eastAsia="zh-CN"/>
              </w:rPr>
              <w:t>mg/L</w:t>
            </w:r>
            <w:r>
              <w:rPr>
                <w:rFonts w:hint="default" w:ascii="Times New Roman" w:hAnsi="Times New Roman" w:eastAsia="宋体" w:cs="Times New Roman"/>
                <w:bCs/>
                <w:color w:val="auto"/>
                <w:sz w:val="24"/>
                <w:lang w:val="en-US" w:eastAsia="zh-CN"/>
              </w:rPr>
              <w:t>，同比下降21.9%，高锰酸盐指数和氨氮分别达到</w:t>
            </w:r>
            <w:r>
              <w:rPr>
                <w:rFonts w:hint="default" w:ascii="Times New Roman" w:hAnsi="Times New Roman" w:eastAsia="宋体" w:cs="Times New Roman"/>
                <w:bCs/>
                <w:color w:val="auto"/>
                <w:sz w:val="24"/>
                <w:lang w:val="zh-TW"/>
              </w:rPr>
              <w:t>Ⅱ</w:t>
            </w:r>
            <w:r>
              <w:rPr>
                <w:rFonts w:hint="default" w:ascii="Times New Roman" w:hAnsi="Times New Roman" w:eastAsia="宋体" w:cs="Times New Roman"/>
                <w:bCs/>
                <w:color w:val="auto"/>
                <w:sz w:val="24"/>
                <w:lang w:val="en-US" w:eastAsia="zh-CN"/>
              </w:rPr>
              <w:t>类和Ⅰ类标准。太湖西部区断面总磷0.074</w:t>
            </w:r>
            <w:r>
              <w:rPr>
                <w:rFonts w:hint="eastAsia" w:ascii="Times New Roman" w:hAnsi="Times New Roman" w:eastAsia="宋体" w:cs="Times New Roman"/>
                <w:bCs/>
                <w:color w:val="auto"/>
                <w:sz w:val="24"/>
                <w:lang w:val="en-US" w:eastAsia="zh-CN"/>
              </w:rPr>
              <w:t>mg/L</w:t>
            </w:r>
            <w:r>
              <w:rPr>
                <w:rFonts w:hint="default" w:ascii="Times New Roman" w:hAnsi="Times New Roman" w:eastAsia="宋体" w:cs="Times New Roman"/>
                <w:bCs/>
                <w:color w:val="auto"/>
                <w:sz w:val="24"/>
                <w:lang w:val="en-US" w:eastAsia="zh-CN"/>
              </w:rPr>
              <w:t>，同比下降16.9%，高锰酸盐指数和氨氮分别达到</w:t>
            </w:r>
            <w:r>
              <w:rPr>
                <w:rFonts w:hint="default" w:ascii="Times New Roman" w:hAnsi="Times New Roman" w:eastAsia="宋体" w:cs="Times New Roman"/>
                <w:bCs/>
                <w:color w:val="auto"/>
                <w:sz w:val="24"/>
                <w:lang w:val="zh-TW"/>
              </w:rPr>
              <w:t>Ⅱ</w:t>
            </w:r>
            <w:r>
              <w:rPr>
                <w:rFonts w:hint="default" w:ascii="Times New Roman" w:hAnsi="Times New Roman" w:eastAsia="宋体" w:cs="Times New Roman"/>
                <w:bCs/>
                <w:color w:val="auto"/>
                <w:sz w:val="24"/>
                <w:lang w:val="en-US" w:eastAsia="zh-CN"/>
              </w:rPr>
              <w:t>类和Ⅰ类标准。武进港、漕桥河、太滆运河等3条主要入湖河道氮磷达到省定约束性考核目标。</w:t>
            </w:r>
          </w:p>
          <w:p w14:paraId="372685BF">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长江干流(常州段)及主要通江支流</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2023年</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长江干流魏村(右岸)断面水质连续六年达到Ⅲ类</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新孟河、德胜河、澡港河等3条主要通江支流上5个国省考断面年均水质均达到或优于Ⅲ类。</w:t>
            </w:r>
          </w:p>
          <w:p w14:paraId="1F886BC7">
            <w:pPr>
              <w:keepNext w:val="0"/>
              <w:keepLines w:val="0"/>
              <w:pageBreakBefore w:val="0"/>
              <w:widowControl w:val="0"/>
              <w:numPr>
                <w:ilvl w:val="0"/>
                <w:numId w:val="3"/>
              </w:numPr>
              <w:kinsoku/>
              <w:wordWrap/>
              <w:overflowPunct/>
              <w:topLinePunct w:val="0"/>
              <w:bidi w:val="0"/>
              <w:spacing w:line="500" w:lineRule="exact"/>
              <w:ind w:left="0" w:leftChars="0" w:firstLine="480" w:firstLineChars="200"/>
              <w:textAlignment w:val="auto"/>
              <w:rPr>
                <w:rFonts w:hint="default" w:ascii="Times New Roman" w:hAnsi="Times New Roman" w:eastAsia="宋体" w:cs="Times New Roman"/>
                <w:b w:val="0"/>
                <w:bCs/>
                <w:color w:val="auto"/>
                <w:kern w:val="0"/>
                <w:sz w:val="24"/>
                <w:szCs w:val="21"/>
                <w:lang w:val="en-US" w:eastAsia="zh-CN" w:bidi="ar-SA"/>
              </w:rPr>
            </w:pPr>
            <w:r>
              <w:rPr>
                <w:rFonts w:hint="default" w:ascii="Times New Roman" w:hAnsi="Times New Roman" w:eastAsia="宋体" w:cs="Times New Roman"/>
                <w:b w:val="0"/>
                <w:bCs/>
                <w:color w:val="auto"/>
                <w:kern w:val="0"/>
                <w:sz w:val="24"/>
                <w:szCs w:val="21"/>
                <w:lang w:val="en-US" w:eastAsia="zh-CN" w:bidi="ar-SA"/>
              </w:rPr>
              <w:t>补充监测</w:t>
            </w:r>
          </w:p>
          <w:p w14:paraId="5C57766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本项目尾水受纳水体</w:t>
            </w:r>
            <w:r>
              <w:rPr>
                <w:rFonts w:hint="default" w:ascii="Times New Roman" w:hAnsi="Times New Roman" w:cs="Times New Roman"/>
                <w:color w:val="auto"/>
                <w:sz w:val="24"/>
                <w:highlight w:val="none"/>
                <w:lang w:val="en-US" w:eastAsia="zh-CN"/>
              </w:rPr>
              <w:t>为</w:t>
            </w:r>
            <w:r>
              <w:rPr>
                <w:rFonts w:hint="default" w:ascii="Times New Roman" w:hAnsi="Times New Roman" w:cs="Times New Roman"/>
                <w:bCs/>
                <w:color w:val="auto"/>
                <w:sz w:val="24"/>
                <w:highlight w:val="none"/>
                <w:lang w:val="en-US" w:eastAsia="zh-CN"/>
              </w:rPr>
              <w:t>尧塘河</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bCs/>
                <w:color w:val="auto"/>
                <w:sz w:val="24"/>
                <w:highlight w:val="none"/>
              </w:rPr>
              <w:t>地表水环境质量现状引用</w:t>
            </w:r>
            <w:r>
              <w:rPr>
                <w:rFonts w:hint="default" w:ascii="Times New Roman" w:hAnsi="Times New Roman" w:eastAsia="宋体" w:cs="Times New Roman"/>
                <w:b w:val="0"/>
                <w:bCs/>
                <w:color w:val="auto"/>
                <w:kern w:val="0"/>
                <w:sz w:val="24"/>
                <w:szCs w:val="21"/>
                <w:lang w:val="en-US" w:eastAsia="zh-CN" w:bidi="ar-SA"/>
              </w:rPr>
              <w:t>《</w:t>
            </w:r>
            <w:r>
              <w:rPr>
                <w:rFonts w:hint="eastAsia" w:cs="Times New Roman"/>
                <w:b w:val="0"/>
                <w:bCs/>
                <w:color w:val="auto"/>
                <w:kern w:val="0"/>
                <w:sz w:val="24"/>
                <w:szCs w:val="21"/>
                <w:lang w:val="en-US" w:eastAsia="zh-CN" w:bidi="ar-SA"/>
              </w:rPr>
              <w:t>江苏思研轴承制造有限公司</w:t>
            </w:r>
            <w:r>
              <w:rPr>
                <w:rFonts w:hint="default" w:ascii="Times New Roman" w:hAnsi="Times New Roman" w:eastAsia="宋体" w:cs="Times New Roman"/>
                <w:b w:val="0"/>
                <w:bCs/>
                <w:color w:val="auto"/>
                <w:kern w:val="0"/>
                <w:sz w:val="24"/>
                <w:szCs w:val="21"/>
                <w:lang w:val="en-US" w:eastAsia="zh-CN" w:bidi="ar-SA"/>
              </w:rPr>
              <w:t>项目环境影响报告》中尧塘河水环境检测数据（报告编号为：JCH</w:t>
            </w:r>
            <w:r>
              <w:rPr>
                <w:rFonts w:hint="default" w:ascii="Times New Roman" w:hAnsi="Times New Roman" w:eastAsia="宋体" w:cs="Times New Roman"/>
                <w:color w:val="auto"/>
                <w:sz w:val="24"/>
                <w:lang w:val="en-US" w:eastAsia="zh-CN"/>
              </w:rPr>
              <w:t>202</w:t>
            </w:r>
            <w:r>
              <w:rPr>
                <w:rFonts w:hint="eastAsia" w:cs="Times New Roman"/>
                <w:color w:val="auto"/>
                <w:sz w:val="24"/>
                <w:lang w:val="en-US" w:eastAsia="zh-CN"/>
              </w:rPr>
              <w:t>40264</w:t>
            </w:r>
            <w:r>
              <w:rPr>
                <w:rFonts w:hint="default" w:ascii="Times New Roman" w:hAnsi="Times New Roman" w:eastAsia="宋体" w:cs="Times New Roman"/>
                <w:b w:val="0"/>
                <w:bCs/>
                <w:color w:val="auto"/>
                <w:kern w:val="0"/>
                <w:sz w:val="24"/>
                <w:szCs w:val="21"/>
                <w:lang w:val="en-US" w:eastAsia="zh-CN" w:bidi="ar-SA"/>
              </w:rPr>
              <w:t>）</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color w:val="auto"/>
                <w:sz w:val="24"/>
                <w:szCs w:val="24"/>
                <w:highlight w:val="none"/>
              </w:rPr>
              <w:t>采样断面的布设与取样点见下表。</w:t>
            </w:r>
          </w:p>
          <w:p w14:paraId="082EAE92">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表3-3</w:t>
            </w:r>
            <w:r>
              <w:rPr>
                <w:rFonts w:hint="default" w:ascii="Times New Roman" w:hAnsi="Times New Roman" w:cs="Times New Roman"/>
                <w:b/>
                <w:bCs/>
                <w:color w:val="auto"/>
                <w:sz w:val="21"/>
                <w:szCs w:val="21"/>
              </w:rPr>
              <w:t>水质监测断面</w:t>
            </w:r>
          </w:p>
          <w:tbl>
            <w:tblPr>
              <w:tblStyle w:val="27"/>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1445"/>
              <w:gridCol w:w="4787"/>
              <w:gridCol w:w="2149"/>
            </w:tblGrid>
            <w:tr w14:paraId="621A72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tcBorders>
                    <w:top w:val="single" w:color="auto" w:sz="4" w:space="0"/>
                    <w:bottom w:val="single" w:color="auto" w:sz="4" w:space="0"/>
                    <w:right w:val="single" w:color="auto" w:sz="4" w:space="0"/>
                  </w:tcBorders>
                  <w:noWrap w:val="0"/>
                  <w:vAlign w:val="center"/>
                </w:tcPr>
                <w:p w14:paraId="4C839291">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河流名称</w:t>
                  </w:r>
                </w:p>
              </w:tc>
              <w:tc>
                <w:tcPr>
                  <w:tcW w:w="2855" w:type="pct"/>
                  <w:tcBorders>
                    <w:top w:val="single" w:color="auto" w:sz="4" w:space="0"/>
                    <w:left w:val="single" w:color="auto" w:sz="4" w:space="0"/>
                    <w:bottom w:val="single" w:color="auto" w:sz="4" w:space="0"/>
                    <w:right w:val="single" w:color="auto" w:sz="4" w:space="0"/>
                  </w:tcBorders>
                  <w:noWrap w:val="0"/>
                  <w:vAlign w:val="center"/>
                </w:tcPr>
                <w:p w14:paraId="54C56422">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监测断面</w:t>
                  </w:r>
                </w:p>
              </w:tc>
              <w:tc>
                <w:tcPr>
                  <w:tcW w:w="1281" w:type="pct"/>
                  <w:tcBorders>
                    <w:top w:val="single" w:color="auto" w:sz="4" w:space="0"/>
                    <w:left w:val="single" w:color="auto" w:sz="4" w:space="0"/>
                    <w:bottom w:val="single" w:color="auto" w:sz="4" w:space="0"/>
                  </w:tcBorders>
                  <w:noWrap w:val="0"/>
                  <w:vAlign w:val="center"/>
                </w:tcPr>
                <w:p w14:paraId="43D41D3D">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r>
            <w:tr w14:paraId="6E18F5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vMerge w:val="restart"/>
                  <w:tcBorders>
                    <w:top w:val="single" w:color="auto" w:sz="4" w:space="0"/>
                    <w:right w:val="single" w:color="auto" w:sz="4" w:space="0"/>
                  </w:tcBorders>
                  <w:noWrap w:val="0"/>
                  <w:vAlign w:val="center"/>
                </w:tcPr>
                <w:p w14:paraId="35B7C451">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尧塘</w:t>
                  </w:r>
                  <w:r>
                    <w:rPr>
                      <w:rFonts w:hint="default" w:ascii="Times New Roman" w:hAnsi="Times New Roman" w:eastAsia="宋体" w:cs="Times New Roman"/>
                      <w:color w:val="auto"/>
                      <w:szCs w:val="21"/>
                      <w:highlight w:val="none"/>
                      <w:lang w:val="en-US" w:eastAsia="zh-CN"/>
                    </w:rPr>
                    <w:t>河</w:t>
                  </w:r>
                </w:p>
              </w:tc>
              <w:tc>
                <w:tcPr>
                  <w:tcW w:w="2855" w:type="pct"/>
                  <w:tcBorders>
                    <w:top w:val="single" w:color="auto" w:sz="4" w:space="0"/>
                    <w:left w:val="single" w:color="auto" w:sz="4" w:space="0"/>
                    <w:bottom w:val="single" w:color="auto" w:sz="4" w:space="0"/>
                    <w:right w:val="single" w:color="auto" w:sz="4" w:space="0"/>
                  </w:tcBorders>
                  <w:noWrap w:val="0"/>
                  <w:vAlign w:val="center"/>
                </w:tcPr>
                <w:p w14:paraId="0FDB579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W1</w:t>
                  </w:r>
                  <w:r>
                    <w:rPr>
                      <w:rFonts w:hint="default" w:ascii="Times New Roman" w:hAnsi="Times New Roman" w:cs="Times New Roman"/>
                      <w:color w:val="auto"/>
                      <w:szCs w:val="21"/>
                      <w:highlight w:val="none"/>
                      <w:lang w:val="en-US" w:eastAsia="zh-CN"/>
                    </w:rPr>
                    <w:t>常州金坛区第二污水处理有限公司</w:t>
                  </w:r>
                  <w:r>
                    <w:rPr>
                      <w:rFonts w:hint="default" w:ascii="Times New Roman" w:hAnsi="Times New Roman" w:eastAsia="宋体" w:cs="Times New Roman"/>
                      <w:color w:val="auto"/>
                      <w:szCs w:val="21"/>
                      <w:highlight w:val="none"/>
                    </w:rPr>
                    <w:t>排污口上游500米</w:t>
                  </w:r>
                </w:p>
              </w:tc>
              <w:tc>
                <w:tcPr>
                  <w:tcW w:w="1281" w:type="pct"/>
                  <w:vMerge w:val="restart"/>
                  <w:tcBorders>
                    <w:top w:val="single" w:color="auto" w:sz="4" w:space="0"/>
                    <w:left w:val="single" w:color="auto" w:sz="4" w:space="0"/>
                  </w:tcBorders>
                  <w:noWrap w:val="0"/>
                  <w:vAlign w:val="center"/>
                </w:tcPr>
                <w:p w14:paraId="11A1F7FA">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pH、化学需氧量、氨氮、总磷</w:t>
                  </w:r>
                  <w:r>
                    <w:rPr>
                      <w:rFonts w:hint="eastAsia"/>
                      <w:color w:val="auto"/>
                      <w:lang w:eastAsia="zh-CN"/>
                    </w:rPr>
                    <w:t>、水温</w:t>
                  </w:r>
                </w:p>
              </w:tc>
            </w:tr>
            <w:tr w14:paraId="7B8E4E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vMerge w:val="continue"/>
                  <w:tcBorders>
                    <w:bottom w:val="single" w:color="auto" w:sz="4" w:space="0"/>
                    <w:right w:val="single" w:color="auto" w:sz="4" w:space="0"/>
                  </w:tcBorders>
                  <w:noWrap w:val="0"/>
                  <w:vAlign w:val="center"/>
                </w:tcPr>
                <w:p w14:paraId="13C74DF9">
                  <w:pPr>
                    <w:widowControl/>
                    <w:jc w:val="center"/>
                    <w:rPr>
                      <w:rFonts w:hint="default" w:ascii="Times New Roman" w:hAnsi="Times New Roman" w:eastAsia="宋体" w:cs="Times New Roman"/>
                      <w:b/>
                      <w:color w:val="auto"/>
                      <w:szCs w:val="21"/>
                      <w:highlight w:val="none"/>
                    </w:rPr>
                  </w:pPr>
                </w:p>
              </w:tc>
              <w:tc>
                <w:tcPr>
                  <w:tcW w:w="2855" w:type="pct"/>
                  <w:tcBorders>
                    <w:top w:val="single" w:color="auto" w:sz="4" w:space="0"/>
                    <w:left w:val="single" w:color="auto" w:sz="4" w:space="0"/>
                    <w:bottom w:val="single" w:color="auto" w:sz="4" w:space="0"/>
                    <w:right w:val="single" w:color="auto" w:sz="4" w:space="0"/>
                  </w:tcBorders>
                  <w:noWrap w:val="0"/>
                  <w:vAlign w:val="center"/>
                </w:tcPr>
                <w:p w14:paraId="17B9D81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W2</w:t>
                  </w:r>
                  <w:r>
                    <w:rPr>
                      <w:rFonts w:hint="default" w:ascii="Times New Roman" w:hAnsi="Times New Roman" w:cs="Times New Roman"/>
                      <w:color w:val="auto"/>
                      <w:szCs w:val="21"/>
                      <w:highlight w:val="none"/>
                      <w:lang w:val="en-US" w:eastAsia="zh-CN"/>
                    </w:rPr>
                    <w:t>常州金坛区第二污水处理有限公司</w:t>
                  </w:r>
                  <w:r>
                    <w:rPr>
                      <w:rFonts w:hint="default" w:ascii="Times New Roman" w:hAnsi="Times New Roman" w:eastAsia="宋体" w:cs="Times New Roman"/>
                      <w:color w:val="auto"/>
                      <w:szCs w:val="21"/>
                      <w:highlight w:val="none"/>
                    </w:rPr>
                    <w:t>排污口下游</w:t>
                  </w:r>
                  <w:r>
                    <w:rPr>
                      <w:rFonts w:hint="default" w:ascii="Times New Roman" w:hAnsi="Times New Roman"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00米</w:t>
                  </w:r>
                </w:p>
              </w:tc>
              <w:tc>
                <w:tcPr>
                  <w:tcW w:w="1281" w:type="pct"/>
                  <w:vMerge w:val="continue"/>
                  <w:tcBorders>
                    <w:left w:val="single" w:color="auto" w:sz="4" w:space="0"/>
                    <w:bottom w:val="single" w:color="auto" w:sz="4" w:space="0"/>
                  </w:tcBorders>
                  <w:noWrap w:val="0"/>
                  <w:vAlign w:val="center"/>
                </w:tcPr>
                <w:p w14:paraId="3D9E7EC5">
                  <w:pPr>
                    <w:widowControl/>
                    <w:jc w:val="center"/>
                    <w:rPr>
                      <w:rFonts w:hint="default" w:ascii="Times New Roman" w:hAnsi="Times New Roman" w:eastAsia="宋体" w:cs="Times New Roman"/>
                      <w:b/>
                      <w:color w:val="auto"/>
                      <w:highlight w:val="none"/>
                    </w:rPr>
                  </w:pPr>
                </w:p>
              </w:tc>
            </w:tr>
          </w:tbl>
          <w:p w14:paraId="0E237A28">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rPr>
              <w:t>主要污染物监测统计结果如下</w:t>
            </w:r>
            <w:r>
              <w:rPr>
                <w:rFonts w:hint="default" w:ascii="Times New Roman" w:hAnsi="Times New Roman" w:cs="Times New Roman"/>
                <w:bCs/>
                <w:color w:val="auto"/>
                <w:sz w:val="24"/>
                <w:highlight w:val="none"/>
                <w:lang w:eastAsia="zh-CN"/>
              </w:rPr>
              <w:t>。</w:t>
            </w:r>
          </w:p>
          <w:p w14:paraId="2BBAF8EC">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表3-4地表水环境质量现状监测结果</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02"/>
              <w:gridCol w:w="734"/>
              <w:gridCol w:w="1249"/>
              <w:gridCol w:w="1521"/>
              <w:gridCol w:w="1325"/>
              <w:gridCol w:w="1423"/>
              <w:gridCol w:w="1424"/>
            </w:tblGrid>
            <w:tr w14:paraId="58E58A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blHeader/>
                <w:jc w:val="center"/>
              </w:trPr>
              <w:tc>
                <w:tcPr>
                  <w:tcW w:w="419" w:type="pct"/>
                  <w:noWrap w:val="0"/>
                  <w:vAlign w:val="center"/>
                </w:tcPr>
                <w:p w14:paraId="62FCDA3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河流</w:t>
                  </w:r>
                </w:p>
                <w:p w14:paraId="0873AA3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w:t>
                  </w:r>
                </w:p>
              </w:tc>
              <w:tc>
                <w:tcPr>
                  <w:tcW w:w="438" w:type="pct"/>
                  <w:noWrap w:val="0"/>
                  <w:vAlign w:val="center"/>
                </w:tcPr>
                <w:p w14:paraId="7D3D63C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断面</w:t>
                  </w:r>
                </w:p>
              </w:tc>
              <w:tc>
                <w:tcPr>
                  <w:tcW w:w="745" w:type="pct"/>
                  <w:noWrap w:val="0"/>
                  <w:vAlign w:val="center"/>
                </w:tcPr>
                <w:p w14:paraId="57455C5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检测项目</w:t>
                  </w:r>
                </w:p>
              </w:tc>
              <w:tc>
                <w:tcPr>
                  <w:tcW w:w="907" w:type="pct"/>
                  <w:noWrap w:val="0"/>
                  <w:vAlign w:val="center"/>
                </w:tcPr>
                <w:p w14:paraId="4AC9DC8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pH（无量纲）</w:t>
                  </w:r>
                </w:p>
              </w:tc>
              <w:tc>
                <w:tcPr>
                  <w:tcW w:w="790" w:type="pct"/>
                  <w:noWrap w:val="0"/>
                  <w:vAlign w:val="center"/>
                </w:tcPr>
                <w:p w14:paraId="6F4069C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849" w:type="pct"/>
                  <w:noWrap w:val="0"/>
                  <w:vAlign w:val="center"/>
                </w:tcPr>
                <w:p w14:paraId="3AE9875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849" w:type="pct"/>
                  <w:noWrap w:val="0"/>
                  <w:vAlign w:val="center"/>
                </w:tcPr>
                <w:p w14:paraId="76BF8E5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r>
            <w:tr w14:paraId="1DCA50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restart"/>
                  <w:noWrap w:val="0"/>
                  <w:vAlign w:val="center"/>
                </w:tcPr>
                <w:p w14:paraId="482ACA6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尧塘河</w:t>
                  </w:r>
                </w:p>
              </w:tc>
              <w:tc>
                <w:tcPr>
                  <w:tcW w:w="438" w:type="pct"/>
                  <w:vMerge w:val="restart"/>
                  <w:noWrap w:val="0"/>
                  <w:vAlign w:val="center"/>
                </w:tcPr>
                <w:p w14:paraId="46BBF57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W1</w:t>
                  </w:r>
                </w:p>
              </w:tc>
              <w:tc>
                <w:tcPr>
                  <w:tcW w:w="745" w:type="pct"/>
                  <w:noWrap w:val="0"/>
                  <w:vAlign w:val="center"/>
                </w:tcPr>
                <w:p w14:paraId="232E094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最大值</w:t>
                  </w:r>
                </w:p>
              </w:tc>
              <w:tc>
                <w:tcPr>
                  <w:tcW w:w="907" w:type="pct"/>
                  <w:noWrap w:val="0"/>
                  <w:vAlign w:val="center"/>
                </w:tcPr>
                <w:p w14:paraId="784599D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7.1</w:t>
                  </w:r>
                </w:p>
              </w:tc>
              <w:tc>
                <w:tcPr>
                  <w:tcW w:w="790" w:type="pct"/>
                  <w:noWrap w:val="0"/>
                  <w:vAlign w:val="center"/>
                </w:tcPr>
                <w:p w14:paraId="7EF5745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17</w:t>
                  </w:r>
                </w:p>
              </w:tc>
              <w:tc>
                <w:tcPr>
                  <w:tcW w:w="849" w:type="pct"/>
                  <w:noWrap w:val="0"/>
                  <w:vAlign w:val="center"/>
                </w:tcPr>
                <w:p w14:paraId="2056CFD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0.536</w:t>
                  </w:r>
                </w:p>
              </w:tc>
              <w:tc>
                <w:tcPr>
                  <w:tcW w:w="849" w:type="pct"/>
                  <w:noWrap w:val="0"/>
                  <w:vAlign w:val="center"/>
                </w:tcPr>
                <w:p w14:paraId="21159C8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0.19</w:t>
                  </w:r>
                </w:p>
              </w:tc>
            </w:tr>
            <w:tr w14:paraId="7A525B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11E4A32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382CAE2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0101502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最小值</w:t>
                  </w:r>
                </w:p>
              </w:tc>
              <w:tc>
                <w:tcPr>
                  <w:tcW w:w="907" w:type="pct"/>
                  <w:noWrap w:val="0"/>
                  <w:vAlign w:val="center"/>
                </w:tcPr>
                <w:p w14:paraId="09A0AE9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p>
              </w:tc>
              <w:tc>
                <w:tcPr>
                  <w:tcW w:w="790" w:type="pct"/>
                  <w:noWrap w:val="0"/>
                  <w:vAlign w:val="center"/>
                </w:tcPr>
                <w:p w14:paraId="777F729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849" w:type="pct"/>
                  <w:noWrap w:val="0"/>
                  <w:vAlign w:val="center"/>
                </w:tcPr>
                <w:p w14:paraId="2889BA2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0.246</w:t>
                  </w:r>
                </w:p>
              </w:tc>
              <w:tc>
                <w:tcPr>
                  <w:tcW w:w="849" w:type="pct"/>
                  <w:noWrap w:val="0"/>
                  <w:vAlign w:val="center"/>
                </w:tcPr>
                <w:p w14:paraId="233FB3B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0.14</w:t>
                  </w:r>
                </w:p>
              </w:tc>
            </w:tr>
            <w:tr w14:paraId="70CF28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640F6C3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10D53ED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2A5A19D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超标率</w:t>
                  </w:r>
                </w:p>
              </w:tc>
              <w:tc>
                <w:tcPr>
                  <w:tcW w:w="907" w:type="pct"/>
                  <w:noWrap w:val="0"/>
                  <w:vAlign w:val="center"/>
                </w:tcPr>
                <w:p w14:paraId="4BDD07C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790" w:type="pct"/>
                  <w:noWrap w:val="0"/>
                  <w:vAlign w:val="center"/>
                </w:tcPr>
                <w:p w14:paraId="23C18A7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4183F5F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19F13EA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43A6F8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03C5B24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restart"/>
                  <w:noWrap w:val="0"/>
                  <w:vAlign w:val="center"/>
                </w:tcPr>
                <w:p w14:paraId="489FD91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W2</w:t>
                  </w:r>
                </w:p>
              </w:tc>
              <w:tc>
                <w:tcPr>
                  <w:tcW w:w="745" w:type="pct"/>
                  <w:noWrap w:val="0"/>
                  <w:vAlign w:val="center"/>
                </w:tcPr>
                <w:p w14:paraId="3FB5C00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最大值</w:t>
                  </w:r>
                </w:p>
              </w:tc>
              <w:tc>
                <w:tcPr>
                  <w:tcW w:w="907" w:type="pct"/>
                  <w:noWrap w:val="0"/>
                  <w:vAlign w:val="center"/>
                </w:tcPr>
                <w:p w14:paraId="6CADA97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7.2</w:t>
                  </w:r>
                </w:p>
              </w:tc>
              <w:tc>
                <w:tcPr>
                  <w:tcW w:w="1294" w:type="dxa"/>
                  <w:noWrap w:val="0"/>
                  <w:vAlign w:val="center"/>
                </w:tcPr>
                <w:p w14:paraId="15F2A42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19</w:t>
                  </w:r>
                </w:p>
              </w:tc>
              <w:tc>
                <w:tcPr>
                  <w:tcW w:w="849" w:type="pct"/>
                  <w:noWrap w:val="0"/>
                  <w:vAlign w:val="center"/>
                </w:tcPr>
                <w:p w14:paraId="6781DF2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0.48</w:t>
                  </w:r>
                </w:p>
              </w:tc>
              <w:tc>
                <w:tcPr>
                  <w:tcW w:w="1391" w:type="dxa"/>
                  <w:noWrap w:val="0"/>
                  <w:vAlign w:val="center"/>
                </w:tcPr>
                <w:p w14:paraId="36BC257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0.19</w:t>
                  </w:r>
                </w:p>
              </w:tc>
            </w:tr>
            <w:tr w14:paraId="3CEC3C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2720145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1B7B14D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01616C0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最小值</w:t>
                  </w:r>
                </w:p>
              </w:tc>
              <w:tc>
                <w:tcPr>
                  <w:tcW w:w="907" w:type="pct"/>
                  <w:noWrap w:val="0"/>
                  <w:vAlign w:val="center"/>
                </w:tcPr>
                <w:p w14:paraId="49CE59B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p>
              </w:tc>
              <w:tc>
                <w:tcPr>
                  <w:tcW w:w="1294" w:type="dxa"/>
                  <w:noWrap w:val="0"/>
                  <w:vAlign w:val="center"/>
                </w:tcPr>
                <w:p w14:paraId="36B4743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17</w:t>
                  </w:r>
                </w:p>
              </w:tc>
              <w:tc>
                <w:tcPr>
                  <w:tcW w:w="849" w:type="pct"/>
                  <w:noWrap w:val="0"/>
                  <w:vAlign w:val="center"/>
                </w:tcPr>
                <w:p w14:paraId="56B4D52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0.274</w:t>
                  </w:r>
                </w:p>
              </w:tc>
              <w:tc>
                <w:tcPr>
                  <w:tcW w:w="1391" w:type="dxa"/>
                  <w:noWrap w:val="0"/>
                  <w:vAlign w:val="center"/>
                </w:tcPr>
                <w:p w14:paraId="27D8577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0.12</w:t>
                  </w:r>
                </w:p>
              </w:tc>
            </w:tr>
            <w:tr w14:paraId="2A1BF5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16C49B9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7B0F440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3B176FC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超标率</w:t>
                  </w:r>
                </w:p>
              </w:tc>
              <w:tc>
                <w:tcPr>
                  <w:tcW w:w="907" w:type="pct"/>
                  <w:noWrap w:val="0"/>
                  <w:vAlign w:val="center"/>
                </w:tcPr>
                <w:p w14:paraId="4BD8813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790" w:type="pct"/>
                  <w:noWrap w:val="0"/>
                  <w:vAlign w:val="center"/>
                </w:tcPr>
                <w:p w14:paraId="2A97F7B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0B0D692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2A2E39C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5A8A0A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23" w:type="dxa"/>
                  <w:gridSpan w:val="3"/>
                  <w:noWrap w:val="0"/>
                  <w:vAlign w:val="center"/>
                </w:tcPr>
                <w:p w14:paraId="229581C5">
                  <w:pPr>
                    <w:pStyle w:val="25"/>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Ⅲ类功能水域标准</w:t>
                  </w:r>
                </w:p>
              </w:tc>
              <w:tc>
                <w:tcPr>
                  <w:tcW w:w="1486" w:type="dxa"/>
                  <w:noWrap w:val="0"/>
                  <w:vAlign w:val="center"/>
                </w:tcPr>
                <w:p w14:paraId="448DCE92">
                  <w:pPr>
                    <w:pStyle w:val="25"/>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6-9</w:t>
                  </w:r>
                </w:p>
              </w:tc>
              <w:tc>
                <w:tcPr>
                  <w:tcW w:w="1294" w:type="dxa"/>
                  <w:noWrap w:val="0"/>
                  <w:vAlign w:val="center"/>
                </w:tcPr>
                <w:p w14:paraId="037A7439">
                  <w:pPr>
                    <w:pStyle w:val="25"/>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w:t>
                  </w:r>
                </w:p>
              </w:tc>
              <w:tc>
                <w:tcPr>
                  <w:tcW w:w="1391" w:type="dxa"/>
                  <w:noWrap w:val="0"/>
                  <w:vAlign w:val="center"/>
                </w:tcPr>
                <w:p w14:paraId="05E22816">
                  <w:pPr>
                    <w:pStyle w:val="25"/>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0</w:t>
                  </w:r>
                </w:p>
              </w:tc>
              <w:tc>
                <w:tcPr>
                  <w:tcW w:w="1391" w:type="dxa"/>
                  <w:noWrap w:val="0"/>
                  <w:vAlign w:val="center"/>
                </w:tcPr>
                <w:p w14:paraId="4F5F091A">
                  <w:pPr>
                    <w:pStyle w:val="25"/>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2</w:t>
                  </w:r>
                </w:p>
              </w:tc>
            </w:tr>
          </w:tbl>
          <w:p w14:paraId="1E3111B0">
            <w:pPr>
              <w:adjustRightInd w:val="0"/>
              <w:snapToGrid w:val="0"/>
              <w:rPr>
                <w:b/>
                <w:bCs/>
                <w:color w:val="auto"/>
                <w:szCs w:val="21"/>
              </w:rPr>
            </w:pPr>
            <w:r>
              <w:rPr>
                <w:b/>
                <w:bCs/>
                <w:color w:val="auto"/>
                <w:szCs w:val="21"/>
              </w:rPr>
              <w:t>注：检测期间，尧塘河水温处于2</w:t>
            </w:r>
            <w:r>
              <w:rPr>
                <w:rFonts w:hint="eastAsia"/>
                <w:b/>
                <w:bCs/>
                <w:color w:val="auto"/>
                <w:szCs w:val="21"/>
                <w:lang w:val="en-US" w:eastAsia="zh-CN"/>
              </w:rPr>
              <w:t>1</w:t>
            </w:r>
            <w:r>
              <w:rPr>
                <w:b/>
                <w:bCs/>
                <w:color w:val="auto"/>
                <w:szCs w:val="21"/>
              </w:rPr>
              <w:t>.</w:t>
            </w:r>
            <w:r>
              <w:rPr>
                <w:rFonts w:hint="eastAsia"/>
                <w:b/>
                <w:bCs/>
                <w:color w:val="auto"/>
                <w:szCs w:val="21"/>
                <w:lang w:val="en-US" w:eastAsia="zh-CN"/>
              </w:rPr>
              <w:t>4</w:t>
            </w:r>
            <w:r>
              <w:rPr>
                <w:b/>
                <w:bCs/>
                <w:color w:val="auto"/>
                <w:szCs w:val="21"/>
              </w:rPr>
              <w:t>~</w:t>
            </w:r>
            <w:r>
              <w:rPr>
                <w:rFonts w:hint="eastAsia"/>
                <w:b/>
                <w:bCs/>
                <w:color w:val="auto"/>
                <w:szCs w:val="21"/>
                <w:lang w:val="en-US" w:eastAsia="zh-CN"/>
              </w:rPr>
              <w:t>22.4</w:t>
            </w:r>
            <w:r>
              <w:rPr>
                <w:b/>
                <w:bCs/>
                <w:color w:val="auto"/>
                <w:szCs w:val="21"/>
              </w:rPr>
              <w:t>℃范围内。</w:t>
            </w:r>
          </w:p>
          <w:p w14:paraId="5258622D">
            <w:pPr>
              <w:adjustRightInd w:val="0"/>
              <w:snapToGrid w:val="0"/>
              <w:spacing w:line="500" w:lineRule="exact"/>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监测统计结果表明：</w:t>
            </w:r>
            <w:r>
              <w:rPr>
                <w:rFonts w:hint="default" w:ascii="Times New Roman" w:hAnsi="Times New Roman" w:cs="Times New Roman"/>
                <w:bCs/>
                <w:color w:val="auto"/>
                <w:sz w:val="24"/>
                <w:highlight w:val="none"/>
                <w:lang w:val="en-US" w:eastAsia="zh-CN"/>
              </w:rPr>
              <w:t>尧塘河</w:t>
            </w:r>
            <w:r>
              <w:rPr>
                <w:rFonts w:hint="default" w:ascii="Times New Roman" w:hAnsi="Times New Roman" w:cs="Times New Roman"/>
                <w:bCs/>
                <w:color w:val="auto"/>
                <w:sz w:val="24"/>
                <w:highlight w:val="none"/>
              </w:rPr>
              <w:t>监测断面的各监测因子均可以达到《地表水环境质量</w:t>
            </w:r>
            <w:r>
              <w:rPr>
                <w:rFonts w:hint="default" w:ascii="Times New Roman" w:hAnsi="Times New Roman" w:cs="Times New Roman"/>
                <w:color w:val="auto"/>
                <w:sz w:val="24"/>
              </w:rPr>
              <w:t>标准</w:t>
            </w:r>
            <w:r>
              <w:rPr>
                <w:rFonts w:hint="default" w:ascii="Times New Roman" w:hAnsi="Times New Roman" w:cs="Times New Roman"/>
                <w:bCs/>
                <w:color w:val="auto"/>
                <w:sz w:val="24"/>
                <w:highlight w:val="none"/>
              </w:rPr>
              <w:t>》（GB3838-2002）</w:t>
            </w:r>
            <w:r>
              <w:rPr>
                <w:rFonts w:hint="default" w:ascii="Times New Roman" w:hAnsi="Times New Roman" w:cs="Times New Roman"/>
                <w:color w:val="auto"/>
                <w:sz w:val="24"/>
                <w:szCs w:val="24"/>
              </w:rPr>
              <w:t>Ⅲ</w:t>
            </w:r>
            <w:r>
              <w:rPr>
                <w:rFonts w:hint="default" w:ascii="Times New Roman" w:hAnsi="Times New Roman" w:cs="Times New Roman"/>
                <w:bCs/>
                <w:color w:val="auto"/>
                <w:sz w:val="24"/>
                <w:highlight w:val="none"/>
              </w:rPr>
              <w:t>类标准。</w:t>
            </w:r>
          </w:p>
          <w:p w14:paraId="1A0F3445">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highlight w:val="yellow"/>
              </w:rPr>
            </w:pPr>
            <w:r>
              <w:rPr>
                <w:rFonts w:hint="default" w:ascii="Times New Roman" w:hAnsi="Times New Roman" w:cs="Times New Roman"/>
                <w:bCs/>
                <w:color w:val="auto"/>
                <w:sz w:val="24"/>
                <w:highlight w:val="none"/>
              </w:rPr>
              <w:t>引用数据有效性分析：</w:t>
            </w:r>
            <w:r>
              <w:rPr>
                <w:rFonts w:hint="default" w:ascii="Times New Roman" w:hAnsi="Times New Roman" w:cs="Times New Roman"/>
                <w:bCs/>
                <w:color w:val="auto"/>
                <w:sz w:val="24"/>
                <w:highlight w:val="none"/>
                <w:lang w:eastAsia="zh-CN"/>
              </w:rPr>
              <w:t>江苏久诚检验检测有限公司</w:t>
            </w:r>
            <w:r>
              <w:rPr>
                <w:rFonts w:hint="default" w:ascii="Times New Roman" w:hAnsi="Times New Roman" w:cs="Times New Roman"/>
                <w:bCs/>
                <w:color w:val="auto"/>
                <w:sz w:val="24"/>
                <w:highlight w:val="none"/>
              </w:rPr>
              <w:t>于</w:t>
            </w:r>
            <w:r>
              <w:rPr>
                <w:rFonts w:hint="default" w:ascii="Times New Roman" w:hAnsi="Times New Roman" w:eastAsia="宋体" w:cs="Times New Roman"/>
                <w:b w:val="0"/>
                <w:bCs/>
                <w:color w:val="auto"/>
                <w:kern w:val="0"/>
                <w:sz w:val="24"/>
                <w:szCs w:val="21"/>
                <w:lang w:val="en-US" w:eastAsia="zh-CN" w:bidi="ar-SA"/>
              </w:rPr>
              <w:t>202</w:t>
            </w:r>
            <w:r>
              <w:rPr>
                <w:rFonts w:hint="eastAsia" w:cs="Times New Roman"/>
                <w:b w:val="0"/>
                <w:bCs/>
                <w:color w:val="auto"/>
                <w:kern w:val="0"/>
                <w:sz w:val="24"/>
                <w:szCs w:val="21"/>
                <w:lang w:val="en-US" w:eastAsia="zh-CN" w:bidi="ar-SA"/>
              </w:rPr>
              <w:t>4</w:t>
            </w:r>
            <w:r>
              <w:rPr>
                <w:rFonts w:hint="default" w:ascii="Times New Roman" w:hAnsi="Times New Roman" w:eastAsia="宋体" w:cs="Times New Roman"/>
                <w:b w:val="0"/>
                <w:bCs/>
                <w:color w:val="auto"/>
                <w:kern w:val="0"/>
                <w:sz w:val="24"/>
                <w:szCs w:val="21"/>
                <w:lang w:val="en-US" w:eastAsia="zh-CN" w:bidi="ar-SA"/>
              </w:rPr>
              <w:t>年</w:t>
            </w:r>
            <w:r>
              <w:rPr>
                <w:rFonts w:hint="eastAsia" w:cs="Times New Roman"/>
                <w:b w:val="0"/>
                <w:bCs/>
                <w:color w:val="auto"/>
                <w:kern w:val="0"/>
                <w:sz w:val="24"/>
                <w:szCs w:val="21"/>
                <w:lang w:val="en-US" w:eastAsia="zh-CN" w:bidi="ar-SA"/>
              </w:rPr>
              <w:t>5</w:t>
            </w:r>
            <w:r>
              <w:rPr>
                <w:rFonts w:hint="default" w:ascii="Times New Roman" w:hAnsi="Times New Roman" w:eastAsia="宋体" w:cs="Times New Roman"/>
                <w:b w:val="0"/>
                <w:bCs/>
                <w:color w:val="auto"/>
                <w:kern w:val="0"/>
                <w:sz w:val="24"/>
                <w:szCs w:val="21"/>
                <w:lang w:val="en-US" w:eastAsia="zh-CN" w:bidi="ar-SA"/>
              </w:rPr>
              <w:t>月</w:t>
            </w:r>
            <w:r>
              <w:rPr>
                <w:rFonts w:hint="eastAsia" w:cs="Times New Roman"/>
                <w:b w:val="0"/>
                <w:bCs/>
                <w:color w:val="auto"/>
                <w:kern w:val="0"/>
                <w:sz w:val="24"/>
                <w:szCs w:val="21"/>
                <w:lang w:val="en-US" w:eastAsia="zh-CN" w:bidi="ar-SA"/>
              </w:rPr>
              <w:t>31</w:t>
            </w:r>
            <w:r>
              <w:rPr>
                <w:rFonts w:hint="default" w:ascii="Times New Roman" w:hAnsi="Times New Roman" w:eastAsia="宋体" w:cs="Times New Roman"/>
                <w:b w:val="0"/>
                <w:bCs/>
                <w:color w:val="auto"/>
                <w:kern w:val="0"/>
                <w:sz w:val="24"/>
                <w:szCs w:val="21"/>
                <w:lang w:val="en-US" w:eastAsia="zh-CN" w:bidi="ar-SA"/>
              </w:rPr>
              <w:t>日~</w:t>
            </w:r>
            <w:r>
              <w:rPr>
                <w:rFonts w:hint="eastAsia" w:cs="Times New Roman"/>
                <w:b w:val="0"/>
                <w:bCs/>
                <w:color w:val="auto"/>
                <w:kern w:val="0"/>
                <w:sz w:val="24"/>
                <w:szCs w:val="21"/>
                <w:lang w:val="en-US" w:eastAsia="zh-CN" w:bidi="ar-SA"/>
              </w:rPr>
              <w:t>6</w:t>
            </w:r>
            <w:r>
              <w:rPr>
                <w:rFonts w:hint="default" w:ascii="Times New Roman" w:hAnsi="Times New Roman" w:eastAsia="宋体" w:cs="Times New Roman"/>
                <w:b w:val="0"/>
                <w:bCs/>
                <w:color w:val="auto"/>
                <w:kern w:val="0"/>
                <w:sz w:val="24"/>
                <w:szCs w:val="21"/>
                <w:lang w:val="en-US" w:eastAsia="zh-CN" w:bidi="ar-SA"/>
              </w:rPr>
              <w:t>月</w:t>
            </w:r>
            <w:r>
              <w:rPr>
                <w:rFonts w:hint="eastAsia" w:cs="Times New Roman"/>
                <w:b w:val="0"/>
                <w:bCs/>
                <w:color w:val="auto"/>
                <w:kern w:val="0"/>
                <w:sz w:val="24"/>
                <w:szCs w:val="21"/>
                <w:lang w:val="en-US" w:eastAsia="zh-CN" w:bidi="ar-SA"/>
              </w:rPr>
              <w:t>4</w:t>
            </w:r>
            <w:r>
              <w:rPr>
                <w:rFonts w:hint="default" w:ascii="Times New Roman" w:hAnsi="Times New Roman" w:eastAsia="宋体" w:cs="Times New Roman"/>
                <w:b w:val="0"/>
                <w:bCs/>
                <w:color w:val="auto"/>
                <w:kern w:val="0"/>
                <w:sz w:val="24"/>
                <w:szCs w:val="21"/>
                <w:lang w:val="en-US" w:eastAsia="zh-CN" w:bidi="ar-SA"/>
              </w:rPr>
              <w:t>日</w:t>
            </w:r>
            <w:r>
              <w:rPr>
                <w:rFonts w:hint="default" w:ascii="Times New Roman" w:hAnsi="Times New Roman" w:cs="Times New Roman"/>
                <w:color w:val="auto"/>
                <w:sz w:val="24"/>
                <w:highlight w:val="none"/>
              </w:rPr>
              <w:t>对</w:t>
            </w:r>
            <w:r>
              <w:rPr>
                <w:rFonts w:hint="default" w:ascii="Times New Roman" w:hAnsi="Times New Roman" w:cs="Times New Roman"/>
                <w:color w:val="auto"/>
                <w:sz w:val="24"/>
                <w:highlight w:val="none"/>
                <w:lang w:eastAsia="zh-CN"/>
              </w:rPr>
              <w:t>常州金坛区第二污水处理有限公司</w:t>
            </w:r>
            <w:r>
              <w:rPr>
                <w:rFonts w:hint="default" w:ascii="Times New Roman" w:hAnsi="Times New Roman" w:cs="Times New Roman"/>
                <w:color w:val="auto"/>
                <w:sz w:val="24"/>
                <w:highlight w:val="none"/>
              </w:rPr>
              <w:t>排口上游500米断面和</w:t>
            </w:r>
            <w:r>
              <w:rPr>
                <w:rFonts w:hint="default" w:ascii="Times New Roman" w:hAnsi="Times New Roman" w:cs="Times New Roman"/>
                <w:color w:val="auto"/>
                <w:sz w:val="24"/>
                <w:highlight w:val="none"/>
                <w:lang w:eastAsia="zh-CN"/>
              </w:rPr>
              <w:t>常州金坛区第二污水处理有限公司</w:t>
            </w:r>
            <w:r>
              <w:rPr>
                <w:rFonts w:hint="default" w:ascii="Times New Roman" w:hAnsi="Times New Roman" w:cs="Times New Roman"/>
                <w:color w:val="auto"/>
                <w:sz w:val="24"/>
                <w:highlight w:val="none"/>
              </w:rPr>
              <w:t>排口下游</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00米断面进行监测</w:t>
            </w:r>
            <w:r>
              <w:rPr>
                <w:rFonts w:hint="default" w:ascii="Times New Roman" w:hAnsi="Times New Roman" w:cs="Times New Roman"/>
                <w:bCs/>
                <w:color w:val="auto"/>
                <w:sz w:val="24"/>
                <w:highlight w:val="none"/>
              </w:rPr>
              <w:t>，引用时间不超过3年，水环境引用时间有效；项目所在区域污染源未发生重大变化，可引用3年内地表水的监测数据；引用点位在项目纳污河道</w:t>
            </w:r>
            <w:r>
              <w:rPr>
                <w:rFonts w:hint="default" w:ascii="Times New Roman" w:hAnsi="Times New Roman" w:cs="Times New Roman"/>
                <w:color w:val="auto"/>
                <w:sz w:val="24"/>
              </w:rPr>
              <w:t>评价</w:t>
            </w:r>
            <w:r>
              <w:rPr>
                <w:rFonts w:hint="default" w:ascii="Times New Roman" w:hAnsi="Times New Roman" w:cs="Times New Roman"/>
                <w:bCs/>
                <w:color w:val="auto"/>
                <w:sz w:val="24"/>
                <w:highlight w:val="none"/>
              </w:rPr>
              <w:t>范围内，监测方法、频次符合导则要求，则地表水环境引用点位有效。</w:t>
            </w:r>
          </w:p>
          <w:p w14:paraId="72504F3E">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3、声环境质量现状</w:t>
            </w:r>
          </w:p>
          <w:p w14:paraId="6AE589F5">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eastAsia" w:cs="Times New Roman"/>
                <w:color w:val="auto"/>
                <w:sz w:val="24"/>
                <w:highlight w:val="none"/>
                <w:lang w:val="en-US" w:eastAsia="zh-CN"/>
              </w:rPr>
              <w:t>项目周边50m范围无环境敏感目标，</w:t>
            </w:r>
            <w:r>
              <w:rPr>
                <w:rFonts w:hint="default" w:ascii="Times New Roman" w:hAnsi="Times New Roman" w:cs="Times New Roman"/>
                <w:bCs/>
                <w:color w:val="auto"/>
                <w:sz w:val="24"/>
                <w:lang w:val="en-US" w:eastAsia="zh-CN"/>
              </w:rPr>
              <w:t>可</w:t>
            </w:r>
            <w:r>
              <w:rPr>
                <w:rFonts w:hint="default" w:ascii="Times New Roman" w:hAnsi="Times New Roman" w:cs="Times New Roman"/>
                <w:bCs/>
                <w:color w:val="auto"/>
                <w:sz w:val="24"/>
              </w:rPr>
              <w:t>不开展现状调查</w:t>
            </w:r>
            <w:r>
              <w:rPr>
                <w:rFonts w:hint="default" w:ascii="Times New Roman" w:hAnsi="Times New Roman" w:eastAsia="宋体" w:cs="Times New Roman"/>
                <w:color w:val="auto"/>
                <w:sz w:val="24"/>
                <w:szCs w:val="24"/>
                <w:highlight w:val="none"/>
                <w:lang w:val="en-US" w:eastAsia="zh-CN"/>
              </w:rPr>
              <w:t>。</w:t>
            </w:r>
          </w:p>
          <w:p w14:paraId="086ADC4D">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4、生态环境现状</w:t>
            </w:r>
          </w:p>
          <w:p w14:paraId="49A5ECD0">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
                <w:color w:val="auto"/>
                <w:sz w:val="24"/>
              </w:rPr>
            </w:pPr>
            <w:r>
              <w:rPr>
                <w:rFonts w:hint="default" w:ascii="Times New Roman" w:hAnsi="Times New Roman" w:cs="Times New Roman"/>
                <w:bCs/>
                <w:color w:val="auto"/>
                <w:sz w:val="24"/>
              </w:rPr>
              <w:t>本项目不新增建设用地，用地范围内无生态环境保护目标。根据《建设项目环境影响报告表编制技术指南（污染影响类）》（试行），无需开展生态环境现状调查。</w:t>
            </w:r>
          </w:p>
          <w:p w14:paraId="066C569C">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5、</w:t>
            </w:r>
            <w:r>
              <w:rPr>
                <w:rFonts w:hint="eastAsia" w:ascii="Times New Roman" w:hAnsi="Times New Roman" w:cs="Times New Roman"/>
                <w:b/>
                <w:color w:val="auto"/>
                <w:sz w:val="24"/>
                <w:lang w:eastAsia="zh-CN"/>
              </w:rPr>
              <w:t>土壤、</w:t>
            </w:r>
            <w:r>
              <w:rPr>
                <w:rFonts w:hint="default" w:ascii="Times New Roman" w:hAnsi="Times New Roman" w:cs="Times New Roman"/>
                <w:b/>
                <w:color w:val="auto"/>
                <w:sz w:val="24"/>
              </w:rPr>
              <w:t>地下水环境质量现状</w:t>
            </w:r>
          </w:p>
          <w:p w14:paraId="5C4F9C38">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本项目生产车间、危废仓库等</w:t>
            </w:r>
            <w:r>
              <w:rPr>
                <w:rFonts w:hint="default" w:ascii="Times New Roman" w:hAnsi="Times New Roman" w:cs="Times New Roman"/>
                <w:bCs/>
                <w:color w:val="auto"/>
                <w:sz w:val="24"/>
                <w:lang w:val="en-US" w:eastAsia="zh-CN"/>
              </w:rPr>
              <w:t>重点防渗区已</w:t>
            </w:r>
            <w:r>
              <w:rPr>
                <w:rFonts w:hint="default" w:ascii="Times New Roman" w:hAnsi="Times New Roman" w:cs="Times New Roman"/>
                <w:bCs/>
                <w:color w:val="auto"/>
                <w:sz w:val="24"/>
              </w:rPr>
              <w:t>进行硬化处理</w:t>
            </w:r>
            <w:r>
              <w:rPr>
                <w:rFonts w:hint="default" w:ascii="Times New Roman" w:hAnsi="Times New Roman" w:cs="Times New Roman"/>
                <w:bCs/>
                <w:color w:val="auto"/>
                <w:sz w:val="24"/>
                <w:lang w:val="en-US" w:eastAsia="zh-CN"/>
              </w:rPr>
              <w:t>并采取相应的防渗措施，</w:t>
            </w:r>
            <w:r>
              <w:rPr>
                <w:rFonts w:hint="default" w:ascii="Times New Roman" w:hAnsi="Times New Roman" w:cs="Times New Roman"/>
                <w:bCs/>
                <w:color w:val="auto"/>
                <w:sz w:val="24"/>
              </w:rPr>
              <w:t>不</w:t>
            </w:r>
            <w:r>
              <w:rPr>
                <w:rFonts w:hint="default" w:ascii="Times New Roman" w:hAnsi="Times New Roman" w:cs="Times New Roman"/>
                <w:bCs/>
                <w:color w:val="auto"/>
                <w:sz w:val="24"/>
                <w:lang w:val="en-US" w:eastAsia="zh-CN"/>
              </w:rPr>
              <w:t>存在</w:t>
            </w:r>
            <w:r>
              <w:rPr>
                <w:rFonts w:hint="eastAsia" w:ascii="Times New Roman" w:hAnsi="Times New Roman" w:cs="Times New Roman"/>
                <w:bCs/>
                <w:color w:val="auto"/>
                <w:sz w:val="24"/>
                <w:lang w:val="en-US" w:eastAsia="zh-CN"/>
              </w:rPr>
              <w:t>土壤、</w:t>
            </w:r>
            <w:r>
              <w:rPr>
                <w:rFonts w:hint="default" w:ascii="Times New Roman" w:hAnsi="Times New Roman" w:cs="Times New Roman"/>
                <w:bCs/>
                <w:color w:val="auto"/>
                <w:sz w:val="24"/>
                <w:lang w:val="en-US" w:eastAsia="zh-CN"/>
              </w:rPr>
              <w:t>地下水污染途径</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可</w:t>
            </w:r>
            <w:r>
              <w:rPr>
                <w:rFonts w:hint="default" w:ascii="Times New Roman" w:hAnsi="Times New Roman" w:cs="Times New Roman"/>
                <w:bCs/>
                <w:color w:val="auto"/>
                <w:sz w:val="24"/>
              </w:rPr>
              <w:t>不开展现状调查。</w:t>
            </w:r>
          </w:p>
          <w:p w14:paraId="0BE1B561">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6</w:t>
            </w:r>
            <w:r>
              <w:rPr>
                <w:rFonts w:hint="default" w:ascii="Times New Roman" w:hAnsi="Times New Roman" w:cs="Times New Roman"/>
                <w:b/>
                <w:color w:val="auto"/>
                <w:sz w:val="24"/>
              </w:rPr>
              <w:t>、辐射</w:t>
            </w:r>
          </w:p>
          <w:p w14:paraId="6261E720">
            <w:pPr>
              <w:keepNext w:val="0"/>
              <w:keepLines w:val="0"/>
              <w:pageBreakBefore w:val="0"/>
              <w:widowControl w:val="0"/>
              <w:tabs>
                <w:tab w:val="left" w:pos="630"/>
              </w:tabs>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本项目不属于广播电台、差转台、电视塔台、卫星地球上行站、雷达等电磁辐射类项目。</w:t>
            </w:r>
          </w:p>
        </w:tc>
      </w:tr>
      <w:tr w14:paraId="469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jc w:val="center"/>
        </w:trPr>
        <w:tc>
          <w:tcPr>
            <w:tcW w:w="832" w:type="dxa"/>
            <w:vAlign w:val="center"/>
          </w:tcPr>
          <w:p w14:paraId="39BA1D0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w:t>
            </w:r>
          </w:p>
          <w:p w14:paraId="734B1711">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保护</w:t>
            </w:r>
          </w:p>
          <w:p w14:paraId="65344D44">
            <w:pPr>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rPr>
              <w:t>目标</w:t>
            </w:r>
          </w:p>
        </w:tc>
        <w:tc>
          <w:tcPr>
            <w:tcW w:w="8228" w:type="dxa"/>
            <w:vAlign w:val="top"/>
          </w:tcPr>
          <w:p w14:paraId="0B715D28">
            <w:pPr>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1、大气环境</w:t>
            </w:r>
          </w:p>
          <w:p w14:paraId="13670066">
            <w:pPr>
              <w:snapToGrid w:val="0"/>
              <w:spacing w:before="72" w:beforeLines="30"/>
              <w:jc w:val="center"/>
              <w:rPr>
                <w:b/>
                <w:color w:val="auto"/>
                <w:szCs w:val="21"/>
              </w:rPr>
            </w:pPr>
            <w:r>
              <w:rPr>
                <w:b/>
                <w:color w:val="auto"/>
                <w:szCs w:val="21"/>
              </w:rPr>
              <w:t>表3-</w:t>
            </w:r>
            <w:r>
              <w:rPr>
                <w:rFonts w:hint="eastAsia"/>
                <w:b/>
                <w:color w:val="auto"/>
                <w:szCs w:val="21"/>
                <w:lang w:val="en-US" w:eastAsia="zh-CN"/>
              </w:rPr>
              <w:t>5</w:t>
            </w:r>
            <w:r>
              <w:rPr>
                <w:b/>
                <w:color w:val="auto"/>
                <w:szCs w:val="21"/>
              </w:rPr>
              <w:t xml:space="preserve"> </w:t>
            </w:r>
            <w:r>
              <w:rPr>
                <w:rFonts w:hint="eastAsia"/>
                <w:b/>
                <w:color w:val="auto"/>
                <w:szCs w:val="21"/>
              </w:rPr>
              <w:t>项目附近</w:t>
            </w:r>
            <w:r>
              <w:rPr>
                <w:b/>
                <w:color w:val="auto"/>
                <w:szCs w:val="21"/>
              </w:rPr>
              <w:t>大气环境保护目标一览表</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24"/>
              <w:gridCol w:w="1217"/>
              <w:gridCol w:w="1229"/>
              <w:gridCol w:w="637"/>
              <w:gridCol w:w="999"/>
              <w:gridCol w:w="1651"/>
              <w:gridCol w:w="699"/>
              <w:gridCol w:w="724"/>
            </w:tblGrid>
            <w:tr w14:paraId="6967B2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30" w:type="pct"/>
                  <w:vMerge w:val="restart"/>
                  <w:noWrap w:val="0"/>
                  <w:vAlign w:val="center"/>
                </w:tcPr>
                <w:p w14:paraId="3FD275A4">
                  <w:pPr>
                    <w:tabs>
                      <w:tab w:val="left" w:pos="5698"/>
                    </w:tabs>
                    <w:jc w:val="center"/>
                    <w:rPr>
                      <w:color w:val="auto"/>
                      <w:szCs w:val="21"/>
                    </w:rPr>
                  </w:pPr>
                  <w:r>
                    <w:rPr>
                      <w:color w:val="auto"/>
                      <w:szCs w:val="21"/>
                    </w:rPr>
                    <w:t>名称</w:t>
                  </w:r>
                </w:p>
              </w:tc>
              <w:tc>
                <w:tcPr>
                  <w:tcW w:w="1459" w:type="pct"/>
                  <w:gridSpan w:val="2"/>
                  <w:noWrap w:val="0"/>
                  <w:vAlign w:val="center"/>
                </w:tcPr>
                <w:p w14:paraId="7663E319">
                  <w:pPr>
                    <w:tabs>
                      <w:tab w:val="left" w:pos="5698"/>
                    </w:tabs>
                    <w:jc w:val="center"/>
                    <w:rPr>
                      <w:color w:val="auto"/>
                      <w:szCs w:val="21"/>
                    </w:rPr>
                  </w:pPr>
                  <w:r>
                    <w:rPr>
                      <w:color w:val="auto"/>
                      <w:szCs w:val="21"/>
                    </w:rPr>
                    <w:t>坐标</w:t>
                  </w:r>
                </w:p>
              </w:tc>
              <w:tc>
                <w:tcPr>
                  <w:tcW w:w="380" w:type="pct"/>
                  <w:vMerge w:val="restart"/>
                  <w:noWrap w:val="0"/>
                  <w:vAlign w:val="center"/>
                </w:tcPr>
                <w:p w14:paraId="3245FFC9">
                  <w:pPr>
                    <w:tabs>
                      <w:tab w:val="left" w:pos="5698"/>
                    </w:tabs>
                    <w:jc w:val="center"/>
                    <w:rPr>
                      <w:color w:val="auto"/>
                      <w:szCs w:val="21"/>
                    </w:rPr>
                  </w:pPr>
                  <w:r>
                    <w:rPr>
                      <w:color w:val="auto"/>
                      <w:szCs w:val="21"/>
                    </w:rPr>
                    <w:t>保护</w:t>
                  </w:r>
                </w:p>
                <w:p w14:paraId="59A63781">
                  <w:pPr>
                    <w:tabs>
                      <w:tab w:val="left" w:pos="5698"/>
                    </w:tabs>
                    <w:jc w:val="center"/>
                    <w:rPr>
                      <w:color w:val="auto"/>
                      <w:szCs w:val="21"/>
                    </w:rPr>
                  </w:pPr>
                  <w:r>
                    <w:rPr>
                      <w:color w:val="auto"/>
                      <w:szCs w:val="21"/>
                    </w:rPr>
                    <w:t>对象</w:t>
                  </w:r>
                </w:p>
              </w:tc>
              <w:tc>
                <w:tcPr>
                  <w:tcW w:w="596" w:type="pct"/>
                  <w:vMerge w:val="restart"/>
                  <w:noWrap w:val="0"/>
                  <w:vAlign w:val="center"/>
                </w:tcPr>
                <w:p w14:paraId="7AEEA1CF">
                  <w:pPr>
                    <w:tabs>
                      <w:tab w:val="left" w:pos="5698"/>
                    </w:tabs>
                    <w:jc w:val="center"/>
                    <w:rPr>
                      <w:color w:val="auto"/>
                      <w:szCs w:val="21"/>
                    </w:rPr>
                  </w:pPr>
                  <w:r>
                    <w:rPr>
                      <w:color w:val="auto"/>
                      <w:szCs w:val="21"/>
                    </w:rPr>
                    <w:t>保护内容（人）</w:t>
                  </w:r>
                </w:p>
              </w:tc>
              <w:tc>
                <w:tcPr>
                  <w:tcW w:w="985" w:type="pct"/>
                  <w:vMerge w:val="restart"/>
                  <w:noWrap w:val="0"/>
                  <w:vAlign w:val="center"/>
                </w:tcPr>
                <w:p w14:paraId="17B713F6">
                  <w:pPr>
                    <w:tabs>
                      <w:tab w:val="left" w:pos="5698"/>
                    </w:tabs>
                    <w:jc w:val="center"/>
                    <w:rPr>
                      <w:color w:val="auto"/>
                      <w:szCs w:val="21"/>
                    </w:rPr>
                  </w:pPr>
                  <w:r>
                    <w:rPr>
                      <w:color w:val="auto"/>
                      <w:szCs w:val="21"/>
                    </w:rPr>
                    <w:t>环境功能区</w:t>
                  </w:r>
                </w:p>
              </w:tc>
              <w:tc>
                <w:tcPr>
                  <w:tcW w:w="417" w:type="pct"/>
                  <w:vMerge w:val="restart"/>
                  <w:noWrap w:val="0"/>
                  <w:vAlign w:val="center"/>
                </w:tcPr>
                <w:p w14:paraId="0E70F734">
                  <w:pPr>
                    <w:tabs>
                      <w:tab w:val="left" w:pos="5698"/>
                    </w:tabs>
                    <w:jc w:val="center"/>
                    <w:rPr>
                      <w:color w:val="auto"/>
                      <w:szCs w:val="21"/>
                    </w:rPr>
                  </w:pPr>
                  <w:r>
                    <w:rPr>
                      <w:color w:val="auto"/>
                      <w:szCs w:val="21"/>
                    </w:rPr>
                    <w:t>相对厂址方位</w:t>
                  </w:r>
                </w:p>
              </w:tc>
              <w:tc>
                <w:tcPr>
                  <w:tcW w:w="431" w:type="pct"/>
                  <w:vMerge w:val="restart"/>
                  <w:noWrap w:val="0"/>
                  <w:vAlign w:val="center"/>
                </w:tcPr>
                <w:p w14:paraId="55F946EA">
                  <w:pPr>
                    <w:tabs>
                      <w:tab w:val="left" w:pos="5698"/>
                    </w:tabs>
                    <w:jc w:val="center"/>
                    <w:rPr>
                      <w:color w:val="auto"/>
                      <w:szCs w:val="21"/>
                    </w:rPr>
                  </w:pPr>
                  <w:r>
                    <w:rPr>
                      <w:color w:val="auto"/>
                      <w:szCs w:val="21"/>
                    </w:rPr>
                    <w:t>相对厂界</w:t>
                  </w:r>
                </w:p>
                <w:p w14:paraId="6F011700">
                  <w:pPr>
                    <w:tabs>
                      <w:tab w:val="left" w:pos="5698"/>
                    </w:tabs>
                    <w:jc w:val="center"/>
                    <w:rPr>
                      <w:color w:val="auto"/>
                      <w:szCs w:val="21"/>
                    </w:rPr>
                  </w:pPr>
                  <w:r>
                    <w:rPr>
                      <w:color w:val="auto"/>
                      <w:szCs w:val="21"/>
                    </w:rPr>
                    <w:t>距离/m</w:t>
                  </w:r>
                </w:p>
              </w:tc>
            </w:tr>
            <w:tr w14:paraId="10A299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30" w:type="pct"/>
                  <w:vMerge w:val="continue"/>
                  <w:noWrap w:val="0"/>
                  <w:vAlign w:val="center"/>
                </w:tcPr>
                <w:p w14:paraId="4798819A">
                  <w:pPr>
                    <w:tabs>
                      <w:tab w:val="left" w:pos="5698"/>
                    </w:tabs>
                    <w:jc w:val="center"/>
                    <w:rPr>
                      <w:color w:val="auto"/>
                      <w:szCs w:val="21"/>
                    </w:rPr>
                  </w:pPr>
                </w:p>
              </w:tc>
              <w:tc>
                <w:tcPr>
                  <w:tcW w:w="726" w:type="pct"/>
                  <w:noWrap w:val="0"/>
                  <w:vAlign w:val="center"/>
                </w:tcPr>
                <w:p w14:paraId="43936C39">
                  <w:pPr>
                    <w:tabs>
                      <w:tab w:val="left" w:pos="5698"/>
                    </w:tabs>
                    <w:jc w:val="center"/>
                    <w:rPr>
                      <w:color w:val="auto"/>
                      <w:szCs w:val="21"/>
                    </w:rPr>
                  </w:pPr>
                  <w:r>
                    <w:rPr>
                      <w:color w:val="auto"/>
                      <w:szCs w:val="21"/>
                    </w:rPr>
                    <w:t>经度/°</w:t>
                  </w:r>
                </w:p>
              </w:tc>
              <w:tc>
                <w:tcPr>
                  <w:tcW w:w="733" w:type="pct"/>
                  <w:noWrap w:val="0"/>
                  <w:vAlign w:val="center"/>
                </w:tcPr>
                <w:p w14:paraId="50DA75B6">
                  <w:pPr>
                    <w:tabs>
                      <w:tab w:val="left" w:pos="5698"/>
                    </w:tabs>
                    <w:jc w:val="center"/>
                    <w:rPr>
                      <w:color w:val="auto"/>
                      <w:szCs w:val="21"/>
                    </w:rPr>
                  </w:pPr>
                  <w:r>
                    <w:rPr>
                      <w:color w:val="auto"/>
                      <w:szCs w:val="21"/>
                    </w:rPr>
                    <w:t>纬度/°</w:t>
                  </w:r>
                </w:p>
              </w:tc>
              <w:tc>
                <w:tcPr>
                  <w:tcW w:w="380" w:type="pct"/>
                  <w:vMerge w:val="continue"/>
                  <w:noWrap w:val="0"/>
                  <w:vAlign w:val="center"/>
                </w:tcPr>
                <w:p w14:paraId="63C497F3">
                  <w:pPr>
                    <w:tabs>
                      <w:tab w:val="left" w:pos="5698"/>
                    </w:tabs>
                    <w:jc w:val="center"/>
                    <w:rPr>
                      <w:color w:val="auto"/>
                      <w:szCs w:val="21"/>
                    </w:rPr>
                  </w:pPr>
                </w:p>
              </w:tc>
              <w:tc>
                <w:tcPr>
                  <w:tcW w:w="596" w:type="pct"/>
                  <w:vMerge w:val="continue"/>
                  <w:noWrap w:val="0"/>
                  <w:vAlign w:val="center"/>
                </w:tcPr>
                <w:p w14:paraId="6AC66083">
                  <w:pPr>
                    <w:tabs>
                      <w:tab w:val="left" w:pos="5698"/>
                    </w:tabs>
                    <w:jc w:val="center"/>
                    <w:rPr>
                      <w:color w:val="auto"/>
                      <w:szCs w:val="21"/>
                    </w:rPr>
                  </w:pPr>
                </w:p>
              </w:tc>
              <w:tc>
                <w:tcPr>
                  <w:tcW w:w="985" w:type="pct"/>
                  <w:vMerge w:val="continue"/>
                  <w:noWrap w:val="0"/>
                  <w:vAlign w:val="center"/>
                </w:tcPr>
                <w:p w14:paraId="19E6E0B9">
                  <w:pPr>
                    <w:tabs>
                      <w:tab w:val="left" w:pos="5698"/>
                    </w:tabs>
                    <w:jc w:val="center"/>
                    <w:rPr>
                      <w:color w:val="auto"/>
                      <w:szCs w:val="21"/>
                    </w:rPr>
                  </w:pPr>
                </w:p>
              </w:tc>
              <w:tc>
                <w:tcPr>
                  <w:tcW w:w="417" w:type="pct"/>
                  <w:vMerge w:val="continue"/>
                  <w:noWrap w:val="0"/>
                  <w:vAlign w:val="center"/>
                </w:tcPr>
                <w:p w14:paraId="2E69B56F">
                  <w:pPr>
                    <w:tabs>
                      <w:tab w:val="left" w:pos="5698"/>
                    </w:tabs>
                    <w:jc w:val="center"/>
                    <w:rPr>
                      <w:color w:val="auto"/>
                      <w:szCs w:val="21"/>
                    </w:rPr>
                  </w:pPr>
                </w:p>
              </w:tc>
              <w:tc>
                <w:tcPr>
                  <w:tcW w:w="431" w:type="pct"/>
                  <w:vMerge w:val="continue"/>
                  <w:noWrap w:val="0"/>
                  <w:vAlign w:val="center"/>
                </w:tcPr>
                <w:p w14:paraId="681F91D2">
                  <w:pPr>
                    <w:tabs>
                      <w:tab w:val="left" w:pos="5698"/>
                    </w:tabs>
                    <w:jc w:val="center"/>
                    <w:rPr>
                      <w:color w:val="auto"/>
                      <w:szCs w:val="21"/>
                    </w:rPr>
                  </w:pPr>
                </w:p>
              </w:tc>
            </w:tr>
            <w:tr w14:paraId="0FA877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30" w:type="pct"/>
                  <w:noWrap w:val="0"/>
                  <w:vAlign w:val="center"/>
                </w:tcPr>
                <w:p w14:paraId="1440BEAF">
                  <w:pPr>
                    <w:jc w:val="center"/>
                    <w:rPr>
                      <w:rFonts w:hint="default" w:eastAsia="宋体"/>
                      <w:color w:val="auto"/>
                      <w:szCs w:val="21"/>
                      <w:lang w:val="en-US" w:eastAsia="zh-CN"/>
                    </w:rPr>
                  </w:pPr>
                  <w:r>
                    <w:rPr>
                      <w:rFonts w:hint="eastAsia"/>
                      <w:color w:val="auto"/>
                      <w:szCs w:val="21"/>
                      <w:lang w:val="en-US" w:eastAsia="zh-CN"/>
                    </w:rPr>
                    <w:t>宋庄</w:t>
                  </w:r>
                </w:p>
              </w:tc>
              <w:tc>
                <w:tcPr>
                  <w:tcW w:w="726" w:type="pct"/>
                  <w:noWrap w:val="0"/>
                  <w:vAlign w:val="center"/>
                </w:tcPr>
                <w:p w14:paraId="4C3711B1">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jc w:val="center"/>
                    <w:textAlignment w:val="auto"/>
                    <w:rPr>
                      <w:color w:val="auto"/>
                      <w:szCs w:val="21"/>
                    </w:rPr>
                  </w:pPr>
                  <w:r>
                    <w:rPr>
                      <w:rFonts w:hint="default" w:ascii="Times New Roman" w:hAnsi="Times New Roman" w:eastAsia="宋体" w:cs="Times New Roman"/>
                      <w:color w:val="auto"/>
                    </w:rPr>
                    <w:t>119.564940</w:t>
                  </w:r>
                </w:p>
              </w:tc>
              <w:tc>
                <w:tcPr>
                  <w:tcW w:w="733" w:type="pct"/>
                  <w:noWrap w:val="0"/>
                  <w:vAlign w:val="center"/>
                </w:tcPr>
                <w:p w14:paraId="7246087E">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jc w:val="center"/>
                    <w:textAlignment w:val="auto"/>
                    <w:rPr>
                      <w:color w:val="auto"/>
                      <w:szCs w:val="21"/>
                    </w:rPr>
                  </w:pPr>
                  <w:r>
                    <w:rPr>
                      <w:rFonts w:hint="default" w:ascii="Times New Roman" w:hAnsi="Times New Roman" w:eastAsia="宋体" w:cs="Times New Roman"/>
                      <w:color w:val="auto"/>
                    </w:rPr>
                    <w:t>31.764342</w:t>
                  </w:r>
                </w:p>
              </w:tc>
              <w:tc>
                <w:tcPr>
                  <w:tcW w:w="380" w:type="pct"/>
                  <w:vMerge w:val="restart"/>
                  <w:noWrap w:val="0"/>
                  <w:vAlign w:val="center"/>
                </w:tcPr>
                <w:p w14:paraId="6EC624DF">
                  <w:pPr>
                    <w:tabs>
                      <w:tab w:val="left" w:pos="5698"/>
                    </w:tabs>
                    <w:jc w:val="center"/>
                    <w:rPr>
                      <w:color w:val="auto"/>
                      <w:szCs w:val="21"/>
                    </w:rPr>
                  </w:pPr>
                  <w:r>
                    <w:rPr>
                      <w:color w:val="auto"/>
                      <w:szCs w:val="21"/>
                    </w:rPr>
                    <w:t>居</w:t>
                  </w:r>
                  <w:r>
                    <w:rPr>
                      <w:rFonts w:hint="eastAsia"/>
                      <w:color w:val="auto"/>
                      <w:szCs w:val="21"/>
                      <w:lang w:val="en-US" w:eastAsia="zh-CN"/>
                    </w:rPr>
                    <w:t>民</w:t>
                  </w:r>
                  <w:r>
                    <w:rPr>
                      <w:color w:val="auto"/>
                      <w:szCs w:val="21"/>
                    </w:rPr>
                    <w:t>区</w:t>
                  </w:r>
                </w:p>
              </w:tc>
              <w:tc>
                <w:tcPr>
                  <w:tcW w:w="596" w:type="pct"/>
                  <w:noWrap w:val="0"/>
                  <w:vAlign w:val="center"/>
                </w:tcPr>
                <w:p w14:paraId="4D75149B">
                  <w:pPr>
                    <w:jc w:val="center"/>
                    <w:rPr>
                      <w:rFonts w:hint="default" w:eastAsia="宋体"/>
                      <w:color w:val="auto"/>
                      <w:szCs w:val="21"/>
                      <w:lang w:val="en-US" w:eastAsia="zh-CN"/>
                    </w:rPr>
                  </w:pPr>
                  <w:r>
                    <w:rPr>
                      <w:rFonts w:hint="eastAsia"/>
                      <w:color w:val="auto"/>
                      <w:szCs w:val="21"/>
                      <w:lang w:val="en-US" w:eastAsia="zh-CN"/>
                    </w:rPr>
                    <w:t>390</w:t>
                  </w:r>
                </w:p>
              </w:tc>
              <w:tc>
                <w:tcPr>
                  <w:tcW w:w="985" w:type="pct"/>
                  <w:vMerge w:val="restart"/>
                  <w:noWrap w:val="0"/>
                  <w:vAlign w:val="center"/>
                </w:tcPr>
                <w:p w14:paraId="16285F82">
                  <w:pPr>
                    <w:tabs>
                      <w:tab w:val="left" w:pos="5698"/>
                    </w:tabs>
                    <w:jc w:val="center"/>
                    <w:rPr>
                      <w:color w:val="auto"/>
                      <w:szCs w:val="21"/>
                    </w:rPr>
                  </w:pPr>
                  <w:r>
                    <w:rPr>
                      <w:bCs/>
                      <w:color w:val="auto"/>
                      <w:szCs w:val="21"/>
                    </w:rPr>
                    <w:t>《环境空气质量标准》（</w:t>
                  </w:r>
                  <w:r>
                    <w:rPr>
                      <w:color w:val="auto"/>
                      <w:szCs w:val="21"/>
                    </w:rPr>
                    <w:t>GB3095-2012）二类标准</w:t>
                  </w:r>
                </w:p>
              </w:tc>
              <w:tc>
                <w:tcPr>
                  <w:tcW w:w="417" w:type="pct"/>
                  <w:noWrap w:val="0"/>
                  <w:vAlign w:val="center"/>
                </w:tcPr>
                <w:p w14:paraId="2C64A2DE">
                  <w:pPr>
                    <w:jc w:val="center"/>
                    <w:rPr>
                      <w:rFonts w:hint="default" w:eastAsia="宋体"/>
                      <w:color w:val="auto"/>
                      <w:szCs w:val="21"/>
                      <w:lang w:val="en-US" w:eastAsia="zh-CN"/>
                    </w:rPr>
                  </w:pPr>
                  <w:r>
                    <w:rPr>
                      <w:rFonts w:hint="eastAsia"/>
                      <w:color w:val="auto"/>
                      <w:szCs w:val="21"/>
                      <w:lang w:val="en-US" w:eastAsia="zh-CN"/>
                    </w:rPr>
                    <w:t>ENE</w:t>
                  </w:r>
                </w:p>
              </w:tc>
              <w:tc>
                <w:tcPr>
                  <w:tcW w:w="431" w:type="pct"/>
                  <w:noWrap w:val="0"/>
                  <w:vAlign w:val="center"/>
                </w:tcPr>
                <w:p w14:paraId="3FDD9206">
                  <w:pPr>
                    <w:jc w:val="center"/>
                    <w:rPr>
                      <w:rFonts w:hint="default"/>
                      <w:color w:val="auto"/>
                      <w:szCs w:val="21"/>
                      <w:lang w:val="en-US" w:eastAsia="zh-CN"/>
                    </w:rPr>
                  </w:pPr>
                  <w:r>
                    <w:rPr>
                      <w:rFonts w:hint="eastAsia"/>
                      <w:color w:val="auto"/>
                      <w:szCs w:val="21"/>
                      <w:lang w:val="en-US" w:eastAsia="zh-CN"/>
                    </w:rPr>
                    <w:t>340</w:t>
                  </w:r>
                </w:p>
              </w:tc>
            </w:tr>
            <w:tr w14:paraId="2D2C12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30" w:type="pct"/>
                  <w:noWrap w:val="0"/>
                  <w:vAlign w:val="center"/>
                </w:tcPr>
                <w:p w14:paraId="301A9863">
                  <w:pPr>
                    <w:jc w:val="center"/>
                    <w:rPr>
                      <w:color w:val="auto"/>
                      <w:szCs w:val="21"/>
                    </w:rPr>
                  </w:pPr>
                  <w:r>
                    <w:rPr>
                      <w:color w:val="auto"/>
                      <w:szCs w:val="21"/>
                    </w:rPr>
                    <w:t>邮堂庙</w:t>
                  </w:r>
                </w:p>
              </w:tc>
              <w:tc>
                <w:tcPr>
                  <w:tcW w:w="726" w:type="pct"/>
                  <w:noWrap w:val="0"/>
                  <w:vAlign w:val="center"/>
                </w:tcPr>
                <w:p w14:paraId="351A6C71">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119.557284</w:t>
                  </w:r>
                </w:p>
              </w:tc>
              <w:tc>
                <w:tcPr>
                  <w:tcW w:w="733" w:type="pct"/>
                  <w:noWrap w:val="0"/>
                  <w:vAlign w:val="center"/>
                </w:tcPr>
                <w:p w14:paraId="1679359B">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31.761377</w:t>
                  </w:r>
                </w:p>
              </w:tc>
              <w:tc>
                <w:tcPr>
                  <w:tcW w:w="380" w:type="pct"/>
                  <w:vMerge w:val="continue"/>
                  <w:noWrap w:val="0"/>
                  <w:vAlign w:val="center"/>
                </w:tcPr>
                <w:p w14:paraId="1A8B800C">
                  <w:pPr>
                    <w:tabs>
                      <w:tab w:val="left" w:pos="5698"/>
                    </w:tabs>
                    <w:jc w:val="center"/>
                    <w:rPr>
                      <w:color w:val="auto"/>
                      <w:szCs w:val="21"/>
                    </w:rPr>
                  </w:pPr>
                </w:p>
              </w:tc>
              <w:tc>
                <w:tcPr>
                  <w:tcW w:w="596" w:type="pct"/>
                  <w:noWrap w:val="0"/>
                  <w:vAlign w:val="center"/>
                </w:tcPr>
                <w:p w14:paraId="23E5062A">
                  <w:pPr>
                    <w:jc w:val="center"/>
                    <w:rPr>
                      <w:color w:val="auto"/>
                      <w:szCs w:val="21"/>
                    </w:rPr>
                  </w:pPr>
                  <w:r>
                    <w:rPr>
                      <w:rFonts w:hint="eastAsia"/>
                      <w:color w:val="auto"/>
                      <w:szCs w:val="21"/>
                    </w:rPr>
                    <w:t>99</w:t>
                  </w:r>
                </w:p>
              </w:tc>
              <w:tc>
                <w:tcPr>
                  <w:tcW w:w="985" w:type="pct"/>
                  <w:vMerge w:val="continue"/>
                  <w:noWrap w:val="0"/>
                  <w:vAlign w:val="center"/>
                </w:tcPr>
                <w:p w14:paraId="5708561C">
                  <w:pPr>
                    <w:tabs>
                      <w:tab w:val="left" w:pos="5698"/>
                    </w:tabs>
                    <w:jc w:val="center"/>
                    <w:rPr>
                      <w:color w:val="auto"/>
                      <w:szCs w:val="21"/>
                    </w:rPr>
                  </w:pPr>
                </w:p>
              </w:tc>
              <w:tc>
                <w:tcPr>
                  <w:tcW w:w="417" w:type="pct"/>
                  <w:noWrap w:val="0"/>
                  <w:vAlign w:val="center"/>
                </w:tcPr>
                <w:p w14:paraId="038BE5A9">
                  <w:pPr>
                    <w:jc w:val="center"/>
                    <w:rPr>
                      <w:color w:val="auto"/>
                      <w:szCs w:val="21"/>
                    </w:rPr>
                  </w:pPr>
                  <w:r>
                    <w:rPr>
                      <w:color w:val="auto"/>
                      <w:szCs w:val="21"/>
                    </w:rPr>
                    <w:t>W</w:t>
                  </w:r>
                </w:p>
              </w:tc>
              <w:tc>
                <w:tcPr>
                  <w:tcW w:w="431" w:type="pct"/>
                  <w:noWrap w:val="0"/>
                  <w:vAlign w:val="center"/>
                </w:tcPr>
                <w:p w14:paraId="07E4C106">
                  <w:pPr>
                    <w:jc w:val="center"/>
                    <w:rPr>
                      <w:rFonts w:hint="default" w:eastAsia="宋体"/>
                      <w:color w:val="auto"/>
                      <w:szCs w:val="21"/>
                      <w:lang w:val="en-US" w:eastAsia="zh-CN"/>
                    </w:rPr>
                  </w:pPr>
                  <w:r>
                    <w:rPr>
                      <w:rFonts w:hint="eastAsia"/>
                      <w:color w:val="auto"/>
                      <w:szCs w:val="21"/>
                      <w:lang w:val="en-US" w:eastAsia="zh-CN"/>
                    </w:rPr>
                    <w:t>180</w:t>
                  </w:r>
                </w:p>
              </w:tc>
            </w:tr>
            <w:tr w14:paraId="1FE431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30" w:type="pct"/>
                  <w:noWrap w:val="0"/>
                  <w:vAlign w:val="center"/>
                </w:tcPr>
                <w:p w14:paraId="6D8316A4">
                  <w:pPr>
                    <w:jc w:val="center"/>
                    <w:rPr>
                      <w:rFonts w:hint="eastAsia"/>
                      <w:color w:val="auto"/>
                      <w:szCs w:val="21"/>
                    </w:rPr>
                  </w:pPr>
                  <w:r>
                    <w:rPr>
                      <w:color w:val="auto"/>
                      <w:szCs w:val="21"/>
                    </w:rPr>
                    <w:t>邮堂庙</w:t>
                  </w:r>
                  <w:r>
                    <w:rPr>
                      <w:rFonts w:hint="eastAsia"/>
                      <w:color w:val="auto"/>
                      <w:szCs w:val="21"/>
                    </w:rPr>
                    <w:t>新苑</w:t>
                  </w:r>
                </w:p>
              </w:tc>
              <w:tc>
                <w:tcPr>
                  <w:tcW w:w="726" w:type="pct"/>
                  <w:noWrap w:val="0"/>
                  <w:vAlign w:val="center"/>
                </w:tcPr>
                <w:p w14:paraId="64D412EA">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119.557171</w:t>
                  </w:r>
                </w:p>
              </w:tc>
              <w:tc>
                <w:tcPr>
                  <w:tcW w:w="733" w:type="pct"/>
                  <w:noWrap w:val="0"/>
                  <w:vAlign w:val="center"/>
                </w:tcPr>
                <w:p w14:paraId="43B33AF3">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31.761391</w:t>
                  </w:r>
                </w:p>
              </w:tc>
              <w:tc>
                <w:tcPr>
                  <w:tcW w:w="380" w:type="pct"/>
                  <w:vMerge w:val="continue"/>
                  <w:noWrap w:val="0"/>
                  <w:vAlign w:val="center"/>
                </w:tcPr>
                <w:p w14:paraId="5BD73B51">
                  <w:pPr>
                    <w:tabs>
                      <w:tab w:val="left" w:pos="5698"/>
                    </w:tabs>
                    <w:jc w:val="center"/>
                    <w:rPr>
                      <w:color w:val="auto"/>
                      <w:szCs w:val="21"/>
                    </w:rPr>
                  </w:pPr>
                </w:p>
              </w:tc>
              <w:tc>
                <w:tcPr>
                  <w:tcW w:w="596" w:type="pct"/>
                  <w:noWrap w:val="0"/>
                  <w:vAlign w:val="center"/>
                </w:tcPr>
                <w:p w14:paraId="29C541DA">
                  <w:pPr>
                    <w:jc w:val="center"/>
                    <w:rPr>
                      <w:color w:val="auto"/>
                      <w:szCs w:val="21"/>
                    </w:rPr>
                  </w:pPr>
                  <w:r>
                    <w:rPr>
                      <w:color w:val="auto"/>
                      <w:szCs w:val="21"/>
                    </w:rPr>
                    <w:t>972</w:t>
                  </w:r>
                </w:p>
              </w:tc>
              <w:tc>
                <w:tcPr>
                  <w:tcW w:w="985" w:type="pct"/>
                  <w:vMerge w:val="continue"/>
                  <w:noWrap w:val="0"/>
                  <w:vAlign w:val="center"/>
                </w:tcPr>
                <w:p w14:paraId="4FB80076">
                  <w:pPr>
                    <w:tabs>
                      <w:tab w:val="left" w:pos="5698"/>
                    </w:tabs>
                    <w:jc w:val="center"/>
                    <w:rPr>
                      <w:bCs/>
                      <w:color w:val="auto"/>
                      <w:szCs w:val="21"/>
                    </w:rPr>
                  </w:pPr>
                </w:p>
              </w:tc>
              <w:tc>
                <w:tcPr>
                  <w:tcW w:w="417" w:type="pct"/>
                  <w:noWrap w:val="0"/>
                  <w:vAlign w:val="center"/>
                </w:tcPr>
                <w:p w14:paraId="06CF9147">
                  <w:pPr>
                    <w:jc w:val="center"/>
                    <w:rPr>
                      <w:rFonts w:hint="default" w:eastAsia="宋体"/>
                      <w:color w:val="auto"/>
                      <w:szCs w:val="21"/>
                      <w:lang w:val="en-US" w:eastAsia="zh-CN"/>
                    </w:rPr>
                  </w:pPr>
                  <w:r>
                    <w:rPr>
                      <w:color w:val="auto"/>
                      <w:szCs w:val="21"/>
                    </w:rPr>
                    <w:t>W</w:t>
                  </w:r>
                  <w:r>
                    <w:rPr>
                      <w:rFonts w:hint="eastAsia"/>
                      <w:color w:val="auto"/>
                      <w:szCs w:val="21"/>
                      <w:lang w:val="en-US" w:eastAsia="zh-CN"/>
                    </w:rPr>
                    <w:t>SW</w:t>
                  </w:r>
                </w:p>
              </w:tc>
              <w:tc>
                <w:tcPr>
                  <w:tcW w:w="431" w:type="pct"/>
                  <w:noWrap w:val="0"/>
                  <w:vAlign w:val="center"/>
                </w:tcPr>
                <w:p w14:paraId="5A594519">
                  <w:pPr>
                    <w:jc w:val="center"/>
                    <w:rPr>
                      <w:rFonts w:hint="default" w:eastAsia="宋体"/>
                      <w:color w:val="auto"/>
                      <w:szCs w:val="21"/>
                      <w:lang w:val="en-US" w:eastAsia="zh-CN"/>
                    </w:rPr>
                  </w:pPr>
                  <w:r>
                    <w:rPr>
                      <w:rFonts w:hint="eastAsia"/>
                      <w:color w:val="auto"/>
                      <w:szCs w:val="21"/>
                      <w:lang w:val="en-US" w:eastAsia="zh-CN"/>
                    </w:rPr>
                    <w:t>250</w:t>
                  </w:r>
                </w:p>
              </w:tc>
            </w:tr>
            <w:tr w14:paraId="6DA1B7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30" w:type="pct"/>
                  <w:noWrap w:val="0"/>
                  <w:vAlign w:val="center"/>
                </w:tcPr>
                <w:p w14:paraId="70A615B9">
                  <w:pPr>
                    <w:jc w:val="center"/>
                    <w:rPr>
                      <w:rFonts w:hint="default" w:eastAsia="宋体"/>
                      <w:color w:val="auto"/>
                      <w:szCs w:val="21"/>
                      <w:lang w:val="en-US" w:eastAsia="zh-CN"/>
                    </w:rPr>
                  </w:pPr>
                  <w:r>
                    <w:rPr>
                      <w:rFonts w:hint="eastAsia"/>
                      <w:color w:val="auto"/>
                      <w:szCs w:val="21"/>
                      <w:lang w:val="en-US" w:eastAsia="zh-CN"/>
                    </w:rPr>
                    <w:t>元巷小区</w:t>
                  </w:r>
                </w:p>
              </w:tc>
              <w:tc>
                <w:tcPr>
                  <w:tcW w:w="726" w:type="pct"/>
                  <w:noWrap w:val="0"/>
                  <w:vAlign w:val="center"/>
                </w:tcPr>
                <w:p w14:paraId="605806AE">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119.554686</w:t>
                  </w:r>
                </w:p>
              </w:tc>
              <w:tc>
                <w:tcPr>
                  <w:tcW w:w="733" w:type="pct"/>
                  <w:noWrap w:val="0"/>
                  <w:vAlign w:val="center"/>
                </w:tcPr>
                <w:p w14:paraId="2C5719C3">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31.763439 </w:t>
                  </w:r>
                </w:p>
              </w:tc>
              <w:tc>
                <w:tcPr>
                  <w:tcW w:w="380" w:type="pct"/>
                  <w:vMerge w:val="continue"/>
                  <w:noWrap w:val="0"/>
                  <w:vAlign w:val="center"/>
                </w:tcPr>
                <w:p w14:paraId="13AEE183">
                  <w:pPr>
                    <w:tabs>
                      <w:tab w:val="left" w:pos="5698"/>
                    </w:tabs>
                    <w:jc w:val="center"/>
                    <w:rPr>
                      <w:color w:val="auto"/>
                      <w:szCs w:val="21"/>
                    </w:rPr>
                  </w:pPr>
                </w:p>
              </w:tc>
              <w:tc>
                <w:tcPr>
                  <w:tcW w:w="596" w:type="pct"/>
                  <w:noWrap w:val="0"/>
                  <w:vAlign w:val="center"/>
                </w:tcPr>
                <w:p w14:paraId="178AF793">
                  <w:pPr>
                    <w:jc w:val="center"/>
                    <w:rPr>
                      <w:rFonts w:hint="default" w:eastAsia="宋体"/>
                      <w:color w:val="auto"/>
                      <w:szCs w:val="21"/>
                      <w:lang w:val="en-US" w:eastAsia="zh-CN"/>
                    </w:rPr>
                  </w:pPr>
                  <w:r>
                    <w:rPr>
                      <w:rFonts w:hint="eastAsia"/>
                      <w:color w:val="auto"/>
                      <w:szCs w:val="21"/>
                      <w:lang w:val="en-US" w:eastAsia="zh-CN"/>
                    </w:rPr>
                    <w:t>3000</w:t>
                  </w:r>
                </w:p>
              </w:tc>
              <w:tc>
                <w:tcPr>
                  <w:tcW w:w="985" w:type="pct"/>
                  <w:vMerge w:val="continue"/>
                  <w:noWrap w:val="0"/>
                  <w:vAlign w:val="center"/>
                </w:tcPr>
                <w:p w14:paraId="426DCA84">
                  <w:pPr>
                    <w:tabs>
                      <w:tab w:val="left" w:pos="5698"/>
                    </w:tabs>
                    <w:jc w:val="center"/>
                    <w:rPr>
                      <w:bCs/>
                      <w:color w:val="auto"/>
                      <w:szCs w:val="21"/>
                    </w:rPr>
                  </w:pPr>
                </w:p>
              </w:tc>
              <w:tc>
                <w:tcPr>
                  <w:tcW w:w="417" w:type="pct"/>
                  <w:noWrap w:val="0"/>
                  <w:vAlign w:val="center"/>
                </w:tcPr>
                <w:p w14:paraId="4D7A6572">
                  <w:pPr>
                    <w:jc w:val="center"/>
                    <w:rPr>
                      <w:color w:val="auto"/>
                      <w:szCs w:val="21"/>
                    </w:rPr>
                  </w:pPr>
                  <w:r>
                    <w:rPr>
                      <w:rFonts w:hint="eastAsia"/>
                      <w:color w:val="auto"/>
                      <w:szCs w:val="21"/>
                      <w:lang w:val="en-US" w:eastAsia="zh-CN"/>
                    </w:rPr>
                    <w:t>W</w:t>
                  </w:r>
                </w:p>
              </w:tc>
              <w:tc>
                <w:tcPr>
                  <w:tcW w:w="431" w:type="pct"/>
                  <w:noWrap w:val="0"/>
                  <w:vAlign w:val="center"/>
                </w:tcPr>
                <w:p w14:paraId="0DBD72CC">
                  <w:pPr>
                    <w:jc w:val="center"/>
                    <w:rPr>
                      <w:rFonts w:hint="default"/>
                      <w:color w:val="auto"/>
                      <w:szCs w:val="21"/>
                      <w:lang w:val="en-US" w:eastAsia="zh-CN"/>
                    </w:rPr>
                  </w:pPr>
                  <w:r>
                    <w:rPr>
                      <w:rFonts w:hint="eastAsia"/>
                      <w:color w:val="auto"/>
                      <w:szCs w:val="21"/>
                      <w:lang w:val="en-US" w:eastAsia="zh-CN"/>
                    </w:rPr>
                    <w:t>460</w:t>
                  </w:r>
                </w:p>
              </w:tc>
            </w:tr>
            <w:tr w14:paraId="6179DC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30" w:type="pct"/>
                  <w:noWrap w:val="0"/>
                  <w:vAlign w:val="center"/>
                </w:tcPr>
                <w:p w14:paraId="705D13BF">
                  <w:pPr>
                    <w:jc w:val="center"/>
                    <w:rPr>
                      <w:color w:val="auto"/>
                      <w:szCs w:val="21"/>
                    </w:rPr>
                  </w:pPr>
                  <w:r>
                    <w:rPr>
                      <w:color w:val="auto"/>
                      <w:szCs w:val="21"/>
                    </w:rPr>
                    <w:t>逸仙颐养院</w:t>
                  </w:r>
                </w:p>
              </w:tc>
              <w:tc>
                <w:tcPr>
                  <w:tcW w:w="726" w:type="pct"/>
                  <w:noWrap w:val="0"/>
                  <w:vAlign w:val="center"/>
                </w:tcPr>
                <w:p w14:paraId="1249FA05">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119.557397</w:t>
                  </w:r>
                </w:p>
              </w:tc>
              <w:tc>
                <w:tcPr>
                  <w:tcW w:w="733" w:type="pct"/>
                  <w:noWrap w:val="0"/>
                  <w:vAlign w:val="center"/>
                </w:tcPr>
                <w:p w14:paraId="002E520F">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31.764242</w:t>
                  </w:r>
                </w:p>
              </w:tc>
              <w:tc>
                <w:tcPr>
                  <w:tcW w:w="380" w:type="pct"/>
                  <w:noWrap w:val="0"/>
                  <w:vAlign w:val="center"/>
                </w:tcPr>
                <w:p w14:paraId="6BCBA541">
                  <w:pPr>
                    <w:tabs>
                      <w:tab w:val="left" w:pos="5698"/>
                    </w:tabs>
                    <w:jc w:val="center"/>
                    <w:rPr>
                      <w:color w:val="auto"/>
                      <w:szCs w:val="21"/>
                    </w:rPr>
                  </w:pPr>
                  <w:r>
                    <w:rPr>
                      <w:rFonts w:hint="eastAsia"/>
                      <w:color w:val="auto"/>
                      <w:szCs w:val="21"/>
                    </w:rPr>
                    <w:t>企事业单位</w:t>
                  </w:r>
                </w:p>
              </w:tc>
              <w:tc>
                <w:tcPr>
                  <w:tcW w:w="596" w:type="pct"/>
                  <w:noWrap w:val="0"/>
                  <w:vAlign w:val="center"/>
                </w:tcPr>
                <w:p w14:paraId="748D8334">
                  <w:pPr>
                    <w:tabs>
                      <w:tab w:val="left" w:pos="5698"/>
                    </w:tabs>
                    <w:jc w:val="center"/>
                    <w:rPr>
                      <w:color w:val="auto"/>
                      <w:szCs w:val="21"/>
                    </w:rPr>
                  </w:pPr>
                  <w:r>
                    <w:rPr>
                      <w:rFonts w:hint="eastAsia"/>
                      <w:color w:val="auto"/>
                      <w:szCs w:val="21"/>
                      <w:lang w:val="en-US" w:eastAsia="zh-CN"/>
                    </w:rPr>
                    <w:t>6</w:t>
                  </w:r>
                  <w:r>
                    <w:rPr>
                      <w:rFonts w:hint="eastAsia"/>
                      <w:color w:val="auto"/>
                      <w:szCs w:val="21"/>
                    </w:rPr>
                    <w:t>00</w:t>
                  </w:r>
                </w:p>
              </w:tc>
              <w:tc>
                <w:tcPr>
                  <w:tcW w:w="985" w:type="pct"/>
                  <w:vMerge w:val="continue"/>
                  <w:noWrap w:val="0"/>
                  <w:vAlign w:val="center"/>
                </w:tcPr>
                <w:p w14:paraId="6CA72280">
                  <w:pPr>
                    <w:tabs>
                      <w:tab w:val="left" w:pos="5698"/>
                    </w:tabs>
                    <w:jc w:val="center"/>
                    <w:rPr>
                      <w:bCs/>
                      <w:color w:val="auto"/>
                      <w:szCs w:val="21"/>
                      <w:highlight w:val="yellow"/>
                    </w:rPr>
                  </w:pPr>
                </w:p>
              </w:tc>
              <w:tc>
                <w:tcPr>
                  <w:tcW w:w="417" w:type="pct"/>
                  <w:noWrap w:val="0"/>
                  <w:vAlign w:val="center"/>
                </w:tcPr>
                <w:p w14:paraId="67567970">
                  <w:pPr>
                    <w:jc w:val="center"/>
                    <w:rPr>
                      <w:rFonts w:hint="eastAsia"/>
                      <w:color w:val="auto"/>
                      <w:szCs w:val="21"/>
                    </w:rPr>
                  </w:pPr>
                  <w:r>
                    <w:rPr>
                      <w:color w:val="auto"/>
                      <w:szCs w:val="21"/>
                    </w:rPr>
                    <w:t>NW</w:t>
                  </w:r>
                </w:p>
              </w:tc>
              <w:tc>
                <w:tcPr>
                  <w:tcW w:w="431" w:type="pct"/>
                  <w:noWrap w:val="0"/>
                  <w:vAlign w:val="center"/>
                </w:tcPr>
                <w:p w14:paraId="4DE3974D">
                  <w:pPr>
                    <w:jc w:val="center"/>
                    <w:rPr>
                      <w:color w:val="auto"/>
                      <w:szCs w:val="21"/>
                    </w:rPr>
                  </w:pPr>
                  <w:r>
                    <w:rPr>
                      <w:rFonts w:hint="eastAsia"/>
                      <w:color w:val="auto"/>
                      <w:szCs w:val="21"/>
                      <w:lang w:val="en-US" w:eastAsia="zh-CN"/>
                    </w:rPr>
                    <w:t>27</w:t>
                  </w:r>
                  <w:r>
                    <w:rPr>
                      <w:rFonts w:hint="eastAsia"/>
                      <w:color w:val="auto"/>
                      <w:szCs w:val="21"/>
                    </w:rPr>
                    <w:t>0</w:t>
                  </w:r>
                </w:p>
              </w:tc>
            </w:tr>
            <w:tr w14:paraId="3D07B3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30" w:type="pct"/>
                  <w:noWrap w:val="0"/>
                  <w:vAlign w:val="center"/>
                </w:tcPr>
                <w:p w14:paraId="7BF581E5">
                  <w:pPr>
                    <w:jc w:val="center"/>
                    <w:rPr>
                      <w:color w:val="auto"/>
                      <w:szCs w:val="21"/>
                    </w:rPr>
                  </w:pPr>
                  <w:r>
                    <w:rPr>
                      <w:rFonts w:hint="eastAsia"/>
                      <w:color w:val="auto"/>
                      <w:szCs w:val="21"/>
                    </w:rPr>
                    <w:t>金城镇中心幼儿园</w:t>
                  </w:r>
                </w:p>
              </w:tc>
              <w:tc>
                <w:tcPr>
                  <w:tcW w:w="726" w:type="pct"/>
                  <w:noWrap w:val="0"/>
                  <w:vAlign w:val="center"/>
                </w:tcPr>
                <w:p w14:paraId="7B194B2E">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119.556046</w:t>
                  </w:r>
                </w:p>
              </w:tc>
              <w:tc>
                <w:tcPr>
                  <w:tcW w:w="733" w:type="pct"/>
                  <w:noWrap w:val="0"/>
                  <w:vAlign w:val="center"/>
                </w:tcPr>
                <w:p w14:paraId="407464E0">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31.764032 </w:t>
                  </w:r>
                </w:p>
              </w:tc>
              <w:tc>
                <w:tcPr>
                  <w:tcW w:w="380" w:type="pct"/>
                  <w:noWrap w:val="0"/>
                  <w:vAlign w:val="center"/>
                </w:tcPr>
                <w:p w14:paraId="0C1CA0EF">
                  <w:pPr>
                    <w:tabs>
                      <w:tab w:val="left" w:pos="5698"/>
                    </w:tabs>
                    <w:jc w:val="center"/>
                    <w:rPr>
                      <w:rFonts w:hint="eastAsia" w:eastAsia="宋体"/>
                      <w:color w:val="auto"/>
                      <w:szCs w:val="21"/>
                      <w:lang w:val="en-US" w:eastAsia="zh-CN"/>
                    </w:rPr>
                  </w:pPr>
                  <w:r>
                    <w:rPr>
                      <w:rFonts w:hint="eastAsia"/>
                      <w:color w:val="auto"/>
                      <w:szCs w:val="21"/>
                      <w:lang w:val="en-US" w:eastAsia="zh-CN"/>
                    </w:rPr>
                    <w:t>学校</w:t>
                  </w:r>
                </w:p>
              </w:tc>
              <w:tc>
                <w:tcPr>
                  <w:tcW w:w="596" w:type="pct"/>
                  <w:noWrap w:val="0"/>
                  <w:vAlign w:val="center"/>
                </w:tcPr>
                <w:p w14:paraId="718B96DF">
                  <w:pPr>
                    <w:tabs>
                      <w:tab w:val="left" w:pos="5698"/>
                    </w:tabs>
                    <w:jc w:val="center"/>
                    <w:rPr>
                      <w:rFonts w:hint="default" w:eastAsia="宋体"/>
                      <w:color w:val="auto"/>
                      <w:szCs w:val="21"/>
                      <w:lang w:val="en-US" w:eastAsia="zh-CN"/>
                    </w:rPr>
                  </w:pPr>
                  <w:r>
                    <w:rPr>
                      <w:rFonts w:hint="eastAsia"/>
                      <w:color w:val="auto"/>
                      <w:szCs w:val="21"/>
                      <w:lang w:val="en-US" w:eastAsia="zh-CN"/>
                    </w:rPr>
                    <w:t>300</w:t>
                  </w:r>
                </w:p>
              </w:tc>
              <w:tc>
                <w:tcPr>
                  <w:tcW w:w="985" w:type="pct"/>
                  <w:vMerge w:val="continue"/>
                  <w:noWrap w:val="0"/>
                  <w:vAlign w:val="center"/>
                </w:tcPr>
                <w:p w14:paraId="4DB32640">
                  <w:pPr>
                    <w:tabs>
                      <w:tab w:val="left" w:pos="5698"/>
                    </w:tabs>
                    <w:jc w:val="center"/>
                    <w:rPr>
                      <w:bCs/>
                      <w:color w:val="auto"/>
                      <w:szCs w:val="21"/>
                      <w:highlight w:val="yellow"/>
                    </w:rPr>
                  </w:pPr>
                </w:p>
              </w:tc>
              <w:tc>
                <w:tcPr>
                  <w:tcW w:w="417" w:type="pct"/>
                  <w:noWrap w:val="0"/>
                  <w:vAlign w:val="center"/>
                </w:tcPr>
                <w:p w14:paraId="7FD1BD34">
                  <w:pPr>
                    <w:jc w:val="center"/>
                    <w:rPr>
                      <w:color w:val="auto"/>
                      <w:szCs w:val="21"/>
                    </w:rPr>
                  </w:pPr>
                  <w:r>
                    <w:rPr>
                      <w:color w:val="auto"/>
                      <w:szCs w:val="21"/>
                    </w:rPr>
                    <w:t>WNW</w:t>
                  </w:r>
                </w:p>
              </w:tc>
              <w:tc>
                <w:tcPr>
                  <w:tcW w:w="431" w:type="pct"/>
                  <w:noWrap w:val="0"/>
                  <w:vAlign w:val="center"/>
                </w:tcPr>
                <w:p w14:paraId="33CAF0D4">
                  <w:pPr>
                    <w:jc w:val="center"/>
                    <w:rPr>
                      <w:rFonts w:hint="default"/>
                      <w:color w:val="auto"/>
                      <w:szCs w:val="21"/>
                      <w:lang w:val="en-US" w:eastAsia="zh-CN"/>
                    </w:rPr>
                  </w:pPr>
                  <w:r>
                    <w:rPr>
                      <w:rFonts w:hint="eastAsia"/>
                      <w:color w:val="auto"/>
                      <w:szCs w:val="21"/>
                      <w:lang w:val="en-US" w:eastAsia="zh-CN"/>
                    </w:rPr>
                    <w:t>370</w:t>
                  </w:r>
                </w:p>
              </w:tc>
            </w:tr>
          </w:tbl>
          <w:p w14:paraId="1114B0F4">
            <w:pPr>
              <w:adjustRightInd w:val="0"/>
              <w:snapToGrid w:val="0"/>
              <w:spacing w:line="500" w:lineRule="exact"/>
              <w:ind w:firstLine="480" w:firstLineChars="200"/>
              <w:jc w:val="both"/>
              <w:rPr>
                <w:rFonts w:hint="default" w:ascii="Times New Roman" w:hAnsi="Times New Roman" w:cs="Times New Roman"/>
                <w:bCs/>
                <w:color w:val="auto"/>
                <w:sz w:val="24"/>
              </w:rPr>
            </w:pPr>
            <w:r>
              <w:rPr>
                <w:rFonts w:hint="default" w:ascii="Times New Roman" w:hAnsi="Times New Roman" w:cs="Times New Roman"/>
                <w:bCs/>
                <w:color w:val="auto"/>
                <w:sz w:val="24"/>
              </w:rPr>
              <w:t>2、</w:t>
            </w:r>
            <w:r>
              <w:rPr>
                <w:rFonts w:hint="eastAsia" w:ascii="Times New Roman" w:hAnsi="Times New Roman" w:cs="Times New Roman"/>
                <w:bCs/>
                <w:color w:val="auto"/>
                <w:sz w:val="24"/>
                <w:lang w:eastAsia="zh-CN"/>
              </w:rPr>
              <w:t>其他</w:t>
            </w:r>
            <w:r>
              <w:rPr>
                <w:rFonts w:hint="default" w:ascii="Times New Roman" w:hAnsi="Times New Roman" w:cs="Times New Roman"/>
                <w:bCs/>
                <w:color w:val="auto"/>
                <w:sz w:val="24"/>
              </w:rPr>
              <w:t>环境</w:t>
            </w:r>
          </w:p>
          <w:p w14:paraId="2BF119C1">
            <w:pPr>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 xml:space="preserve">6 </w:t>
            </w:r>
            <w:r>
              <w:rPr>
                <w:rFonts w:hint="default" w:ascii="Times New Roman" w:hAnsi="Times New Roman" w:eastAsia="宋体" w:cs="Times New Roman"/>
                <w:b/>
                <w:bCs/>
                <w:color w:val="auto"/>
                <w:sz w:val="21"/>
                <w:szCs w:val="21"/>
                <w:highlight w:val="none"/>
                <w:lang w:eastAsia="zh-CN"/>
              </w:rPr>
              <w:t>其他</w:t>
            </w:r>
            <w:r>
              <w:rPr>
                <w:rFonts w:hint="default" w:ascii="Times New Roman" w:hAnsi="Times New Roman" w:eastAsia="宋体" w:cs="Times New Roman"/>
                <w:b/>
                <w:bCs/>
                <w:color w:val="auto"/>
                <w:sz w:val="21"/>
                <w:szCs w:val="21"/>
                <w:highlight w:val="none"/>
              </w:rPr>
              <w:t>主要环境敏感目标</w:t>
            </w:r>
          </w:p>
          <w:tbl>
            <w:tblPr>
              <w:tblStyle w:val="27"/>
              <w:tblW w:w="838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255"/>
              <w:gridCol w:w="531"/>
              <w:gridCol w:w="814"/>
              <w:gridCol w:w="2048"/>
              <w:gridCol w:w="2914"/>
            </w:tblGrid>
            <w:tr w14:paraId="4FE07A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21" w:type="dxa"/>
                  <w:noWrap w:val="0"/>
                  <w:tcMar>
                    <w:top w:w="0" w:type="dxa"/>
                    <w:left w:w="51" w:type="dxa"/>
                    <w:bottom w:w="0" w:type="dxa"/>
                    <w:right w:w="51" w:type="dxa"/>
                  </w:tcMar>
                  <w:vAlign w:val="center"/>
                </w:tcPr>
                <w:p w14:paraId="69249A36">
                  <w:pPr>
                    <w:pStyle w:val="19"/>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1255" w:type="dxa"/>
                  <w:noWrap w:val="0"/>
                  <w:tcMar>
                    <w:top w:w="0" w:type="dxa"/>
                    <w:left w:w="51" w:type="dxa"/>
                    <w:bottom w:w="0" w:type="dxa"/>
                    <w:right w:w="51" w:type="dxa"/>
                  </w:tcMar>
                  <w:vAlign w:val="center"/>
                </w:tcPr>
                <w:p w14:paraId="34905CD5">
                  <w:pPr>
                    <w:pStyle w:val="19"/>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531" w:type="dxa"/>
                  <w:noWrap w:val="0"/>
                  <w:tcMar>
                    <w:top w:w="0" w:type="dxa"/>
                    <w:left w:w="51" w:type="dxa"/>
                    <w:bottom w:w="0" w:type="dxa"/>
                    <w:right w:w="51" w:type="dxa"/>
                  </w:tcMar>
                  <w:vAlign w:val="center"/>
                </w:tcPr>
                <w:p w14:paraId="530780FC">
                  <w:pPr>
                    <w:pStyle w:val="19"/>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方位</w:t>
                  </w:r>
                </w:p>
              </w:tc>
              <w:tc>
                <w:tcPr>
                  <w:tcW w:w="814" w:type="dxa"/>
                  <w:noWrap w:val="0"/>
                  <w:tcMar>
                    <w:top w:w="0" w:type="dxa"/>
                    <w:left w:w="51" w:type="dxa"/>
                    <w:bottom w:w="0" w:type="dxa"/>
                    <w:right w:w="51" w:type="dxa"/>
                  </w:tcMar>
                  <w:vAlign w:val="center"/>
                </w:tcPr>
                <w:p w14:paraId="76DBF39D">
                  <w:pPr>
                    <w:pStyle w:val="19"/>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距离</w:t>
                  </w:r>
                </w:p>
              </w:tc>
              <w:tc>
                <w:tcPr>
                  <w:tcW w:w="2048" w:type="dxa"/>
                  <w:noWrap w:val="0"/>
                  <w:tcMar>
                    <w:top w:w="0" w:type="dxa"/>
                    <w:left w:w="51" w:type="dxa"/>
                    <w:bottom w:w="0" w:type="dxa"/>
                    <w:right w:w="51" w:type="dxa"/>
                  </w:tcMar>
                  <w:vAlign w:val="center"/>
                </w:tcPr>
                <w:p w14:paraId="76A0223A">
                  <w:pPr>
                    <w:pStyle w:val="19"/>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规模</w:t>
                  </w:r>
                </w:p>
              </w:tc>
              <w:tc>
                <w:tcPr>
                  <w:tcW w:w="2914" w:type="dxa"/>
                  <w:noWrap w:val="0"/>
                  <w:tcMar>
                    <w:top w:w="0" w:type="dxa"/>
                    <w:left w:w="51" w:type="dxa"/>
                    <w:bottom w:w="0" w:type="dxa"/>
                    <w:right w:w="51" w:type="dxa"/>
                  </w:tcMar>
                  <w:vAlign w:val="center"/>
                </w:tcPr>
                <w:p w14:paraId="3EAA6E38">
                  <w:pPr>
                    <w:pStyle w:val="19"/>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功能区划</w:t>
                  </w:r>
                </w:p>
              </w:tc>
            </w:tr>
            <w:tr w14:paraId="158726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821" w:type="dxa"/>
                  <w:vMerge w:val="restart"/>
                  <w:noWrap w:val="0"/>
                  <w:tcMar>
                    <w:top w:w="0" w:type="dxa"/>
                    <w:left w:w="51" w:type="dxa"/>
                    <w:bottom w:w="0" w:type="dxa"/>
                    <w:right w:w="51" w:type="dxa"/>
                  </w:tcMar>
                  <w:vAlign w:val="center"/>
                </w:tcPr>
                <w:p w14:paraId="2EAD2A13">
                  <w:pPr>
                    <w:pStyle w:val="25"/>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水环境</w:t>
                  </w:r>
                </w:p>
              </w:tc>
              <w:tc>
                <w:tcPr>
                  <w:tcW w:w="1255" w:type="dxa"/>
                  <w:noWrap w:val="0"/>
                  <w:tcMar>
                    <w:top w:w="0" w:type="dxa"/>
                    <w:left w:w="51" w:type="dxa"/>
                    <w:bottom w:w="0" w:type="dxa"/>
                    <w:right w:w="51" w:type="dxa"/>
                  </w:tcMar>
                  <w:vAlign w:val="center"/>
                </w:tcPr>
                <w:p w14:paraId="670E4DF5">
                  <w:pPr>
                    <w:pStyle w:val="25"/>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城西中心河</w:t>
                  </w:r>
                </w:p>
              </w:tc>
              <w:tc>
                <w:tcPr>
                  <w:tcW w:w="531" w:type="dxa"/>
                  <w:noWrap w:val="0"/>
                  <w:tcMar>
                    <w:top w:w="0" w:type="dxa"/>
                    <w:left w:w="51" w:type="dxa"/>
                    <w:bottom w:w="0" w:type="dxa"/>
                    <w:right w:w="51" w:type="dxa"/>
                  </w:tcMar>
                  <w:vAlign w:val="center"/>
                </w:tcPr>
                <w:p w14:paraId="25CE2FD7">
                  <w:pPr>
                    <w:pStyle w:val="25"/>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NE</w:t>
                  </w:r>
                </w:p>
              </w:tc>
              <w:tc>
                <w:tcPr>
                  <w:tcW w:w="814" w:type="dxa"/>
                  <w:noWrap w:val="0"/>
                  <w:tcMar>
                    <w:top w:w="0" w:type="dxa"/>
                    <w:left w:w="51" w:type="dxa"/>
                    <w:bottom w:w="0" w:type="dxa"/>
                    <w:right w:w="51" w:type="dxa"/>
                  </w:tcMar>
                  <w:vAlign w:val="center"/>
                </w:tcPr>
                <w:p w14:paraId="525E5FC9">
                  <w:pPr>
                    <w:pStyle w:val="25"/>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10</w:t>
                  </w:r>
                  <w:r>
                    <w:rPr>
                      <w:rFonts w:hint="default" w:ascii="Times New Roman" w:hAnsi="Times New Roman" w:eastAsia="宋体" w:cs="Times New Roman"/>
                      <w:b w:val="0"/>
                      <w:bCs w:val="0"/>
                      <w:color w:val="auto"/>
                      <w:sz w:val="21"/>
                      <w:szCs w:val="21"/>
                      <w:highlight w:val="none"/>
                      <w:lang w:val="en-US" w:eastAsia="zh-CN"/>
                    </w:rPr>
                    <w:t>0m</w:t>
                  </w:r>
                </w:p>
              </w:tc>
              <w:tc>
                <w:tcPr>
                  <w:tcW w:w="2048" w:type="dxa"/>
                  <w:noWrap w:val="0"/>
                  <w:tcMar>
                    <w:top w:w="0" w:type="dxa"/>
                    <w:left w:w="51" w:type="dxa"/>
                    <w:bottom w:w="0" w:type="dxa"/>
                    <w:right w:w="51" w:type="dxa"/>
                  </w:tcMar>
                  <w:vAlign w:val="center"/>
                </w:tcPr>
                <w:p w14:paraId="4F519BE3">
                  <w:pPr>
                    <w:pStyle w:val="25"/>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小</w:t>
                  </w:r>
                  <w:r>
                    <w:rPr>
                      <w:rFonts w:hint="default" w:ascii="Times New Roman" w:hAnsi="Times New Roman" w:eastAsia="宋体" w:cs="Times New Roman"/>
                      <w:b w:val="0"/>
                      <w:bCs w:val="0"/>
                      <w:color w:val="auto"/>
                      <w:sz w:val="21"/>
                      <w:szCs w:val="21"/>
                      <w:highlight w:val="none"/>
                      <w:lang w:val="en-US" w:eastAsia="zh-CN"/>
                    </w:rPr>
                    <w:t>型河流</w:t>
                  </w:r>
                </w:p>
              </w:tc>
              <w:tc>
                <w:tcPr>
                  <w:tcW w:w="2914" w:type="dxa"/>
                  <w:noWrap w:val="0"/>
                  <w:tcMar>
                    <w:top w:w="0" w:type="dxa"/>
                    <w:left w:w="51" w:type="dxa"/>
                    <w:bottom w:w="0" w:type="dxa"/>
                    <w:right w:w="51" w:type="dxa"/>
                  </w:tcMar>
                  <w:vAlign w:val="center"/>
                </w:tcPr>
                <w:p w14:paraId="258B56A6">
                  <w:pPr>
                    <w:pStyle w:val="25"/>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《地表水环境质量标准》（GB3838-2002）中</w:t>
                  </w:r>
                  <w:r>
                    <w:rPr>
                      <w:rFonts w:hint="default" w:ascii="Times New Roman" w:hAnsi="Times New Roman" w:eastAsia="宋体" w:cs="Times New Roman"/>
                      <w:b w:val="0"/>
                      <w:bCs/>
                      <w:color w:val="auto"/>
                      <w:sz w:val="21"/>
                      <w:szCs w:val="21"/>
                      <w:highlight w:val="none"/>
                      <w:lang w:val="en-US" w:eastAsia="zh-CN"/>
                    </w:rPr>
                    <w:fldChar w:fldCharType="begin"/>
                  </w:r>
                  <w:r>
                    <w:rPr>
                      <w:rFonts w:hint="default" w:ascii="Times New Roman" w:hAnsi="Times New Roman" w:eastAsia="宋体" w:cs="Times New Roman"/>
                      <w:b w:val="0"/>
                      <w:bCs/>
                      <w:color w:val="auto"/>
                      <w:sz w:val="21"/>
                      <w:szCs w:val="21"/>
                      <w:highlight w:val="none"/>
                      <w:lang w:val="en-US" w:eastAsia="zh-CN"/>
                    </w:rPr>
                    <w:instrText xml:space="preserve"> = 4 \* ROMAN \* MERGEFORMAT </w:instrText>
                  </w:r>
                  <w:r>
                    <w:rPr>
                      <w:rFonts w:hint="default" w:ascii="Times New Roman" w:hAnsi="Times New Roman" w:eastAsia="宋体" w:cs="Times New Roman"/>
                      <w:b w:val="0"/>
                      <w:bCs/>
                      <w:color w:val="auto"/>
                      <w:sz w:val="21"/>
                      <w:szCs w:val="21"/>
                      <w:highlight w:val="none"/>
                      <w:lang w:val="en-US" w:eastAsia="zh-CN"/>
                    </w:rPr>
                    <w:fldChar w:fldCharType="separate"/>
                  </w:r>
                  <w:r>
                    <w:rPr>
                      <w:rFonts w:hint="default" w:ascii="Times New Roman" w:hAnsi="Times New Roman" w:eastAsia="宋体" w:cs="Times New Roman"/>
                      <w:b w:val="0"/>
                      <w:bCs/>
                      <w:color w:val="auto"/>
                      <w:sz w:val="21"/>
                      <w:szCs w:val="21"/>
                      <w:highlight w:val="none"/>
                      <w:lang w:val="en-US" w:eastAsia="zh-CN"/>
                    </w:rPr>
                    <w:t>IV</w:t>
                  </w:r>
                  <w:r>
                    <w:rPr>
                      <w:rFonts w:hint="default" w:ascii="Times New Roman" w:hAnsi="Times New Roman" w:eastAsia="宋体" w:cs="Times New Roman"/>
                      <w:b w:val="0"/>
                      <w:bCs/>
                      <w:color w:val="auto"/>
                      <w:sz w:val="21"/>
                      <w:szCs w:val="21"/>
                      <w:highlight w:val="none"/>
                      <w:lang w:val="en-US" w:eastAsia="zh-CN"/>
                    </w:rPr>
                    <w:fldChar w:fldCharType="end"/>
                  </w:r>
                  <w:r>
                    <w:rPr>
                      <w:rFonts w:hint="default" w:ascii="Times New Roman" w:hAnsi="Times New Roman" w:eastAsia="宋体" w:cs="Times New Roman"/>
                      <w:b w:val="0"/>
                      <w:bCs/>
                      <w:color w:val="auto"/>
                      <w:sz w:val="21"/>
                      <w:szCs w:val="21"/>
                      <w:highlight w:val="none"/>
                      <w:lang w:val="en-US" w:eastAsia="zh-CN"/>
                    </w:rPr>
                    <w:t>类标准</w:t>
                  </w:r>
                </w:p>
              </w:tc>
            </w:tr>
            <w:tr w14:paraId="4162C6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821" w:type="dxa"/>
                  <w:vMerge w:val="continue"/>
                  <w:noWrap w:val="0"/>
                  <w:tcMar>
                    <w:top w:w="0" w:type="dxa"/>
                    <w:left w:w="51" w:type="dxa"/>
                    <w:bottom w:w="0" w:type="dxa"/>
                    <w:right w:w="51" w:type="dxa"/>
                  </w:tcMar>
                  <w:vAlign w:val="center"/>
                </w:tcPr>
                <w:p w14:paraId="0E8A08B6">
                  <w:pPr>
                    <w:pStyle w:val="25"/>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1255" w:type="dxa"/>
                  <w:noWrap w:val="0"/>
                  <w:tcMar>
                    <w:top w:w="0" w:type="dxa"/>
                    <w:left w:w="51" w:type="dxa"/>
                    <w:bottom w:w="0" w:type="dxa"/>
                    <w:right w:w="51" w:type="dxa"/>
                  </w:tcMar>
                  <w:vAlign w:val="center"/>
                </w:tcPr>
                <w:p w14:paraId="08551D85">
                  <w:pPr>
                    <w:pStyle w:val="25"/>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尧塘河</w:t>
                  </w:r>
                </w:p>
              </w:tc>
              <w:tc>
                <w:tcPr>
                  <w:tcW w:w="531" w:type="dxa"/>
                  <w:noWrap w:val="0"/>
                  <w:tcMar>
                    <w:top w:w="0" w:type="dxa"/>
                    <w:left w:w="51" w:type="dxa"/>
                    <w:bottom w:w="0" w:type="dxa"/>
                    <w:right w:w="51" w:type="dxa"/>
                  </w:tcMar>
                  <w:vAlign w:val="center"/>
                </w:tcPr>
                <w:p w14:paraId="7F3D79CD">
                  <w:pPr>
                    <w:pStyle w:val="25"/>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E</w:t>
                  </w:r>
                </w:p>
              </w:tc>
              <w:tc>
                <w:tcPr>
                  <w:tcW w:w="814" w:type="dxa"/>
                  <w:noWrap w:val="0"/>
                  <w:tcMar>
                    <w:top w:w="0" w:type="dxa"/>
                    <w:left w:w="51" w:type="dxa"/>
                    <w:bottom w:w="0" w:type="dxa"/>
                    <w:right w:w="51" w:type="dxa"/>
                  </w:tcMar>
                  <w:vAlign w:val="center"/>
                </w:tcPr>
                <w:p w14:paraId="2FE5AC28">
                  <w:pPr>
                    <w:pStyle w:val="25"/>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2700m</w:t>
                  </w:r>
                </w:p>
              </w:tc>
              <w:tc>
                <w:tcPr>
                  <w:tcW w:w="2048" w:type="dxa"/>
                  <w:noWrap w:val="0"/>
                  <w:tcMar>
                    <w:top w:w="0" w:type="dxa"/>
                    <w:left w:w="51" w:type="dxa"/>
                    <w:bottom w:w="0" w:type="dxa"/>
                    <w:right w:w="51" w:type="dxa"/>
                  </w:tcMar>
                  <w:vAlign w:val="center"/>
                </w:tcPr>
                <w:p w14:paraId="6316DA47">
                  <w:pPr>
                    <w:pStyle w:val="25"/>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小</w:t>
                  </w:r>
                  <w:r>
                    <w:rPr>
                      <w:rFonts w:hint="default" w:ascii="Times New Roman" w:hAnsi="Times New Roman" w:eastAsia="宋体" w:cs="Times New Roman"/>
                      <w:b w:val="0"/>
                      <w:bCs w:val="0"/>
                      <w:color w:val="auto"/>
                      <w:sz w:val="21"/>
                      <w:szCs w:val="21"/>
                      <w:highlight w:val="none"/>
                      <w:lang w:val="en-US" w:eastAsia="zh-CN"/>
                    </w:rPr>
                    <w:t>型河流</w:t>
                  </w:r>
                </w:p>
              </w:tc>
              <w:tc>
                <w:tcPr>
                  <w:tcW w:w="2914" w:type="dxa"/>
                  <w:noWrap w:val="0"/>
                  <w:tcMar>
                    <w:top w:w="0" w:type="dxa"/>
                    <w:left w:w="51" w:type="dxa"/>
                    <w:bottom w:w="0" w:type="dxa"/>
                    <w:right w:w="51" w:type="dxa"/>
                  </w:tcMar>
                  <w:vAlign w:val="center"/>
                </w:tcPr>
                <w:p w14:paraId="0862B2DD">
                  <w:pPr>
                    <w:pStyle w:val="25"/>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《地表水环境质量标准》（GB3838-2002）中Ⅲ类标准</w:t>
                  </w:r>
                </w:p>
              </w:tc>
            </w:tr>
            <w:tr w14:paraId="55C78B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21" w:type="dxa"/>
                  <w:noWrap w:val="0"/>
                  <w:tcMar>
                    <w:top w:w="0" w:type="dxa"/>
                    <w:left w:w="51" w:type="dxa"/>
                    <w:bottom w:w="0" w:type="dxa"/>
                    <w:right w:w="51" w:type="dxa"/>
                  </w:tcMar>
                  <w:vAlign w:val="center"/>
                </w:tcPr>
                <w:p w14:paraId="201680DB">
                  <w:pPr>
                    <w:pStyle w:val="25"/>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生态</w:t>
                  </w:r>
                </w:p>
                <w:p w14:paraId="4CC42CDD">
                  <w:pPr>
                    <w:pStyle w:val="25"/>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环境</w:t>
                  </w:r>
                </w:p>
              </w:tc>
              <w:tc>
                <w:tcPr>
                  <w:tcW w:w="1255" w:type="dxa"/>
                  <w:noWrap w:val="0"/>
                  <w:tcMar>
                    <w:top w:w="0" w:type="dxa"/>
                    <w:left w:w="51" w:type="dxa"/>
                    <w:bottom w:w="0" w:type="dxa"/>
                    <w:right w:w="51" w:type="dxa"/>
                  </w:tcMar>
                  <w:vAlign w:val="center"/>
                </w:tcPr>
                <w:p w14:paraId="383FCBED">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Cs/>
                      <w:color w:val="auto"/>
                      <w:sz w:val="21"/>
                      <w:szCs w:val="21"/>
                    </w:rPr>
                    <w:t>丹金溧漕河</w:t>
                  </w:r>
                  <w:r>
                    <w:rPr>
                      <w:rFonts w:hint="default" w:ascii="Times New Roman" w:hAnsi="Times New Roman" w:eastAsia="宋体" w:cs="Times New Roman"/>
                      <w:bCs/>
                      <w:color w:val="FF0000"/>
                      <w:sz w:val="21"/>
                      <w:szCs w:val="21"/>
                    </w:rPr>
                    <w:t>（金坛</w:t>
                  </w:r>
                  <w:r>
                    <w:rPr>
                      <w:rFonts w:hint="eastAsia" w:cs="Times New Roman"/>
                      <w:bCs/>
                      <w:color w:val="FF0000"/>
                      <w:sz w:val="21"/>
                      <w:szCs w:val="21"/>
                      <w:lang w:val="en-US" w:eastAsia="zh-CN"/>
                    </w:rPr>
                    <w:t>区</w:t>
                  </w:r>
                  <w:r>
                    <w:rPr>
                      <w:rFonts w:hint="default" w:ascii="Times New Roman" w:hAnsi="Times New Roman" w:eastAsia="宋体" w:cs="Times New Roman"/>
                      <w:bCs/>
                      <w:color w:val="FF0000"/>
                      <w:sz w:val="21"/>
                      <w:szCs w:val="21"/>
                    </w:rPr>
                    <w:t>）</w:t>
                  </w:r>
                </w:p>
              </w:tc>
              <w:tc>
                <w:tcPr>
                  <w:tcW w:w="531" w:type="dxa"/>
                  <w:noWrap w:val="0"/>
                  <w:tcMar>
                    <w:top w:w="0" w:type="dxa"/>
                    <w:left w:w="51" w:type="dxa"/>
                    <w:bottom w:w="0" w:type="dxa"/>
                    <w:right w:w="51" w:type="dxa"/>
                  </w:tcMar>
                  <w:vAlign w:val="center"/>
                </w:tcPr>
                <w:p w14:paraId="150889BC">
                  <w:pPr>
                    <w:jc w:val="center"/>
                    <w:rPr>
                      <w:rFonts w:hint="default" w:ascii="Times New Roman" w:hAnsi="Times New Roman" w:eastAsia="宋体" w:cs="Times New Roman"/>
                      <w:b w:val="0"/>
                      <w:bCs/>
                      <w:color w:val="auto"/>
                      <w:sz w:val="21"/>
                      <w:szCs w:val="21"/>
                      <w:highlight w:val="none"/>
                      <w:lang w:eastAsia="zh-CN"/>
                    </w:rPr>
                  </w:pPr>
                  <w:r>
                    <w:rPr>
                      <w:rFonts w:hint="eastAsia" w:cs="Times New Roman"/>
                      <w:color w:val="auto"/>
                      <w:kern w:val="0"/>
                      <w:sz w:val="21"/>
                      <w:szCs w:val="21"/>
                      <w:lang w:val="en-US" w:eastAsia="zh-CN"/>
                    </w:rPr>
                    <w:t>W</w:t>
                  </w:r>
                </w:p>
              </w:tc>
              <w:tc>
                <w:tcPr>
                  <w:tcW w:w="814" w:type="dxa"/>
                  <w:noWrap w:val="0"/>
                  <w:tcMar>
                    <w:top w:w="0" w:type="dxa"/>
                    <w:left w:w="51" w:type="dxa"/>
                    <w:bottom w:w="0" w:type="dxa"/>
                    <w:right w:w="51" w:type="dxa"/>
                  </w:tcMar>
                  <w:vAlign w:val="center"/>
                </w:tcPr>
                <w:p w14:paraId="0EDB33DE">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color w:val="auto"/>
                      <w:kern w:val="0"/>
                      <w:sz w:val="21"/>
                      <w:szCs w:val="21"/>
                      <w:lang w:val="en-US" w:eastAsia="zh-CN"/>
                    </w:rPr>
                    <w:t>25</w:t>
                  </w:r>
                  <w:r>
                    <w:rPr>
                      <w:rFonts w:hint="default" w:ascii="Times New Roman" w:hAnsi="Times New Roman" w:eastAsia="宋体" w:cs="Times New Roman"/>
                      <w:color w:val="auto"/>
                      <w:kern w:val="0"/>
                      <w:sz w:val="21"/>
                      <w:szCs w:val="21"/>
                      <w:lang w:val="en-US" w:eastAsia="zh-CN"/>
                    </w:rPr>
                    <w:t>00m</w:t>
                  </w:r>
                </w:p>
              </w:tc>
              <w:tc>
                <w:tcPr>
                  <w:tcW w:w="2048" w:type="dxa"/>
                  <w:noWrap w:val="0"/>
                  <w:tcMar>
                    <w:top w:w="0" w:type="dxa"/>
                    <w:left w:w="51" w:type="dxa"/>
                    <w:bottom w:w="0" w:type="dxa"/>
                    <w:right w:w="51" w:type="dxa"/>
                  </w:tcMar>
                  <w:vAlign w:val="center"/>
                </w:tcPr>
                <w:p w14:paraId="43B2899F">
                  <w:pPr>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kern w:val="0"/>
                      <w:sz w:val="21"/>
                      <w:szCs w:val="21"/>
                      <w:lang w:val="en-US" w:eastAsia="zh-CN"/>
                    </w:rPr>
                    <w:t>二级管控区</w:t>
                  </w:r>
                  <w:r>
                    <w:rPr>
                      <w:rFonts w:hint="eastAsia"/>
                      <w:b w:val="0"/>
                      <w:bCs/>
                      <w:color w:val="auto"/>
                      <w:sz w:val="21"/>
                      <w:szCs w:val="21"/>
                      <w:lang w:val="en-US" w:eastAsia="zh-CN"/>
                    </w:rPr>
                    <w:t>2.5</w:t>
                  </w:r>
                  <w:r>
                    <w:rPr>
                      <w:rFonts w:hint="default" w:ascii="Times New Roman" w:hAnsi="Times New Roman" w:eastAsia="宋体" w:cs="Times New Roman"/>
                      <w:color w:val="auto"/>
                      <w:kern w:val="0"/>
                      <w:sz w:val="21"/>
                      <w:szCs w:val="21"/>
                      <w:lang w:val="en-US" w:eastAsia="zh-CN"/>
                    </w:rPr>
                    <w:t>km</w:t>
                  </w:r>
                  <w:r>
                    <w:rPr>
                      <w:rFonts w:hint="default" w:ascii="Times New Roman" w:hAnsi="Times New Roman" w:eastAsia="宋体" w:cs="Times New Roman"/>
                      <w:color w:val="auto"/>
                      <w:kern w:val="0"/>
                      <w:sz w:val="21"/>
                      <w:szCs w:val="21"/>
                      <w:vertAlign w:val="superscript"/>
                      <w:lang w:val="en-US" w:eastAsia="zh-CN"/>
                    </w:rPr>
                    <w:t>2</w:t>
                  </w:r>
                </w:p>
              </w:tc>
              <w:tc>
                <w:tcPr>
                  <w:tcW w:w="2914" w:type="dxa"/>
                  <w:noWrap w:val="0"/>
                  <w:tcMar>
                    <w:top w:w="0" w:type="dxa"/>
                    <w:left w:w="51" w:type="dxa"/>
                    <w:bottom w:w="0" w:type="dxa"/>
                    <w:right w:w="51" w:type="dxa"/>
                  </w:tcMar>
                  <w:vAlign w:val="center"/>
                </w:tcPr>
                <w:p w14:paraId="554CB2C9">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洪水调蓄区</w:t>
                  </w:r>
                </w:p>
              </w:tc>
            </w:tr>
            <w:tr w14:paraId="54078F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1" w:type="dxa"/>
                  <w:tcBorders>
                    <w:tl2br w:val="nil"/>
                    <w:tr2bl w:val="nil"/>
                  </w:tcBorders>
                  <w:noWrap w:val="0"/>
                  <w:vAlign w:val="center"/>
                </w:tcPr>
                <w:p w14:paraId="04B624A8">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lang w:val="en-US" w:eastAsia="zh-CN"/>
                    </w:rPr>
                    <w:t>声环境</w:t>
                  </w:r>
                </w:p>
              </w:tc>
              <w:tc>
                <w:tcPr>
                  <w:tcW w:w="7562" w:type="dxa"/>
                  <w:gridSpan w:val="5"/>
                  <w:tcBorders>
                    <w:tl2br w:val="nil"/>
                    <w:tr2bl w:val="nil"/>
                  </w:tcBorders>
                  <w:noWrap w:val="0"/>
                  <w:vAlign w:val="center"/>
                </w:tcPr>
                <w:p w14:paraId="4BC98CE0">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本项目厂界外</w:t>
                  </w:r>
                  <w:r>
                    <w:rPr>
                      <w:rFonts w:hint="eastAsia" w:cs="Times New Roman"/>
                      <w:color w:val="auto"/>
                      <w:kern w:val="0"/>
                      <w:sz w:val="21"/>
                      <w:szCs w:val="21"/>
                      <w:lang w:val="en-US" w:eastAsia="zh-CN"/>
                    </w:rPr>
                    <w:t>50</w:t>
                  </w:r>
                  <w:r>
                    <w:rPr>
                      <w:rFonts w:hint="default" w:ascii="Times New Roman" w:hAnsi="Times New Roman" w:eastAsia="宋体" w:cs="Times New Roman"/>
                      <w:color w:val="auto"/>
                      <w:kern w:val="0"/>
                      <w:sz w:val="21"/>
                      <w:szCs w:val="21"/>
                      <w:lang w:val="en-US" w:eastAsia="zh-CN"/>
                    </w:rPr>
                    <w:t>米范围内</w:t>
                  </w:r>
                  <w:r>
                    <w:rPr>
                      <w:rFonts w:hint="eastAsia" w:cs="Times New Roman"/>
                      <w:color w:val="auto"/>
                      <w:kern w:val="0"/>
                      <w:sz w:val="21"/>
                      <w:szCs w:val="21"/>
                      <w:lang w:val="en-US" w:eastAsia="zh-CN"/>
                    </w:rPr>
                    <w:t>无</w:t>
                  </w:r>
                  <w:r>
                    <w:rPr>
                      <w:rFonts w:hint="default" w:ascii="Times New Roman" w:hAnsi="Times New Roman" w:eastAsia="宋体" w:cs="Times New Roman"/>
                      <w:color w:val="auto"/>
                      <w:kern w:val="0"/>
                      <w:sz w:val="21"/>
                      <w:szCs w:val="21"/>
                      <w:lang w:val="en-US" w:eastAsia="zh-CN"/>
                    </w:rPr>
                    <w:t>声</w:t>
                  </w:r>
                  <w:r>
                    <w:rPr>
                      <w:rFonts w:hint="eastAsia" w:cs="Times New Roman"/>
                      <w:color w:val="auto"/>
                      <w:kern w:val="0"/>
                      <w:sz w:val="21"/>
                      <w:szCs w:val="21"/>
                      <w:lang w:val="en-US" w:eastAsia="zh-CN"/>
                    </w:rPr>
                    <w:t>环境</w:t>
                  </w:r>
                  <w:r>
                    <w:rPr>
                      <w:rFonts w:hint="default" w:ascii="Times New Roman" w:hAnsi="Times New Roman" w:eastAsia="宋体" w:cs="Times New Roman"/>
                      <w:color w:val="auto"/>
                      <w:kern w:val="0"/>
                      <w:sz w:val="21"/>
                      <w:szCs w:val="21"/>
                      <w:lang w:val="en-US" w:eastAsia="zh-CN"/>
                    </w:rPr>
                    <w:t>敏感目标</w:t>
                  </w:r>
                </w:p>
              </w:tc>
            </w:tr>
            <w:tr w14:paraId="66A87C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21" w:type="dxa"/>
                  <w:tcBorders>
                    <w:tl2br w:val="nil"/>
                    <w:tr2bl w:val="nil"/>
                  </w:tcBorders>
                  <w:noWrap w:val="0"/>
                  <w:vAlign w:val="center"/>
                </w:tcPr>
                <w:p w14:paraId="56AD70F4">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土壤</w:t>
                  </w:r>
                </w:p>
              </w:tc>
              <w:tc>
                <w:tcPr>
                  <w:tcW w:w="7562" w:type="dxa"/>
                  <w:gridSpan w:val="5"/>
                  <w:tcBorders>
                    <w:tl2br w:val="nil"/>
                    <w:tr2bl w:val="nil"/>
                  </w:tcBorders>
                  <w:noWrap w:val="0"/>
                  <w:vAlign w:val="center"/>
                </w:tcPr>
                <w:p w14:paraId="3AEB1EA5">
                  <w:pPr>
                    <w:jc w:val="center"/>
                    <w:rPr>
                      <w:rFonts w:ascii="Times New Roman" w:hAnsi="Times New Roman"/>
                      <w:color w:val="auto"/>
                    </w:rPr>
                  </w:pPr>
                  <w:r>
                    <w:rPr>
                      <w:rFonts w:hint="default" w:ascii="Times New Roman" w:hAnsi="Times New Roman" w:eastAsia="宋体" w:cs="Times New Roman"/>
                      <w:color w:val="auto"/>
                      <w:kern w:val="0"/>
                      <w:sz w:val="21"/>
                      <w:szCs w:val="21"/>
                      <w:lang w:val="en-US" w:eastAsia="zh-CN"/>
                    </w:rPr>
                    <w:t>本项目厂界外</w:t>
                  </w:r>
                  <w:r>
                    <w:rPr>
                      <w:rFonts w:hint="eastAsia" w:cs="Times New Roman"/>
                      <w:color w:val="auto"/>
                      <w:kern w:val="0"/>
                      <w:sz w:val="21"/>
                      <w:szCs w:val="21"/>
                      <w:lang w:val="en-US" w:eastAsia="zh-CN"/>
                    </w:rPr>
                    <w:t>200</w:t>
                  </w:r>
                  <w:r>
                    <w:rPr>
                      <w:rFonts w:hint="default" w:ascii="Times New Roman" w:hAnsi="Times New Roman" w:eastAsia="宋体" w:cs="Times New Roman"/>
                      <w:color w:val="auto"/>
                      <w:kern w:val="0"/>
                      <w:sz w:val="21"/>
                      <w:szCs w:val="21"/>
                      <w:lang w:val="en-US" w:eastAsia="zh-CN"/>
                    </w:rPr>
                    <w:t>米范围内</w:t>
                  </w:r>
                  <w:r>
                    <w:rPr>
                      <w:rFonts w:hint="eastAsia" w:cs="Times New Roman"/>
                      <w:color w:val="auto"/>
                      <w:kern w:val="0"/>
                      <w:sz w:val="21"/>
                      <w:szCs w:val="21"/>
                      <w:lang w:val="en-US" w:eastAsia="zh-CN"/>
                    </w:rPr>
                    <w:t>无</w:t>
                  </w:r>
                  <w:r>
                    <w:rPr>
                      <w:rFonts w:hint="default" w:ascii="Times New Roman" w:hAnsi="Times New Roman" w:eastAsia="宋体" w:cs="Times New Roman"/>
                      <w:color w:val="auto"/>
                      <w:kern w:val="0"/>
                      <w:sz w:val="21"/>
                      <w:szCs w:val="21"/>
                      <w:lang w:val="en-US" w:eastAsia="zh-CN"/>
                    </w:rPr>
                    <w:t>土壤</w:t>
                  </w:r>
                  <w:r>
                    <w:rPr>
                      <w:rFonts w:hint="eastAsia" w:cs="Times New Roman"/>
                      <w:color w:val="auto"/>
                      <w:kern w:val="0"/>
                      <w:sz w:val="21"/>
                      <w:szCs w:val="21"/>
                      <w:lang w:val="en-US" w:eastAsia="zh-CN"/>
                    </w:rPr>
                    <w:t>环境</w:t>
                  </w:r>
                  <w:r>
                    <w:rPr>
                      <w:rFonts w:hint="default" w:ascii="Times New Roman" w:hAnsi="Times New Roman" w:eastAsia="宋体" w:cs="Times New Roman"/>
                      <w:color w:val="auto"/>
                      <w:kern w:val="0"/>
                      <w:sz w:val="21"/>
                      <w:szCs w:val="21"/>
                      <w:lang w:val="en-US" w:eastAsia="zh-CN"/>
                    </w:rPr>
                    <w:t>敏感目标</w:t>
                  </w:r>
                </w:p>
              </w:tc>
            </w:tr>
            <w:tr w14:paraId="3F7F6E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21" w:type="dxa"/>
                  <w:tcBorders>
                    <w:tl2br w:val="nil"/>
                    <w:tr2bl w:val="nil"/>
                  </w:tcBorders>
                  <w:noWrap w:val="0"/>
                  <w:vAlign w:val="center"/>
                </w:tcPr>
                <w:p w14:paraId="02B17A74">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地下水</w:t>
                  </w:r>
                </w:p>
              </w:tc>
              <w:tc>
                <w:tcPr>
                  <w:tcW w:w="7562" w:type="dxa"/>
                  <w:gridSpan w:val="5"/>
                  <w:tcBorders>
                    <w:tl2br w:val="nil"/>
                    <w:tr2bl w:val="nil"/>
                  </w:tcBorders>
                  <w:noWrap w:val="0"/>
                  <w:vAlign w:val="center"/>
                </w:tcPr>
                <w:p w14:paraId="2258127C">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本项目厂界外500米范围内无地下水集中式饮用水水源和热水、矿泉水、温泉等特殊地下水资源等敏感目标</w:t>
                  </w:r>
                </w:p>
              </w:tc>
            </w:tr>
          </w:tbl>
          <w:p w14:paraId="33435EC8">
            <w:pPr>
              <w:adjustRightInd w:val="0"/>
              <w:snapToGrid w:val="0"/>
              <w:spacing w:line="500" w:lineRule="exact"/>
              <w:ind w:firstLine="480" w:firstLineChars="200"/>
              <w:jc w:val="both"/>
              <w:rPr>
                <w:rFonts w:hint="default" w:ascii="Times New Roman" w:hAnsi="Times New Roman" w:cs="Times New Roman"/>
                <w:bCs/>
                <w:color w:val="auto"/>
                <w:sz w:val="24"/>
              </w:rPr>
            </w:pPr>
          </w:p>
          <w:p w14:paraId="1CDED8A5">
            <w:pPr>
              <w:adjustRightInd w:val="0"/>
              <w:snapToGrid w:val="0"/>
              <w:spacing w:line="500" w:lineRule="exact"/>
              <w:ind w:firstLine="420" w:firstLineChars="200"/>
              <w:jc w:val="both"/>
              <w:rPr>
                <w:rFonts w:hint="default" w:ascii="Times New Roman" w:hAnsi="Times New Roman" w:eastAsia="宋体" w:cs="Times New Roman"/>
                <w:color w:val="auto"/>
                <w:kern w:val="0"/>
                <w:sz w:val="21"/>
                <w:szCs w:val="21"/>
                <w:lang w:val="en-US" w:eastAsia="zh-CN" w:bidi="ar-SA"/>
              </w:rPr>
            </w:pPr>
          </w:p>
        </w:tc>
      </w:tr>
    </w:tbl>
    <w:p w14:paraId="2F89924C">
      <w:pPr>
        <w:adjustRightInd w:val="0"/>
        <w:snapToGrid w:val="0"/>
        <w:jc w:val="center"/>
        <w:rPr>
          <w:rFonts w:hint="default" w:ascii="Times New Roman" w:hAnsi="Times New Roman" w:cs="Times New Roman"/>
          <w:color w:val="auto"/>
          <w:kern w:val="0"/>
          <w:sz w:val="24"/>
        </w:rPr>
        <w:sectPr>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tbl>
      <w:tblPr>
        <w:tblStyle w:val="27"/>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152"/>
      </w:tblGrid>
      <w:tr w14:paraId="485E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187B0708">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污染</w:t>
            </w:r>
          </w:p>
          <w:p w14:paraId="7DE3DF1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物排</w:t>
            </w:r>
          </w:p>
          <w:p w14:paraId="50B5B55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放控</w:t>
            </w:r>
          </w:p>
          <w:p w14:paraId="55382105">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制标</w:t>
            </w:r>
          </w:p>
          <w:p w14:paraId="4C660D65">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准</w:t>
            </w:r>
          </w:p>
        </w:tc>
        <w:tc>
          <w:tcPr>
            <w:tcW w:w="8152" w:type="dxa"/>
            <w:vAlign w:val="center"/>
          </w:tcPr>
          <w:p w14:paraId="39CF740E">
            <w:pPr>
              <w:adjustRightInd w:val="0"/>
              <w:snapToGrid w:val="0"/>
              <w:spacing w:line="240" w:lineRule="auto"/>
              <w:rPr>
                <w:rFonts w:hint="default" w:ascii="Times New Roman" w:hAnsi="Times New Roman" w:cs="Times New Roman"/>
                <w:b/>
                <w:color w:val="auto"/>
                <w:sz w:val="24"/>
              </w:rPr>
            </w:pPr>
            <w:r>
              <w:rPr>
                <w:rFonts w:hint="default" w:ascii="Times New Roman" w:hAnsi="Times New Roman" w:cs="Times New Roman"/>
                <w:b/>
                <w:color w:val="auto"/>
                <w:sz w:val="24"/>
              </w:rPr>
              <w:t>1、废气</w:t>
            </w:r>
          </w:p>
          <w:p w14:paraId="439C8672">
            <w:pPr>
              <w:keepNext w:val="0"/>
              <w:keepLines w:val="0"/>
              <w:pageBreakBefore w:val="0"/>
              <w:widowControl w:val="0"/>
              <w:kinsoku/>
              <w:wordWrap/>
              <w:overflowPunct/>
              <w:topLinePunct w:val="0"/>
              <w:autoSpaceDE/>
              <w:autoSpaceDN/>
              <w:bidi w:val="0"/>
              <w:adjustRightInd w:val="0"/>
              <w:snapToGrid w:val="0"/>
              <w:spacing w:line="45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eastAsia" w:cs="Times New Roman"/>
                <w:color w:val="auto"/>
                <w:kern w:val="0"/>
                <w:sz w:val="24"/>
                <w:lang w:val="en-US" w:eastAsia="zh-CN"/>
              </w:rPr>
              <w:t>废气（</w:t>
            </w:r>
            <w:r>
              <w:rPr>
                <w:rFonts w:hint="default" w:ascii="Times New Roman" w:hAnsi="Times New Roman" w:eastAsia="宋体" w:cs="Times New Roman"/>
                <w:color w:val="auto"/>
                <w:kern w:val="0"/>
                <w:sz w:val="24"/>
                <w:lang w:val="en-US" w:eastAsia="zh-CN"/>
              </w:rPr>
              <w:t>非甲烷总烃</w:t>
            </w:r>
            <w:r>
              <w:rPr>
                <w:rFonts w:hint="eastAsia"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排放执行《合成树脂工业污染物排放标准》（GB31572-2015）</w:t>
            </w:r>
            <w:r>
              <w:rPr>
                <w:rFonts w:hint="eastAsia" w:cs="Times New Roman"/>
                <w:color w:val="auto"/>
                <w:kern w:val="0"/>
                <w:sz w:val="24"/>
                <w:lang w:val="en-US" w:eastAsia="zh-CN"/>
              </w:rPr>
              <w:t>及修改单</w:t>
            </w:r>
            <w:r>
              <w:rPr>
                <w:rFonts w:hint="default" w:ascii="Times New Roman" w:hAnsi="Times New Roman" w:eastAsia="宋体" w:cs="Times New Roman"/>
                <w:color w:val="auto"/>
                <w:kern w:val="0"/>
                <w:sz w:val="24"/>
                <w:lang w:val="en-US" w:eastAsia="zh-CN"/>
              </w:rPr>
              <w:t>表5标准</w:t>
            </w:r>
            <w:r>
              <w:rPr>
                <w:rFonts w:hint="eastAsia"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无组织废气非甲烷总烃排放执行《合成树脂工业污染物排放标准》（GB31572-2015）</w:t>
            </w:r>
            <w:r>
              <w:rPr>
                <w:rFonts w:hint="eastAsia" w:cs="Times New Roman"/>
                <w:color w:val="auto"/>
                <w:kern w:val="0"/>
                <w:sz w:val="24"/>
                <w:lang w:val="en-US" w:eastAsia="zh-CN"/>
              </w:rPr>
              <w:t>及修改单</w:t>
            </w:r>
            <w:r>
              <w:rPr>
                <w:rFonts w:hint="default" w:ascii="Times New Roman" w:hAnsi="Times New Roman" w:eastAsia="宋体" w:cs="Times New Roman"/>
                <w:color w:val="auto"/>
                <w:kern w:val="0"/>
                <w:sz w:val="24"/>
                <w:lang w:val="en-US" w:eastAsia="zh-CN"/>
              </w:rPr>
              <w:t>表9标准</w:t>
            </w:r>
            <w:r>
              <w:rPr>
                <w:rFonts w:hint="eastAsia" w:cs="Times New Roman"/>
                <w:color w:val="auto"/>
                <w:sz w:val="24"/>
                <w:lang w:eastAsia="zh-CN"/>
              </w:rPr>
              <w:t>；</w:t>
            </w:r>
            <w:r>
              <w:rPr>
                <w:rFonts w:hint="default" w:ascii="Times New Roman" w:hAnsi="Times New Roman" w:eastAsia="宋体" w:cs="Times New Roman"/>
                <w:color w:val="auto"/>
                <w:sz w:val="24"/>
                <w:szCs w:val="24"/>
                <w:highlight w:val="none"/>
                <w:lang w:val="en-US" w:eastAsia="zh-CN"/>
              </w:rPr>
              <w:t>厂区内</w:t>
            </w:r>
            <w:r>
              <w:rPr>
                <w:rFonts w:hint="default" w:ascii="Times New Roman" w:hAnsi="Times New Roman" w:eastAsia="宋体" w:cs="Times New Roman"/>
                <w:color w:val="auto"/>
                <w:sz w:val="24"/>
                <w:szCs w:val="24"/>
                <w:highlight w:val="none"/>
              </w:rPr>
              <w:t>非甲烷总烃无组织排放限值执行《大气污染物综合排放标准》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DB32/4041-2021</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表2标</w:t>
            </w:r>
            <w:r>
              <w:rPr>
                <w:rFonts w:hint="default" w:ascii="Times New Roman" w:hAnsi="Times New Roman" w:cs="Times New Roman"/>
                <w:bCs/>
                <w:color w:val="auto"/>
                <w:sz w:val="24"/>
                <w:szCs w:val="24"/>
                <w:highlight w:val="none"/>
                <w:lang w:val="en-US" w:eastAsia="zh-CN"/>
              </w:rPr>
              <w:t>准</w:t>
            </w:r>
            <w:r>
              <w:rPr>
                <w:rFonts w:hint="eastAsia" w:cs="Times New Roman"/>
                <w:bCs/>
                <w:color w:val="auto"/>
                <w:sz w:val="24"/>
                <w:szCs w:val="24"/>
                <w:highlight w:val="none"/>
                <w:lang w:val="en-US" w:eastAsia="zh-CN"/>
              </w:rPr>
              <w:t>，</w:t>
            </w:r>
            <w:r>
              <w:rPr>
                <w:rFonts w:hint="default" w:ascii="Times New Roman" w:hAnsi="Times New Roman" w:cs="Times New Roman"/>
                <w:color w:val="auto"/>
                <w:sz w:val="24"/>
              </w:rPr>
              <w:t>具体标准值见下表。</w:t>
            </w:r>
          </w:p>
          <w:p w14:paraId="764579B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7</w:t>
            </w:r>
            <w:r>
              <w:rPr>
                <w:rFonts w:hint="default" w:ascii="Times New Roman" w:hAnsi="Times New Roman" w:cs="Times New Roman"/>
                <w:b/>
                <w:bCs/>
                <w:color w:val="auto"/>
                <w:sz w:val="21"/>
                <w:szCs w:val="21"/>
                <w:lang w:val="en-US" w:eastAsia="zh-CN"/>
              </w:rPr>
              <w:t>大气污染物排放标准</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3571"/>
              <w:gridCol w:w="2827"/>
            </w:tblGrid>
            <w:tr w14:paraId="5508B3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38" w:type="dxa"/>
                  <w:tcBorders>
                    <w:tl2br w:val="nil"/>
                    <w:tr2bl w:val="nil"/>
                  </w:tcBorders>
                  <w:noWrap w:val="0"/>
                  <w:vAlign w:val="center"/>
                </w:tcPr>
                <w:p w14:paraId="40B31BAE">
                  <w:pPr>
                    <w:pStyle w:val="5"/>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污染物</w:t>
                  </w:r>
                </w:p>
              </w:tc>
              <w:tc>
                <w:tcPr>
                  <w:tcW w:w="3571" w:type="dxa"/>
                  <w:tcBorders>
                    <w:tl2br w:val="nil"/>
                    <w:tr2bl w:val="nil"/>
                  </w:tcBorders>
                  <w:noWrap w:val="0"/>
                  <w:vAlign w:val="center"/>
                </w:tcPr>
                <w:p w14:paraId="4CDB0442">
                  <w:pPr>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2"/>
                      <w:sz w:val="21"/>
                      <w:szCs w:val="21"/>
                    </w:rPr>
                    <w:t>最高允许排放浓度（</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kern w:val="2"/>
                      <w:sz w:val="21"/>
                      <w:szCs w:val="21"/>
                    </w:rPr>
                    <w:t>）</w:t>
                  </w:r>
                </w:p>
              </w:tc>
              <w:tc>
                <w:tcPr>
                  <w:tcW w:w="2827" w:type="dxa"/>
                  <w:tcBorders>
                    <w:tl2br w:val="nil"/>
                    <w:tr2bl w:val="nil"/>
                  </w:tcBorders>
                  <w:noWrap w:val="0"/>
                  <w:vAlign w:val="center"/>
                </w:tcPr>
                <w:p w14:paraId="18DFF378">
                  <w:pPr>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无组织排放监控浓度</w:t>
                  </w:r>
                  <w:r>
                    <w:rPr>
                      <w:rFonts w:hint="default" w:ascii="Times New Roman" w:hAnsi="Times New Roman" w:eastAsia="宋体" w:cs="Times New Roman"/>
                      <w:color w:val="auto"/>
                      <w:kern w:val="2"/>
                      <w:sz w:val="21"/>
                      <w:szCs w:val="21"/>
                    </w:rPr>
                    <w:t>（</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kern w:val="2"/>
                      <w:sz w:val="21"/>
                      <w:szCs w:val="21"/>
                    </w:rPr>
                    <w:t>）</w:t>
                  </w:r>
                </w:p>
              </w:tc>
            </w:tr>
            <w:tr w14:paraId="51E393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38" w:type="dxa"/>
                  <w:tcBorders>
                    <w:tl2br w:val="nil"/>
                    <w:tr2bl w:val="nil"/>
                  </w:tcBorders>
                  <w:noWrap w:val="0"/>
                  <w:vAlign w:val="center"/>
                </w:tcPr>
                <w:p w14:paraId="7A97D3D5">
                  <w:pPr>
                    <w:pStyle w:val="68"/>
                    <w:keepNext/>
                    <w:keepLines/>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default" w:ascii="Times New Roman" w:hAnsi="Times New Roman" w:eastAsia="宋体" w:cs="Times New Roman"/>
                      <w:color w:val="auto"/>
                      <w:kern w:val="2"/>
                      <w:sz w:val="21"/>
                      <w:szCs w:val="21"/>
                      <w:u w:val="none"/>
                      <w:shd w:val="clear" w:color="auto" w:fill="auto"/>
                      <w:lang w:val="en-US" w:eastAsia="zh-CN" w:bidi="ar-SA"/>
                    </w:rPr>
                    <w:t>非甲烷总烃</w:t>
                  </w:r>
                </w:p>
              </w:tc>
              <w:tc>
                <w:tcPr>
                  <w:tcW w:w="3571" w:type="dxa"/>
                  <w:tcBorders>
                    <w:tl2br w:val="nil"/>
                    <w:tr2bl w:val="nil"/>
                  </w:tcBorders>
                  <w:noWrap w:val="0"/>
                  <w:vAlign w:val="center"/>
                </w:tcPr>
                <w:p w14:paraId="3CE6866F">
                  <w:pPr>
                    <w:snapToGrid w:val="0"/>
                    <w:spacing w:line="240" w:lineRule="atLeast"/>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lang w:val="en-US" w:eastAsia="zh-CN"/>
                    </w:rPr>
                    <w:t>60</w:t>
                  </w:r>
                </w:p>
              </w:tc>
              <w:tc>
                <w:tcPr>
                  <w:tcW w:w="2827" w:type="dxa"/>
                  <w:tcBorders>
                    <w:tl2br w:val="nil"/>
                    <w:tr2bl w:val="nil"/>
                  </w:tcBorders>
                  <w:noWrap w:val="0"/>
                  <w:vAlign w:val="center"/>
                </w:tcPr>
                <w:p w14:paraId="5CF366F4">
                  <w:pPr>
                    <w:snapToGrid w:val="0"/>
                    <w:spacing w:line="240" w:lineRule="atLeas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4.0</w:t>
                  </w:r>
                </w:p>
              </w:tc>
            </w:tr>
          </w:tbl>
          <w:p w14:paraId="72C96D7D">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8</w:t>
            </w:r>
            <w:r>
              <w:rPr>
                <w:rFonts w:hint="default" w:ascii="Times New Roman" w:hAnsi="Times New Roman" w:cs="Times New Roman"/>
                <w:b/>
                <w:bCs/>
                <w:color w:val="auto"/>
                <w:sz w:val="21"/>
                <w:szCs w:val="21"/>
                <w:lang w:val="en-US" w:eastAsia="zh-CN"/>
              </w:rPr>
              <w:t>厂区内VOCs无组织排放限值</w:t>
            </w:r>
          </w:p>
          <w:tbl>
            <w:tblPr>
              <w:tblStyle w:val="27"/>
              <w:tblW w:w="777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236"/>
              <w:gridCol w:w="2077"/>
              <w:gridCol w:w="2458"/>
              <w:gridCol w:w="2008"/>
            </w:tblGrid>
            <w:tr w14:paraId="03BC43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noWrap w:val="0"/>
                  <w:vAlign w:val="center"/>
                </w:tcPr>
                <w:p w14:paraId="14C727FE">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2077" w:type="dxa"/>
                  <w:noWrap w:val="0"/>
                  <w:vAlign w:val="center"/>
                </w:tcPr>
                <w:p w14:paraId="59322F48">
                  <w:pPr>
                    <w:widowControl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特别排放限值</w:t>
                  </w:r>
                  <w:r>
                    <w:rPr>
                      <w:rFonts w:hint="eastAsia" w:cs="Times New Roman"/>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eastAsia" w:cs="Times New Roman"/>
                      <w:color w:val="auto"/>
                      <w:sz w:val="21"/>
                      <w:szCs w:val="21"/>
                      <w:highlight w:val="none"/>
                      <w:lang w:val="en-US" w:eastAsia="zh-CN"/>
                    </w:rPr>
                    <w:t>)</w:t>
                  </w:r>
                </w:p>
              </w:tc>
              <w:tc>
                <w:tcPr>
                  <w:tcW w:w="2458" w:type="dxa"/>
                  <w:noWrap w:val="0"/>
                  <w:vAlign w:val="center"/>
                </w:tcPr>
                <w:p w14:paraId="034D0FA3">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限值含义</w:t>
                  </w:r>
                </w:p>
              </w:tc>
              <w:tc>
                <w:tcPr>
                  <w:tcW w:w="2008" w:type="dxa"/>
                  <w:noWrap w:val="0"/>
                  <w:vAlign w:val="center"/>
                </w:tcPr>
                <w:p w14:paraId="57CCA2D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无组织排放监控位置</w:t>
                  </w:r>
                </w:p>
              </w:tc>
            </w:tr>
            <w:tr w14:paraId="3DB487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vMerge w:val="restart"/>
                  <w:noWrap w:val="0"/>
                  <w:vAlign w:val="center"/>
                </w:tcPr>
                <w:p w14:paraId="20C02A6B">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非甲烷总烃</w:t>
                  </w:r>
                </w:p>
              </w:tc>
              <w:tc>
                <w:tcPr>
                  <w:tcW w:w="2077" w:type="dxa"/>
                  <w:noWrap w:val="0"/>
                  <w:vAlign w:val="center"/>
                </w:tcPr>
                <w:p w14:paraId="2AA55818">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458" w:type="dxa"/>
                  <w:noWrap w:val="0"/>
                  <w:vAlign w:val="center"/>
                </w:tcPr>
                <w:p w14:paraId="5A7C4ABA">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2008" w:type="dxa"/>
                  <w:vMerge w:val="restart"/>
                  <w:noWrap w:val="0"/>
                  <w:vAlign w:val="center"/>
                </w:tcPr>
                <w:p w14:paraId="035BBE4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r>
            <w:tr w14:paraId="3E3D50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vMerge w:val="continue"/>
                  <w:noWrap w:val="0"/>
                  <w:vAlign w:val="center"/>
                </w:tcPr>
                <w:p w14:paraId="0AA5F7C1">
                  <w:pPr>
                    <w:widowControl w:val="0"/>
                    <w:jc w:val="center"/>
                    <w:rPr>
                      <w:rFonts w:hint="default" w:ascii="Times New Roman" w:hAnsi="Times New Roman" w:eastAsia="宋体" w:cs="Times New Roman"/>
                      <w:color w:val="auto"/>
                      <w:sz w:val="21"/>
                      <w:szCs w:val="21"/>
                      <w:highlight w:val="none"/>
                    </w:rPr>
                  </w:pPr>
                </w:p>
              </w:tc>
              <w:tc>
                <w:tcPr>
                  <w:tcW w:w="2077" w:type="dxa"/>
                  <w:noWrap w:val="0"/>
                  <w:vAlign w:val="center"/>
                </w:tcPr>
                <w:p w14:paraId="3EE6075C">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2458" w:type="dxa"/>
                  <w:noWrap w:val="0"/>
                  <w:vAlign w:val="center"/>
                </w:tcPr>
                <w:p w14:paraId="632A005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2008" w:type="dxa"/>
                  <w:vMerge w:val="continue"/>
                  <w:noWrap w:val="0"/>
                  <w:vAlign w:val="center"/>
                </w:tcPr>
                <w:p w14:paraId="1FC8D126">
                  <w:pPr>
                    <w:widowControl w:val="0"/>
                    <w:jc w:val="center"/>
                    <w:rPr>
                      <w:rFonts w:hint="default" w:ascii="Times New Roman" w:hAnsi="Times New Roman" w:eastAsia="宋体" w:cs="Times New Roman"/>
                      <w:color w:val="auto"/>
                      <w:sz w:val="21"/>
                      <w:szCs w:val="21"/>
                      <w:highlight w:val="none"/>
                    </w:rPr>
                  </w:pPr>
                </w:p>
              </w:tc>
            </w:tr>
          </w:tbl>
          <w:p w14:paraId="2D3EFF8F">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2、废水</w:t>
            </w:r>
          </w:p>
          <w:p w14:paraId="5B97F1E7">
            <w:pPr>
              <w:adjustRightInd w:val="0"/>
              <w:snapToGrid w:val="0"/>
              <w:spacing w:line="500" w:lineRule="exact"/>
              <w:ind w:firstLine="480" w:firstLineChars="200"/>
              <w:rPr>
                <w:rFonts w:hint="default" w:ascii="Times New Roman" w:hAnsi="Times New Roman" w:cs="Times New Roman"/>
                <w:b/>
                <w:color w:val="auto"/>
                <w:sz w:val="24"/>
              </w:rPr>
            </w:pPr>
            <w:r>
              <w:rPr>
                <w:rFonts w:hint="default" w:ascii="Times New Roman" w:hAnsi="Times New Roman" w:cs="Times New Roman"/>
                <w:color w:val="auto"/>
                <w:sz w:val="24"/>
                <w:szCs w:val="24"/>
              </w:rPr>
              <w:t>本项目</w:t>
            </w:r>
            <w:r>
              <w:rPr>
                <w:rFonts w:hint="eastAsia" w:cs="Times New Roman"/>
                <w:color w:val="auto"/>
                <w:sz w:val="24"/>
                <w:szCs w:val="24"/>
                <w:lang w:eastAsia="zh-CN"/>
              </w:rPr>
              <w:t>冷却水循环使用不外排，</w:t>
            </w:r>
            <w:r>
              <w:rPr>
                <w:rFonts w:hint="default" w:ascii="Times New Roman" w:hAnsi="Times New Roman" w:cs="Times New Roman"/>
                <w:color w:val="auto"/>
                <w:sz w:val="24"/>
              </w:rPr>
              <w:t>本项目生活污水接管</w:t>
            </w:r>
            <w:r>
              <w:rPr>
                <w:rFonts w:hint="eastAsia" w:cs="Times New Roman"/>
                <w:color w:val="auto"/>
                <w:sz w:val="24"/>
                <w:lang w:eastAsia="zh-CN"/>
              </w:rPr>
              <w:t>至</w:t>
            </w:r>
            <w:r>
              <w:rPr>
                <w:rFonts w:hint="default" w:ascii="Times New Roman" w:hAnsi="Times New Roman" w:cs="Times New Roman"/>
                <w:color w:val="auto"/>
                <w:sz w:val="24"/>
                <w:lang w:eastAsia="zh-CN"/>
              </w:rPr>
              <w:t>常州金坛区第二污水处理有限</w:t>
            </w:r>
            <w:r>
              <w:rPr>
                <w:rFonts w:hint="default" w:ascii="Times New Roman" w:hAnsi="Times New Roman" w:eastAsia="宋体" w:cs="Times New Roman"/>
                <w:color w:val="auto"/>
                <w:sz w:val="24"/>
                <w:lang w:eastAsia="zh-CN"/>
              </w:rPr>
              <w:t>公司</w:t>
            </w:r>
            <w:r>
              <w:rPr>
                <w:rFonts w:hint="default" w:ascii="Times New Roman" w:hAnsi="Times New Roman" w:eastAsia="宋体" w:cs="Times New Roman"/>
                <w:color w:val="auto"/>
                <w:sz w:val="24"/>
              </w:rPr>
              <w:t>集中处理，尾水排入</w:t>
            </w:r>
            <w:r>
              <w:rPr>
                <w:rFonts w:hint="default" w:ascii="Times New Roman" w:hAnsi="Times New Roman" w:eastAsia="宋体" w:cs="Times New Roman"/>
                <w:color w:val="auto"/>
                <w:sz w:val="24"/>
                <w:lang w:eastAsia="zh-CN"/>
              </w:rPr>
              <w:t>尧塘河，</w:t>
            </w:r>
            <w:r>
              <w:rPr>
                <w:rFonts w:hint="default" w:ascii="Times New Roman" w:hAnsi="Times New Roman" w:eastAsia="宋体" w:cs="Times New Roman"/>
                <w:color w:val="auto"/>
                <w:sz w:val="24"/>
              </w:rPr>
              <w:t>接管标准执行《常州金坛区第二污水处理有限公司污水接管要求》，污</w:t>
            </w:r>
            <w:r>
              <w:rPr>
                <w:rFonts w:hint="default" w:ascii="Times New Roman" w:hAnsi="Times New Roman" w:cs="Times New Roman"/>
                <w:color w:val="auto"/>
                <w:sz w:val="24"/>
              </w:rPr>
              <w:t>水处理厂尾水排放执行《太湖地区城镇污水处理厂及重点工业行业主要水污染物排放限值》（DB32/1072-2018）表2中城镇污水处理厂标准，未列入项目（SS）执行《城镇污水处理厂污染物排放标准》（GB18918-2002）表1中一级A标准，标准值如下：</w:t>
            </w:r>
          </w:p>
          <w:p w14:paraId="09DBC924">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9</w:t>
            </w:r>
            <w:r>
              <w:rPr>
                <w:rFonts w:hint="default" w:ascii="Times New Roman" w:hAnsi="Times New Roman" w:cs="Times New Roman"/>
                <w:b/>
                <w:bCs/>
                <w:color w:val="auto"/>
                <w:sz w:val="21"/>
                <w:szCs w:val="21"/>
                <w:lang w:val="en-US" w:eastAsia="zh-CN"/>
              </w:rPr>
              <w:t>水污染物排放标准</w:t>
            </w:r>
          </w:p>
          <w:tbl>
            <w:tblPr>
              <w:tblStyle w:val="2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2668"/>
              <w:gridCol w:w="1411"/>
              <w:gridCol w:w="1120"/>
              <w:gridCol w:w="730"/>
              <w:gridCol w:w="981"/>
            </w:tblGrid>
            <w:tr w14:paraId="7EA3C2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tcMar>
                    <w:left w:w="0" w:type="dxa"/>
                    <w:right w:w="0" w:type="dxa"/>
                  </w:tcMar>
                  <w:vAlign w:val="center"/>
                </w:tcPr>
                <w:p w14:paraId="6DD93A11">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排放口</w:t>
                  </w:r>
                </w:p>
                <w:p w14:paraId="69517506">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名称</w:t>
                  </w:r>
                </w:p>
              </w:tc>
              <w:tc>
                <w:tcPr>
                  <w:tcW w:w="2668" w:type="dxa"/>
                  <w:vAlign w:val="center"/>
                </w:tcPr>
                <w:p w14:paraId="03953428">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执行标准</w:t>
                  </w:r>
                </w:p>
              </w:tc>
              <w:tc>
                <w:tcPr>
                  <w:tcW w:w="1411" w:type="dxa"/>
                  <w:tcMar>
                    <w:left w:w="0" w:type="dxa"/>
                    <w:right w:w="0" w:type="dxa"/>
                  </w:tcMar>
                  <w:vAlign w:val="center"/>
                </w:tcPr>
                <w:p w14:paraId="1561FE85">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取值表号及级别</w:t>
                  </w:r>
                </w:p>
              </w:tc>
              <w:tc>
                <w:tcPr>
                  <w:tcW w:w="1120" w:type="dxa"/>
                  <w:vAlign w:val="center"/>
                </w:tcPr>
                <w:p w14:paraId="7817032E">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污染物指标</w:t>
                  </w:r>
                </w:p>
              </w:tc>
              <w:tc>
                <w:tcPr>
                  <w:tcW w:w="730" w:type="dxa"/>
                  <w:vAlign w:val="center"/>
                </w:tcPr>
                <w:p w14:paraId="3FFE5014">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单位</w:t>
                  </w:r>
                </w:p>
              </w:tc>
              <w:tc>
                <w:tcPr>
                  <w:tcW w:w="981" w:type="dxa"/>
                  <w:vAlign w:val="center"/>
                </w:tcPr>
                <w:p w14:paraId="0EC8E339">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标准限值</w:t>
                  </w:r>
                </w:p>
              </w:tc>
            </w:tr>
            <w:tr w14:paraId="39CFAF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restart"/>
                  <w:vAlign w:val="center"/>
                </w:tcPr>
                <w:p w14:paraId="35E0AE3F">
                  <w:pPr>
                    <w:adjustRightInd w:val="0"/>
                    <w:jc w:val="center"/>
                    <w:rPr>
                      <w:rFonts w:hint="default" w:ascii="Times New Roman" w:hAnsi="Times New Roman" w:cs="Times New Roman"/>
                      <w:bCs/>
                      <w:color w:val="auto"/>
                      <w:szCs w:val="21"/>
                    </w:rPr>
                  </w:pPr>
                  <w:r>
                    <w:rPr>
                      <w:rFonts w:hint="default" w:ascii="Times New Roman" w:hAnsi="Times New Roman" w:cs="Times New Roman"/>
                      <w:color w:val="auto"/>
                      <w:sz w:val="21"/>
                      <w:szCs w:val="21"/>
                    </w:rPr>
                    <w:t>DW001</w:t>
                  </w:r>
                </w:p>
              </w:tc>
              <w:tc>
                <w:tcPr>
                  <w:tcW w:w="2668" w:type="dxa"/>
                  <w:vMerge w:val="restart"/>
                  <w:vAlign w:val="center"/>
                </w:tcPr>
                <w:p w14:paraId="46C6A636">
                  <w:pPr>
                    <w:adjustRightInd w:val="0"/>
                    <w:jc w:val="center"/>
                    <w:rPr>
                      <w:rFonts w:hint="default" w:ascii="Times New Roman" w:hAnsi="Times New Roman" w:cs="Times New Roman"/>
                      <w:bCs/>
                      <w:color w:val="auto"/>
                      <w:szCs w:val="21"/>
                    </w:rPr>
                  </w:pPr>
                  <w:r>
                    <w:rPr>
                      <w:rFonts w:hint="default" w:ascii="Times New Roman" w:hAnsi="Times New Roman" w:cs="Times New Roman"/>
                      <w:color w:val="auto"/>
                      <w:szCs w:val="21"/>
                    </w:rPr>
                    <w:t>常州金坛区第二污水处理有限公司污水接管要求</w:t>
                  </w:r>
                </w:p>
              </w:tc>
              <w:tc>
                <w:tcPr>
                  <w:tcW w:w="1411" w:type="dxa"/>
                  <w:vMerge w:val="restart"/>
                  <w:vAlign w:val="center"/>
                </w:tcPr>
                <w:p w14:paraId="112FFFBE">
                  <w:pPr>
                    <w:adjustRightInd w:val="0"/>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lang w:val="en-US" w:eastAsia="zh-CN"/>
                    </w:rPr>
                    <w:t>/</w:t>
                  </w:r>
                </w:p>
              </w:tc>
              <w:tc>
                <w:tcPr>
                  <w:tcW w:w="1120" w:type="dxa"/>
                  <w:vAlign w:val="center"/>
                </w:tcPr>
                <w:p w14:paraId="4F452475">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COD</w:t>
                  </w:r>
                </w:p>
              </w:tc>
              <w:tc>
                <w:tcPr>
                  <w:tcW w:w="730" w:type="dxa"/>
                  <w:vAlign w:val="center"/>
                </w:tcPr>
                <w:p w14:paraId="607E4B6C">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5F85899F">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500</w:t>
                  </w:r>
                </w:p>
              </w:tc>
            </w:tr>
            <w:tr w14:paraId="0A216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09AE57E4">
                  <w:pPr>
                    <w:adjustRightInd w:val="0"/>
                    <w:jc w:val="center"/>
                    <w:rPr>
                      <w:rFonts w:hint="default" w:ascii="Times New Roman" w:hAnsi="Times New Roman" w:cs="Times New Roman"/>
                      <w:bCs/>
                      <w:color w:val="auto"/>
                      <w:szCs w:val="21"/>
                    </w:rPr>
                  </w:pPr>
                </w:p>
              </w:tc>
              <w:tc>
                <w:tcPr>
                  <w:tcW w:w="2668" w:type="dxa"/>
                  <w:vMerge w:val="continue"/>
                  <w:vAlign w:val="center"/>
                </w:tcPr>
                <w:p w14:paraId="62303C47">
                  <w:pPr>
                    <w:adjustRightInd w:val="0"/>
                    <w:jc w:val="center"/>
                    <w:rPr>
                      <w:rFonts w:hint="default" w:ascii="Times New Roman" w:hAnsi="Times New Roman" w:cs="Times New Roman"/>
                      <w:bCs/>
                      <w:color w:val="auto"/>
                      <w:szCs w:val="21"/>
                    </w:rPr>
                  </w:pPr>
                </w:p>
              </w:tc>
              <w:tc>
                <w:tcPr>
                  <w:tcW w:w="1411" w:type="dxa"/>
                  <w:vMerge w:val="continue"/>
                  <w:vAlign w:val="center"/>
                </w:tcPr>
                <w:p w14:paraId="1782549B">
                  <w:pPr>
                    <w:adjustRightInd w:val="0"/>
                    <w:jc w:val="center"/>
                    <w:rPr>
                      <w:rFonts w:hint="default" w:ascii="Times New Roman" w:hAnsi="Times New Roman" w:cs="Times New Roman"/>
                      <w:bCs/>
                      <w:color w:val="auto"/>
                      <w:szCs w:val="21"/>
                    </w:rPr>
                  </w:pPr>
                </w:p>
              </w:tc>
              <w:tc>
                <w:tcPr>
                  <w:tcW w:w="1120" w:type="dxa"/>
                  <w:vAlign w:val="center"/>
                </w:tcPr>
                <w:p w14:paraId="32ADE4D4">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SS</w:t>
                  </w:r>
                </w:p>
              </w:tc>
              <w:tc>
                <w:tcPr>
                  <w:tcW w:w="730" w:type="dxa"/>
                  <w:vAlign w:val="center"/>
                </w:tcPr>
                <w:p w14:paraId="41DF2991">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6E852239">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25</w:t>
                  </w:r>
                  <w:r>
                    <w:rPr>
                      <w:rFonts w:hint="default" w:ascii="Times New Roman" w:hAnsi="Times New Roman" w:cs="Times New Roman"/>
                      <w:bCs/>
                      <w:color w:val="auto"/>
                      <w:szCs w:val="21"/>
                    </w:rPr>
                    <w:t>0</w:t>
                  </w:r>
                </w:p>
              </w:tc>
            </w:tr>
            <w:tr w14:paraId="132E55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0EC18079">
                  <w:pPr>
                    <w:adjustRightInd w:val="0"/>
                    <w:jc w:val="center"/>
                    <w:rPr>
                      <w:rFonts w:hint="default" w:ascii="Times New Roman" w:hAnsi="Times New Roman" w:cs="Times New Roman"/>
                      <w:bCs/>
                      <w:color w:val="auto"/>
                      <w:szCs w:val="21"/>
                    </w:rPr>
                  </w:pPr>
                </w:p>
              </w:tc>
              <w:tc>
                <w:tcPr>
                  <w:tcW w:w="2668" w:type="dxa"/>
                  <w:vMerge w:val="continue"/>
                  <w:vAlign w:val="center"/>
                </w:tcPr>
                <w:p w14:paraId="4837211E">
                  <w:pPr>
                    <w:adjustRightInd w:val="0"/>
                    <w:jc w:val="center"/>
                    <w:rPr>
                      <w:rFonts w:hint="default" w:ascii="Times New Roman" w:hAnsi="Times New Roman" w:cs="Times New Roman"/>
                      <w:bCs/>
                      <w:color w:val="auto"/>
                      <w:szCs w:val="21"/>
                    </w:rPr>
                  </w:pPr>
                </w:p>
              </w:tc>
              <w:tc>
                <w:tcPr>
                  <w:tcW w:w="1411" w:type="dxa"/>
                  <w:vMerge w:val="continue"/>
                  <w:vAlign w:val="center"/>
                </w:tcPr>
                <w:p w14:paraId="581A5526">
                  <w:pPr>
                    <w:adjustRightInd w:val="0"/>
                    <w:jc w:val="center"/>
                    <w:rPr>
                      <w:rFonts w:hint="default" w:ascii="Times New Roman" w:hAnsi="Times New Roman" w:cs="Times New Roman"/>
                      <w:bCs/>
                      <w:color w:val="auto"/>
                      <w:szCs w:val="21"/>
                    </w:rPr>
                  </w:pPr>
                </w:p>
              </w:tc>
              <w:tc>
                <w:tcPr>
                  <w:tcW w:w="1120" w:type="dxa"/>
                  <w:vAlign w:val="center"/>
                </w:tcPr>
                <w:p w14:paraId="64DF4E16">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730" w:type="dxa"/>
                  <w:vAlign w:val="center"/>
                </w:tcPr>
                <w:p w14:paraId="0B370C03">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5DB5AF2A">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3</w:t>
                  </w:r>
                  <w:r>
                    <w:rPr>
                      <w:rFonts w:hint="default" w:ascii="Times New Roman" w:hAnsi="Times New Roman" w:cs="Times New Roman"/>
                      <w:bCs/>
                      <w:color w:val="auto"/>
                      <w:szCs w:val="21"/>
                    </w:rPr>
                    <w:t>5</w:t>
                  </w:r>
                </w:p>
              </w:tc>
            </w:tr>
            <w:tr w14:paraId="33B3DC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2D504142">
                  <w:pPr>
                    <w:adjustRightInd w:val="0"/>
                    <w:jc w:val="center"/>
                    <w:rPr>
                      <w:rFonts w:hint="default" w:ascii="Times New Roman" w:hAnsi="Times New Roman" w:cs="Times New Roman"/>
                      <w:bCs/>
                      <w:color w:val="auto"/>
                      <w:szCs w:val="21"/>
                    </w:rPr>
                  </w:pPr>
                </w:p>
              </w:tc>
              <w:tc>
                <w:tcPr>
                  <w:tcW w:w="2668" w:type="dxa"/>
                  <w:vMerge w:val="continue"/>
                  <w:vAlign w:val="center"/>
                </w:tcPr>
                <w:p w14:paraId="389E3FCA">
                  <w:pPr>
                    <w:adjustRightInd w:val="0"/>
                    <w:jc w:val="center"/>
                    <w:rPr>
                      <w:rFonts w:hint="default" w:ascii="Times New Roman" w:hAnsi="Times New Roman" w:cs="Times New Roman"/>
                      <w:bCs/>
                      <w:color w:val="auto"/>
                      <w:szCs w:val="21"/>
                    </w:rPr>
                  </w:pPr>
                </w:p>
              </w:tc>
              <w:tc>
                <w:tcPr>
                  <w:tcW w:w="1411" w:type="dxa"/>
                  <w:vMerge w:val="continue"/>
                  <w:vAlign w:val="center"/>
                </w:tcPr>
                <w:p w14:paraId="0FC616B8">
                  <w:pPr>
                    <w:adjustRightInd w:val="0"/>
                    <w:jc w:val="center"/>
                    <w:rPr>
                      <w:rFonts w:hint="default" w:ascii="Times New Roman" w:hAnsi="Times New Roman" w:cs="Times New Roman"/>
                      <w:bCs/>
                      <w:color w:val="auto"/>
                      <w:szCs w:val="21"/>
                    </w:rPr>
                  </w:pPr>
                </w:p>
              </w:tc>
              <w:tc>
                <w:tcPr>
                  <w:tcW w:w="1120" w:type="dxa"/>
                  <w:vAlign w:val="center"/>
                </w:tcPr>
                <w:p w14:paraId="0F3BCF1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TP</w:t>
                  </w:r>
                </w:p>
              </w:tc>
              <w:tc>
                <w:tcPr>
                  <w:tcW w:w="730" w:type="dxa"/>
                  <w:vAlign w:val="center"/>
                </w:tcPr>
                <w:p w14:paraId="0999A774">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3641E59C">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3</w:t>
                  </w:r>
                </w:p>
              </w:tc>
            </w:tr>
            <w:tr w14:paraId="2E42ED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58117B79">
                  <w:pPr>
                    <w:adjustRightInd w:val="0"/>
                    <w:jc w:val="center"/>
                    <w:rPr>
                      <w:rFonts w:hint="default" w:ascii="Times New Roman" w:hAnsi="Times New Roman" w:cs="Times New Roman"/>
                      <w:bCs/>
                      <w:color w:val="auto"/>
                      <w:szCs w:val="21"/>
                    </w:rPr>
                  </w:pPr>
                </w:p>
              </w:tc>
              <w:tc>
                <w:tcPr>
                  <w:tcW w:w="2668" w:type="dxa"/>
                  <w:vMerge w:val="continue"/>
                  <w:vAlign w:val="center"/>
                </w:tcPr>
                <w:p w14:paraId="6B7505C7">
                  <w:pPr>
                    <w:adjustRightInd w:val="0"/>
                    <w:jc w:val="center"/>
                    <w:rPr>
                      <w:rFonts w:hint="default" w:ascii="Times New Roman" w:hAnsi="Times New Roman" w:cs="Times New Roman"/>
                      <w:bCs/>
                      <w:color w:val="auto"/>
                      <w:szCs w:val="21"/>
                    </w:rPr>
                  </w:pPr>
                </w:p>
              </w:tc>
              <w:tc>
                <w:tcPr>
                  <w:tcW w:w="1411" w:type="dxa"/>
                  <w:vMerge w:val="continue"/>
                  <w:vAlign w:val="center"/>
                </w:tcPr>
                <w:p w14:paraId="160370FC">
                  <w:pPr>
                    <w:adjustRightInd w:val="0"/>
                    <w:jc w:val="center"/>
                    <w:rPr>
                      <w:rFonts w:hint="default" w:ascii="Times New Roman" w:hAnsi="Times New Roman" w:cs="Times New Roman"/>
                      <w:bCs/>
                      <w:color w:val="auto"/>
                      <w:szCs w:val="21"/>
                    </w:rPr>
                  </w:pPr>
                </w:p>
              </w:tc>
              <w:tc>
                <w:tcPr>
                  <w:tcW w:w="1120" w:type="dxa"/>
                  <w:vAlign w:val="center"/>
                </w:tcPr>
                <w:p w14:paraId="4803FFD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TN</w:t>
                  </w:r>
                </w:p>
              </w:tc>
              <w:tc>
                <w:tcPr>
                  <w:tcW w:w="730" w:type="dxa"/>
                  <w:vAlign w:val="center"/>
                </w:tcPr>
                <w:p w14:paraId="68B79E3F">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3A52A170">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5</w:t>
                  </w:r>
                  <w:r>
                    <w:rPr>
                      <w:rFonts w:hint="default" w:ascii="Times New Roman" w:hAnsi="Times New Roman" w:cs="Times New Roman"/>
                      <w:bCs/>
                      <w:color w:val="auto"/>
                      <w:szCs w:val="21"/>
                    </w:rPr>
                    <w:t>0</w:t>
                  </w:r>
                </w:p>
              </w:tc>
            </w:tr>
            <w:tr w14:paraId="4514AE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restart"/>
                  <w:vAlign w:val="center"/>
                </w:tcPr>
                <w:p w14:paraId="39988BC1">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污水处理厂排口</w:t>
                  </w:r>
                </w:p>
              </w:tc>
              <w:tc>
                <w:tcPr>
                  <w:tcW w:w="2668" w:type="dxa"/>
                  <w:vMerge w:val="restart"/>
                  <w:vAlign w:val="center"/>
                </w:tcPr>
                <w:p w14:paraId="012EB584">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《城镇污水处理厂污染物排放标准》(GB18918-2002)</w:t>
                  </w:r>
                </w:p>
              </w:tc>
              <w:tc>
                <w:tcPr>
                  <w:tcW w:w="1411" w:type="dxa"/>
                  <w:vMerge w:val="restart"/>
                  <w:vAlign w:val="center"/>
                </w:tcPr>
                <w:p w14:paraId="01785348">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表1</w:t>
                  </w:r>
                </w:p>
                <w:p w14:paraId="4D8D97C9">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一级A标准</w:t>
                  </w:r>
                </w:p>
              </w:tc>
              <w:tc>
                <w:tcPr>
                  <w:tcW w:w="1120" w:type="dxa"/>
                  <w:vAlign w:val="center"/>
                </w:tcPr>
                <w:p w14:paraId="1AC2CBB7">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pH</w:t>
                  </w:r>
                </w:p>
              </w:tc>
              <w:tc>
                <w:tcPr>
                  <w:tcW w:w="730" w:type="dxa"/>
                  <w:vAlign w:val="center"/>
                </w:tcPr>
                <w:p w14:paraId="18C39683">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981" w:type="dxa"/>
                  <w:vAlign w:val="center"/>
                </w:tcPr>
                <w:p w14:paraId="6F265FF0">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6-9</w:t>
                  </w:r>
                </w:p>
              </w:tc>
            </w:tr>
            <w:tr w14:paraId="57B259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09F32DDA">
                  <w:pPr>
                    <w:adjustRightInd w:val="0"/>
                    <w:jc w:val="center"/>
                    <w:rPr>
                      <w:rFonts w:hint="default" w:ascii="Times New Roman" w:hAnsi="Times New Roman" w:cs="Times New Roman"/>
                      <w:bCs/>
                      <w:color w:val="auto"/>
                      <w:szCs w:val="21"/>
                    </w:rPr>
                  </w:pPr>
                </w:p>
              </w:tc>
              <w:tc>
                <w:tcPr>
                  <w:tcW w:w="2668" w:type="dxa"/>
                  <w:vMerge w:val="continue"/>
                  <w:vAlign w:val="center"/>
                </w:tcPr>
                <w:p w14:paraId="2C1C3F95">
                  <w:pPr>
                    <w:adjustRightInd w:val="0"/>
                    <w:jc w:val="center"/>
                    <w:rPr>
                      <w:rFonts w:hint="default" w:ascii="Times New Roman" w:hAnsi="Times New Roman" w:cs="Times New Roman"/>
                      <w:bCs/>
                      <w:color w:val="auto"/>
                      <w:szCs w:val="21"/>
                    </w:rPr>
                  </w:pPr>
                </w:p>
              </w:tc>
              <w:tc>
                <w:tcPr>
                  <w:tcW w:w="1411" w:type="dxa"/>
                  <w:vMerge w:val="continue"/>
                  <w:vAlign w:val="center"/>
                </w:tcPr>
                <w:p w14:paraId="35276752">
                  <w:pPr>
                    <w:adjustRightInd w:val="0"/>
                    <w:jc w:val="center"/>
                    <w:rPr>
                      <w:rFonts w:hint="default" w:ascii="Times New Roman" w:hAnsi="Times New Roman" w:cs="Times New Roman"/>
                      <w:bCs/>
                      <w:color w:val="auto"/>
                      <w:szCs w:val="21"/>
                    </w:rPr>
                  </w:pPr>
                </w:p>
              </w:tc>
              <w:tc>
                <w:tcPr>
                  <w:tcW w:w="1120" w:type="dxa"/>
                  <w:vAlign w:val="center"/>
                </w:tcPr>
                <w:p w14:paraId="7BFD115B">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SS</w:t>
                  </w:r>
                </w:p>
              </w:tc>
              <w:tc>
                <w:tcPr>
                  <w:tcW w:w="730" w:type="dxa"/>
                  <w:vAlign w:val="center"/>
                </w:tcPr>
                <w:p w14:paraId="48730B75">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331AD223">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r>
            <w:tr w14:paraId="778EB3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63EF29EF">
                  <w:pPr>
                    <w:adjustRightInd w:val="0"/>
                    <w:jc w:val="center"/>
                    <w:rPr>
                      <w:rFonts w:hint="default" w:ascii="Times New Roman" w:hAnsi="Times New Roman" w:cs="Times New Roman"/>
                      <w:bCs/>
                      <w:color w:val="auto"/>
                      <w:szCs w:val="21"/>
                    </w:rPr>
                  </w:pPr>
                </w:p>
              </w:tc>
              <w:tc>
                <w:tcPr>
                  <w:tcW w:w="2668" w:type="dxa"/>
                  <w:vMerge w:val="restart"/>
                  <w:vAlign w:val="center"/>
                </w:tcPr>
                <w:p w14:paraId="30222648">
                  <w:pPr>
                    <w:adjustRightIn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《太湖地区城镇污水处理厂及重点工业行业主要水污染物排放限值》(DB32/1072-2018)</w:t>
                  </w:r>
                </w:p>
              </w:tc>
              <w:tc>
                <w:tcPr>
                  <w:tcW w:w="1411" w:type="dxa"/>
                  <w:vMerge w:val="restart"/>
                  <w:vAlign w:val="center"/>
                </w:tcPr>
                <w:p w14:paraId="1BAE4FA0">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表2</w:t>
                  </w:r>
                </w:p>
              </w:tc>
              <w:tc>
                <w:tcPr>
                  <w:tcW w:w="1120" w:type="dxa"/>
                  <w:vAlign w:val="center"/>
                </w:tcPr>
                <w:p w14:paraId="7534F51F">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COD</w:t>
                  </w:r>
                </w:p>
              </w:tc>
              <w:tc>
                <w:tcPr>
                  <w:tcW w:w="730" w:type="dxa"/>
                  <w:vAlign w:val="center"/>
                </w:tcPr>
                <w:p w14:paraId="20BAA3DB">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0A059030">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w:t>
                  </w:r>
                </w:p>
              </w:tc>
            </w:tr>
            <w:tr w14:paraId="71BA8A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5BCADF32">
                  <w:pPr>
                    <w:adjustRightInd w:val="0"/>
                    <w:jc w:val="center"/>
                    <w:rPr>
                      <w:rFonts w:hint="default" w:ascii="Times New Roman" w:hAnsi="Times New Roman" w:cs="Times New Roman"/>
                      <w:bCs/>
                      <w:color w:val="auto"/>
                      <w:szCs w:val="21"/>
                    </w:rPr>
                  </w:pPr>
                </w:p>
              </w:tc>
              <w:tc>
                <w:tcPr>
                  <w:tcW w:w="2668" w:type="dxa"/>
                  <w:vMerge w:val="continue"/>
                  <w:vAlign w:val="center"/>
                </w:tcPr>
                <w:p w14:paraId="7987DE45">
                  <w:pPr>
                    <w:adjustRightInd w:val="0"/>
                    <w:jc w:val="center"/>
                    <w:rPr>
                      <w:rFonts w:hint="default" w:ascii="Times New Roman" w:hAnsi="Times New Roman" w:eastAsia="宋体" w:cs="Times New Roman"/>
                      <w:bCs/>
                      <w:color w:val="auto"/>
                      <w:szCs w:val="21"/>
                    </w:rPr>
                  </w:pPr>
                </w:p>
              </w:tc>
              <w:tc>
                <w:tcPr>
                  <w:tcW w:w="1411" w:type="dxa"/>
                  <w:vMerge w:val="continue"/>
                  <w:vAlign w:val="center"/>
                </w:tcPr>
                <w:p w14:paraId="66B2E4D5">
                  <w:pPr>
                    <w:adjustRightInd w:val="0"/>
                    <w:jc w:val="center"/>
                    <w:rPr>
                      <w:rFonts w:hint="default" w:ascii="Times New Roman" w:hAnsi="Times New Roman" w:cs="Times New Roman"/>
                      <w:bCs/>
                      <w:color w:val="auto"/>
                      <w:szCs w:val="21"/>
                    </w:rPr>
                  </w:pPr>
                </w:p>
              </w:tc>
              <w:tc>
                <w:tcPr>
                  <w:tcW w:w="1120" w:type="dxa"/>
                  <w:vAlign w:val="center"/>
                </w:tcPr>
                <w:p w14:paraId="4C7CF8F8">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730" w:type="dxa"/>
                  <w:vAlign w:val="center"/>
                </w:tcPr>
                <w:p w14:paraId="70EAE5E1">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51D2C4D6">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4（6）</w:t>
                  </w:r>
                </w:p>
              </w:tc>
            </w:tr>
            <w:tr w14:paraId="5BEB69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4A441BD7">
                  <w:pPr>
                    <w:adjustRightInd w:val="0"/>
                    <w:jc w:val="center"/>
                    <w:rPr>
                      <w:rFonts w:hint="default" w:ascii="Times New Roman" w:hAnsi="Times New Roman" w:cs="Times New Roman"/>
                      <w:bCs/>
                      <w:color w:val="auto"/>
                      <w:szCs w:val="21"/>
                    </w:rPr>
                  </w:pPr>
                </w:p>
              </w:tc>
              <w:tc>
                <w:tcPr>
                  <w:tcW w:w="2668" w:type="dxa"/>
                  <w:vMerge w:val="continue"/>
                  <w:vAlign w:val="center"/>
                </w:tcPr>
                <w:p w14:paraId="08ABB44E">
                  <w:pPr>
                    <w:adjustRightInd w:val="0"/>
                    <w:jc w:val="center"/>
                    <w:rPr>
                      <w:rFonts w:hint="default" w:ascii="Times New Roman" w:hAnsi="Times New Roman" w:eastAsia="宋体" w:cs="Times New Roman"/>
                      <w:bCs/>
                      <w:color w:val="auto"/>
                      <w:szCs w:val="21"/>
                    </w:rPr>
                  </w:pPr>
                </w:p>
              </w:tc>
              <w:tc>
                <w:tcPr>
                  <w:tcW w:w="1411" w:type="dxa"/>
                  <w:vMerge w:val="continue"/>
                  <w:vAlign w:val="center"/>
                </w:tcPr>
                <w:p w14:paraId="057EF2C5">
                  <w:pPr>
                    <w:adjustRightInd w:val="0"/>
                    <w:jc w:val="center"/>
                    <w:rPr>
                      <w:rFonts w:hint="default" w:ascii="Times New Roman" w:hAnsi="Times New Roman" w:cs="Times New Roman"/>
                      <w:bCs/>
                      <w:color w:val="auto"/>
                      <w:szCs w:val="21"/>
                    </w:rPr>
                  </w:pPr>
                </w:p>
              </w:tc>
              <w:tc>
                <w:tcPr>
                  <w:tcW w:w="1120" w:type="dxa"/>
                  <w:vAlign w:val="center"/>
                </w:tcPr>
                <w:p w14:paraId="30AD1722">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TP</w:t>
                  </w:r>
                </w:p>
              </w:tc>
              <w:tc>
                <w:tcPr>
                  <w:tcW w:w="730" w:type="dxa"/>
                  <w:vAlign w:val="center"/>
                </w:tcPr>
                <w:p w14:paraId="317CC84E">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114B0B3B">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0.5</w:t>
                  </w:r>
                </w:p>
              </w:tc>
            </w:tr>
            <w:tr w14:paraId="47888B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77F4A846">
                  <w:pPr>
                    <w:adjustRightInd w:val="0"/>
                    <w:jc w:val="center"/>
                    <w:rPr>
                      <w:rFonts w:hint="default" w:ascii="Times New Roman" w:hAnsi="Times New Roman" w:cs="Times New Roman"/>
                      <w:bCs/>
                      <w:color w:val="auto"/>
                      <w:szCs w:val="21"/>
                    </w:rPr>
                  </w:pPr>
                </w:p>
              </w:tc>
              <w:tc>
                <w:tcPr>
                  <w:tcW w:w="2668" w:type="dxa"/>
                  <w:vMerge w:val="continue"/>
                  <w:vAlign w:val="center"/>
                </w:tcPr>
                <w:p w14:paraId="6978F450">
                  <w:pPr>
                    <w:adjustRightInd w:val="0"/>
                    <w:jc w:val="center"/>
                    <w:rPr>
                      <w:rFonts w:hint="default" w:ascii="Times New Roman" w:hAnsi="Times New Roman" w:eastAsia="宋体" w:cs="Times New Roman"/>
                      <w:bCs/>
                      <w:color w:val="auto"/>
                      <w:szCs w:val="21"/>
                    </w:rPr>
                  </w:pPr>
                </w:p>
              </w:tc>
              <w:tc>
                <w:tcPr>
                  <w:tcW w:w="1411" w:type="dxa"/>
                  <w:vMerge w:val="continue"/>
                  <w:vAlign w:val="center"/>
                </w:tcPr>
                <w:p w14:paraId="00702A27">
                  <w:pPr>
                    <w:adjustRightInd w:val="0"/>
                    <w:jc w:val="center"/>
                    <w:rPr>
                      <w:rFonts w:hint="default" w:ascii="Times New Roman" w:hAnsi="Times New Roman" w:cs="Times New Roman"/>
                      <w:bCs/>
                      <w:color w:val="auto"/>
                      <w:szCs w:val="21"/>
                    </w:rPr>
                  </w:pPr>
                </w:p>
              </w:tc>
              <w:tc>
                <w:tcPr>
                  <w:tcW w:w="1120" w:type="dxa"/>
                  <w:vAlign w:val="center"/>
                </w:tcPr>
                <w:p w14:paraId="50FD6F6F">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TN</w:t>
                  </w:r>
                </w:p>
              </w:tc>
              <w:tc>
                <w:tcPr>
                  <w:tcW w:w="730" w:type="dxa"/>
                  <w:vAlign w:val="center"/>
                </w:tcPr>
                <w:p w14:paraId="76AAF649">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30DA1AA0">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12（15）</w:t>
                  </w:r>
                </w:p>
              </w:tc>
            </w:tr>
            <w:tr w14:paraId="713FF4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66B694BF">
                  <w:pPr>
                    <w:adjustRightInd w:val="0"/>
                    <w:jc w:val="center"/>
                    <w:rPr>
                      <w:rFonts w:hint="default" w:ascii="Times New Roman" w:hAnsi="Times New Roman" w:cs="Times New Roman"/>
                      <w:bCs/>
                      <w:color w:val="auto"/>
                      <w:szCs w:val="21"/>
                    </w:rPr>
                  </w:pPr>
                </w:p>
              </w:tc>
              <w:tc>
                <w:tcPr>
                  <w:tcW w:w="2668" w:type="dxa"/>
                  <w:vMerge w:val="restart"/>
                  <w:vAlign w:val="center"/>
                </w:tcPr>
                <w:p w14:paraId="616B44B1">
                  <w:pPr>
                    <w:adjustRightInd w:val="0"/>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《城镇污水处理厂污染物排放标准》（</w:t>
                  </w:r>
                  <w:r>
                    <w:rPr>
                      <w:rFonts w:hint="default" w:ascii="Times New Roman" w:hAnsi="Times New Roman" w:eastAsia="宋体" w:cs="Times New Roman"/>
                      <w:bCs/>
                      <w:color w:val="auto"/>
                      <w:szCs w:val="21"/>
                      <w:lang w:val="en-US" w:eastAsia="zh-CN"/>
                    </w:rPr>
                    <w:t>DB32/4440-2022</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vertAlign w:val="superscript"/>
                      <w:lang w:val="en-US" w:eastAsia="zh-CN"/>
                    </w:rPr>
                    <w:t>②</w:t>
                  </w:r>
                </w:p>
              </w:tc>
              <w:tc>
                <w:tcPr>
                  <w:tcW w:w="1411" w:type="dxa"/>
                  <w:vMerge w:val="restart"/>
                  <w:vAlign w:val="center"/>
                </w:tcPr>
                <w:p w14:paraId="0F84F66B">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表</w:t>
                  </w:r>
                  <w:r>
                    <w:rPr>
                      <w:rFonts w:hint="default" w:ascii="Times New Roman" w:hAnsi="Times New Roman" w:eastAsia="宋体" w:cs="Times New Roman"/>
                      <w:bCs/>
                      <w:color w:val="auto"/>
                      <w:szCs w:val="21"/>
                      <w:lang w:val="en-US" w:eastAsia="zh-CN"/>
                    </w:rPr>
                    <w:t>1</w:t>
                  </w:r>
                </w:p>
                <w:p w14:paraId="78E4C9E6">
                  <w:pPr>
                    <w:adjustRightInd w:val="0"/>
                    <w:jc w:val="center"/>
                    <w:rPr>
                      <w:rFonts w:hint="default" w:ascii="Times New Roman" w:hAnsi="Times New Roman" w:cs="Times New Roman"/>
                      <w:bCs/>
                      <w:color w:val="auto"/>
                      <w:szCs w:val="21"/>
                    </w:rPr>
                  </w:pPr>
                  <w:r>
                    <w:rPr>
                      <w:rFonts w:hint="eastAsia" w:cs="Times New Roman"/>
                      <w:bCs/>
                      <w:color w:val="auto"/>
                      <w:szCs w:val="21"/>
                      <w:lang w:val="en-US" w:eastAsia="zh-CN"/>
                    </w:rPr>
                    <w:t>C</w:t>
                  </w:r>
                  <w:r>
                    <w:rPr>
                      <w:rFonts w:hint="eastAsia" w:ascii="Times New Roman" w:hAnsi="Times New Roman" w:eastAsia="宋体" w:cs="Times New Roman"/>
                      <w:bCs/>
                      <w:color w:val="auto"/>
                      <w:szCs w:val="21"/>
                      <w:lang w:val="en-US" w:eastAsia="zh-CN"/>
                    </w:rPr>
                    <w:t>级标准</w:t>
                  </w:r>
                </w:p>
              </w:tc>
              <w:tc>
                <w:tcPr>
                  <w:tcW w:w="1120" w:type="dxa"/>
                  <w:vAlign w:val="center"/>
                </w:tcPr>
                <w:p w14:paraId="08B2C70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pH</w:t>
                  </w:r>
                </w:p>
              </w:tc>
              <w:tc>
                <w:tcPr>
                  <w:tcW w:w="730" w:type="dxa"/>
                  <w:vAlign w:val="center"/>
                </w:tcPr>
                <w:p w14:paraId="03A7B9DC">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w:t>
                  </w:r>
                </w:p>
              </w:tc>
              <w:tc>
                <w:tcPr>
                  <w:tcW w:w="981" w:type="dxa"/>
                  <w:vAlign w:val="center"/>
                </w:tcPr>
                <w:p w14:paraId="6ACFF4A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6-9</w:t>
                  </w:r>
                </w:p>
              </w:tc>
            </w:tr>
            <w:tr w14:paraId="5A4A04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16A02312">
                  <w:pPr>
                    <w:adjustRightInd w:val="0"/>
                    <w:jc w:val="center"/>
                    <w:rPr>
                      <w:rFonts w:hint="default" w:ascii="Times New Roman" w:hAnsi="Times New Roman" w:cs="Times New Roman"/>
                      <w:bCs/>
                      <w:color w:val="auto"/>
                      <w:szCs w:val="21"/>
                    </w:rPr>
                  </w:pPr>
                </w:p>
              </w:tc>
              <w:tc>
                <w:tcPr>
                  <w:tcW w:w="2668" w:type="dxa"/>
                  <w:vMerge w:val="continue"/>
                  <w:vAlign w:val="center"/>
                </w:tcPr>
                <w:p w14:paraId="71B62776">
                  <w:pPr>
                    <w:adjustRightInd w:val="0"/>
                    <w:jc w:val="center"/>
                    <w:rPr>
                      <w:rFonts w:hint="default" w:ascii="Times New Roman" w:hAnsi="Times New Roman" w:cs="Times New Roman"/>
                      <w:bCs/>
                      <w:color w:val="auto"/>
                      <w:szCs w:val="21"/>
                    </w:rPr>
                  </w:pPr>
                </w:p>
              </w:tc>
              <w:tc>
                <w:tcPr>
                  <w:tcW w:w="1411" w:type="dxa"/>
                  <w:vMerge w:val="continue"/>
                  <w:vAlign w:val="center"/>
                </w:tcPr>
                <w:p w14:paraId="2ACF6095">
                  <w:pPr>
                    <w:adjustRightInd w:val="0"/>
                    <w:jc w:val="center"/>
                    <w:rPr>
                      <w:rFonts w:hint="default" w:ascii="Times New Roman" w:hAnsi="Times New Roman" w:cs="Times New Roman"/>
                      <w:bCs/>
                      <w:color w:val="auto"/>
                      <w:szCs w:val="21"/>
                    </w:rPr>
                  </w:pPr>
                </w:p>
              </w:tc>
              <w:tc>
                <w:tcPr>
                  <w:tcW w:w="1120" w:type="dxa"/>
                  <w:vAlign w:val="center"/>
                </w:tcPr>
                <w:p w14:paraId="71014005">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COD</w:t>
                  </w:r>
                </w:p>
              </w:tc>
              <w:tc>
                <w:tcPr>
                  <w:tcW w:w="730" w:type="dxa"/>
                  <w:vAlign w:val="center"/>
                </w:tcPr>
                <w:p w14:paraId="49719C4A">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6364FF8E">
                  <w:pPr>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50</w:t>
                  </w:r>
                </w:p>
              </w:tc>
            </w:tr>
            <w:tr w14:paraId="2D6B3A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54D5BDAD">
                  <w:pPr>
                    <w:adjustRightInd w:val="0"/>
                    <w:jc w:val="center"/>
                    <w:rPr>
                      <w:rFonts w:hint="default" w:ascii="Times New Roman" w:hAnsi="Times New Roman" w:cs="Times New Roman"/>
                      <w:bCs/>
                      <w:color w:val="auto"/>
                      <w:szCs w:val="21"/>
                    </w:rPr>
                  </w:pPr>
                </w:p>
              </w:tc>
              <w:tc>
                <w:tcPr>
                  <w:tcW w:w="2668" w:type="dxa"/>
                  <w:vMerge w:val="continue"/>
                  <w:vAlign w:val="center"/>
                </w:tcPr>
                <w:p w14:paraId="4BE2FB0C">
                  <w:pPr>
                    <w:adjustRightInd w:val="0"/>
                    <w:jc w:val="center"/>
                    <w:rPr>
                      <w:rFonts w:hint="default" w:ascii="Times New Roman" w:hAnsi="Times New Roman" w:cs="Times New Roman"/>
                      <w:bCs/>
                      <w:color w:val="auto"/>
                      <w:szCs w:val="21"/>
                    </w:rPr>
                  </w:pPr>
                </w:p>
              </w:tc>
              <w:tc>
                <w:tcPr>
                  <w:tcW w:w="1411" w:type="dxa"/>
                  <w:vMerge w:val="continue"/>
                  <w:vAlign w:val="center"/>
                </w:tcPr>
                <w:p w14:paraId="384F3688">
                  <w:pPr>
                    <w:adjustRightInd w:val="0"/>
                    <w:jc w:val="center"/>
                    <w:rPr>
                      <w:rFonts w:hint="default" w:ascii="Times New Roman" w:hAnsi="Times New Roman" w:cs="Times New Roman"/>
                      <w:bCs/>
                      <w:color w:val="auto"/>
                      <w:szCs w:val="21"/>
                    </w:rPr>
                  </w:pPr>
                </w:p>
              </w:tc>
              <w:tc>
                <w:tcPr>
                  <w:tcW w:w="1120" w:type="dxa"/>
                  <w:vAlign w:val="center"/>
                </w:tcPr>
                <w:p w14:paraId="22236CA1">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SS</w:t>
                  </w:r>
                </w:p>
              </w:tc>
              <w:tc>
                <w:tcPr>
                  <w:tcW w:w="730" w:type="dxa"/>
                  <w:vAlign w:val="center"/>
                </w:tcPr>
                <w:p w14:paraId="05F6363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35D1D89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10</w:t>
                  </w:r>
                </w:p>
              </w:tc>
            </w:tr>
            <w:tr w14:paraId="266CCB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7FB7BCD9">
                  <w:pPr>
                    <w:adjustRightInd w:val="0"/>
                    <w:jc w:val="center"/>
                    <w:rPr>
                      <w:rFonts w:hint="default" w:ascii="Times New Roman" w:hAnsi="Times New Roman" w:cs="Times New Roman"/>
                      <w:bCs/>
                      <w:color w:val="auto"/>
                      <w:szCs w:val="21"/>
                    </w:rPr>
                  </w:pPr>
                </w:p>
              </w:tc>
              <w:tc>
                <w:tcPr>
                  <w:tcW w:w="2668" w:type="dxa"/>
                  <w:vMerge w:val="continue"/>
                  <w:vAlign w:val="center"/>
                </w:tcPr>
                <w:p w14:paraId="6B914CCD">
                  <w:pPr>
                    <w:adjustRightInd w:val="0"/>
                    <w:jc w:val="center"/>
                    <w:rPr>
                      <w:rFonts w:hint="default" w:ascii="Times New Roman" w:hAnsi="Times New Roman" w:cs="Times New Roman"/>
                      <w:bCs/>
                      <w:color w:val="auto"/>
                      <w:szCs w:val="21"/>
                    </w:rPr>
                  </w:pPr>
                </w:p>
              </w:tc>
              <w:tc>
                <w:tcPr>
                  <w:tcW w:w="1411" w:type="dxa"/>
                  <w:vMerge w:val="continue"/>
                  <w:vAlign w:val="center"/>
                </w:tcPr>
                <w:p w14:paraId="12E60E4E">
                  <w:pPr>
                    <w:adjustRightInd w:val="0"/>
                    <w:jc w:val="center"/>
                    <w:rPr>
                      <w:rFonts w:hint="default" w:ascii="Times New Roman" w:hAnsi="Times New Roman" w:cs="Times New Roman"/>
                      <w:bCs/>
                      <w:color w:val="auto"/>
                      <w:szCs w:val="21"/>
                    </w:rPr>
                  </w:pPr>
                </w:p>
              </w:tc>
              <w:tc>
                <w:tcPr>
                  <w:tcW w:w="1120" w:type="dxa"/>
                  <w:vAlign w:val="center"/>
                </w:tcPr>
                <w:p w14:paraId="049A1492">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730" w:type="dxa"/>
                  <w:vAlign w:val="center"/>
                </w:tcPr>
                <w:p w14:paraId="6FF05A3A">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5EFB6C5F">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4（6）</w:t>
                  </w:r>
                </w:p>
              </w:tc>
            </w:tr>
            <w:tr w14:paraId="7BE2FF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6824CB09">
                  <w:pPr>
                    <w:adjustRightInd w:val="0"/>
                    <w:jc w:val="center"/>
                    <w:rPr>
                      <w:rFonts w:hint="default" w:ascii="Times New Roman" w:hAnsi="Times New Roman" w:cs="Times New Roman"/>
                      <w:bCs/>
                      <w:color w:val="auto"/>
                      <w:szCs w:val="21"/>
                    </w:rPr>
                  </w:pPr>
                </w:p>
              </w:tc>
              <w:tc>
                <w:tcPr>
                  <w:tcW w:w="2668" w:type="dxa"/>
                  <w:vMerge w:val="continue"/>
                  <w:vAlign w:val="center"/>
                </w:tcPr>
                <w:p w14:paraId="75A455BF">
                  <w:pPr>
                    <w:adjustRightInd w:val="0"/>
                    <w:jc w:val="center"/>
                    <w:rPr>
                      <w:rFonts w:hint="default" w:ascii="Times New Roman" w:hAnsi="Times New Roman" w:cs="Times New Roman"/>
                      <w:bCs/>
                      <w:color w:val="auto"/>
                      <w:szCs w:val="21"/>
                    </w:rPr>
                  </w:pPr>
                </w:p>
              </w:tc>
              <w:tc>
                <w:tcPr>
                  <w:tcW w:w="1411" w:type="dxa"/>
                  <w:vMerge w:val="continue"/>
                  <w:vAlign w:val="center"/>
                </w:tcPr>
                <w:p w14:paraId="5FBB84AF">
                  <w:pPr>
                    <w:adjustRightInd w:val="0"/>
                    <w:jc w:val="center"/>
                    <w:rPr>
                      <w:rFonts w:hint="default" w:ascii="Times New Roman" w:hAnsi="Times New Roman" w:cs="Times New Roman"/>
                      <w:bCs/>
                      <w:color w:val="auto"/>
                      <w:szCs w:val="21"/>
                    </w:rPr>
                  </w:pPr>
                </w:p>
              </w:tc>
              <w:tc>
                <w:tcPr>
                  <w:tcW w:w="1120" w:type="dxa"/>
                  <w:vAlign w:val="center"/>
                </w:tcPr>
                <w:p w14:paraId="74F438B0">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TP</w:t>
                  </w:r>
                </w:p>
              </w:tc>
              <w:tc>
                <w:tcPr>
                  <w:tcW w:w="730" w:type="dxa"/>
                  <w:vAlign w:val="center"/>
                </w:tcPr>
                <w:p w14:paraId="30D03297">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6671CD91">
                  <w:pPr>
                    <w:adjustRightInd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w:t>
                  </w:r>
                  <w:r>
                    <w:rPr>
                      <w:rFonts w:hint="eastAsia" w:cs="Times New Roman"/>
                      <w:bCs/>
                      <w:color w:val="auto"/>
                      <w:szCs w:val="21"/>
                      <w:lang w:val="en-US" w:eastAsia="zh-CN"/>
                    </w:rPr>
                    <w:t>5</w:t>
                  </w:r>
                </w:p>
              </w:tc>
            </w:tr>
            <w:tr w14:paraId="4805F0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718D348C">
                  <w:pPr>
                    <w:adjustRightInd w:val="0"/>
                    <w:jc w:val="center"/>
                    <w:rPr>
                      <w:rFonts w:hint="default" w:ascii="Times New Roman" w:hAnsi="Times New Roman" w:cs="Times New Roman"/>
                      <w:bCs/>
                      <w:color w:val="auto"/>
                      <w:szCs w:val="21"/>
                    </w:rPr>
                  </w:pPr>
                </w:p>
              </w:tc>
              <w:tc>
                <w:tcPr>
                  <w:tcW w:w="2668" w:type="dxa"/>
                  <w:vMerge w:val="continue"/>
                  <w:vAlign w:val="center"/>
                </w:tcPr>
                <w:p w14:paraId="5D7BAB13">
                  <w:pPr>
                    <w:adjustRightInd w:val="0"/>
                    <w:jc w:val="center"/>
                    <w:rPr>
                      <w:rFonts w:hint="default" w:ascii="Times New Roman" w:hAnsi="Times New Roman" w:cs="Times New Roman"/>
                      <w:bCs/>
                      <w:color w:val="auto"/>
                      <w:szCs w:val="21"/>
                    </w:rPr>
                  </w:pPr>
                </w:p>
              </w:tc>
              <w:tc>
                <w:tcPr>
                  <w:tcW w:w="1411" w:type="dxa"/>
                  <w:vMerge w:val="continue"/>
                  <w:vAlign w:val="center"/>
                </w:tcPr>
                <w:p w14:paraId="5724B6EF">
                  <w:pPr>
                    <w:adjustRightInd w:val="0"/>
                    <w:jc w:val="center"/>
                    <w:rPr>
                      <w:rFonts w:hint="default" w:ascii="Times New Roman" w:hAnsi="Times New Roman" w:cs="Times New Roman"/>
                      <w:bCs/>
                      <w:color w:val="auto"/>
                      <w:szCs w:val="21"/>
                    </w:rPr>
                  </w:pPr>
                </w:p>
              </w:tc>
              <w:tc>
                <w:tcPr>
                  <w:tcW w:w="1120" w:type="dxa"/>
                  <w:vAlign w:val="center"/>
                </w:tcPr>
                <w:p w14:paraId="2B4FCFE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TN</w:t>
                  </w:r>
                </w:p>
              </w:tc>
              <w:tc>
                <w:tcPr>
                  <w:tcW w:w="730" w:type="dxa"/>
                  <w:vAlign w:val="center"/>
                </w:tcPr>
                <w:p w14:paraId="1F7DD8F2">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48B335B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w:t>
                  </w:r>
                  <w:r>
                    <w:rPr>
                      <w:rFonts w:hint="eastAsia" w:cs="Times New Roman"/>
                      <w:bCs/>
                      <w:color w:val="auto"/>
                      <w:szCs w:val="21"/>
                      <w:lang w:val="en-US" w:eastAsia="zh-CN"/>
                    </w:rPr>
                    <w:t>2</w:t>
                  </w:r>
                  <w:r>
                    <w:rPr>
                      <w:rFonts w:hint="default" w:ascii="Times New Roman" w:hAnsi="Times New Roman" w:cs="Times New Roman"/>
                      <w:bCs/>
                      <w:color w:val="auto"/>
                      <w:szCs w:val="21"/>
                    </w:rPr>
                    <w:t>（1</w:t>
                  </w:r>
                  <w:r>
                    <w:rPr>
                      <w:rFonts w:hint="eastAsia" w:cs="Times New Roman"/>
                      <w:bCs/>
                      <w:color w:val="auto"/>
                      <w:szCs w:val="21"/>
                      <w:lang w:val="en-US" w:eastAsia="zh-CN"/>
                    </w:rPr>
                    <w:t>5</w:t>
                  </w:r>
                  <w:r>
                    <w:rPr>
                      <w:rFonts w:hint="default" w:ascii="Times New Roman" w:hAnsi="Times New Roman" w:cs="Times New Roman"/>
                      <w:bCs/>
                      <w:color w:val="auto"/>
                      <w:szCs w:val="21"/>
                    </w:rPr>
                    <w:t>）</w:t>
                  </w:r>
                </w:p>
              </w:tc>
            </w:tr>
          </w:tbl>
          <w:p w14:paraId="3C522EC8">
            <w:pPr>
              <w:pStyle w:val="8"/>
              <w:keepNext w:val="0"/>
              <w:keepLines w:val="0"/>
              <w:pageBreakBefore w:val="0"/>
              <w:kinsoku/>
              <w:wordWrap/>
              <w:overflowPunct/>
              <w:topLinePunct w:val="0"/>
              <w:autoSpaceDE/>
              <w:autoSpaceDN/>
              <w:bidi w:val="0"/>
              <w:adjustRightInd w:val="0"/>
              <w:spacing w:before="0" w:after="0" w:line="240" w:lineRule="auto"/>
              <w:ind w:right="0"/>
              <w:textAlignment w:val="auto"/>
              <w:rPr>
                <w:rFonts w:hint="eastAsia"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注：</w:t>
            </w:r>
            <w:r>
              <w:rPr>
                <w:rFonts w:hint="default" w:ascii="Times New Roman" w:hAnsi="Times New Roman" w:eastAsia="宋体" w:cs="Times New Roman"/>
                <w:b w:val="0"/>
                <w:bCs/>
                <w:color w:val="auto"/>
                <w:sz w:val="21"/>
                <w:szCs w:val="21"/>
                <w:lang w:eastAsia="zh-CN"/>
              </w:rPr>
              <w:t>①</w:t>
            </w:r>
            <w:r>
              <w:rPr>
                <w:rFonts w:hint="default" w:ascii="Times New Roman" w:hAnsi="Times New Roman" w:eastAsia="宋体" w:cs="Times New Roman"/>
                <w:b w:val="0"/>
                <w:bCs/>
                <w:color w:val="auto"/>
                <w:sz w:val="21"/>
                <w:szCs w:val="21"/>
              </w:rPr>
              <w:t>括号外数值为水温&gt;12℃时的控制指标，括号内数值为水温≤12℃时的控制指标</w:t>
            </w:r>
            <w:r>
              <w:rPr>
                <w:rFonts w:hint="eastAsia" w:ascii="Times New Roman" w:hAnsi="Times New Roman" w:eastAsia="宋体" w:cs="Times New Roman"/>
                <w:b w:val="0"/>
                <w:bCs/>
                <w:color w:val="auto"/>
                <w:sz w:val="21"/>
                <w:szCs w:val="21"/>
                <w:lang w:eastAsia="zh-CN"/>
              </w:rPr>
              <w:t>；</w:t>
            </w:r>
          </w:p>
          <w:p w14:paraId="36B7E1CE">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b/>
                <w:color w:val="auto"/>
                <w:sz w:val="24"/>
              </w:rPr>
            </w:pPr>
            <w:r>
              <w:rPr>
                <w:rFonts w:hint="default" w:ascii="Times New Roman" w:hAnsi="Times New Roman" w:eastAsia="宋体" w:cs="Times New Roman"/>
                <w:b w:val="0"/>
                <w:bCs/>
                <w:color w:val="auto"/>
                <w:sz w:val="21"/>
                <w:szCs w:val="21"/>
              </w:rPr>
              <w:t>②</w:t>
            </w:r>
            <w:r>
              <w:rPr>
                <w:rFonts w:hint="eastAsia" w:ascii="Times New Roman" w:hAnsi="Times New Roman" w:eastAsia="宋体" w:cs="Times New Roman"/>
                <w:b w:val="0"/>
                <w:bCs/>
                <w:color w:val="auto"/>
                <w:sz w:val="21"/>
                <w:szCs w:val="21"/>
                <w:lang w:val="en-US" w:eastAsia="zh-CN"/>
              </w:rPr>
              <w:t>现有污水处理厂</w:t>
            </w:r>
            <w:r>
              <w:rPr>
                <w:rFonts w:hint="eastAsia" w:ascii="Times New Roman" w:hAnsi="Times New Roman" w:eastAsia="宋体" w:cs="Times New Roman"/>
                <w:b w:val="0"/>
                <w:bCs/>
                <w:color w:val="auto"/>
                <w:kern w:val="0"/>
                <w:sz w:val="21"/>
                <w:szCs w:val="21"/>
                <w:lang w:val="en-US" w:eastAsia="zh-CN" w:bidi="ar-SA"/>
              </w:rPr>
              <w:t>自</w:t>
            </w:r>
            <w:r>
              <w:rPr>
                <w:rFonts w:hint="default" w:ascii="Times New Roman" w:hAnsi="Times New Roman" w:eastAsia="宋体" w:cs="Times New Roman"/>
                <w:b w:val="0"/>
                <w:bCs/>
                <w:color w:val="auto"/>
                <w:kern w:val="0"/>
                <w:sz w:val="21"/>
                <w:szCs w:val="21"/>
                <w:lang w:val="en-US" w:eastAsia="zh-CN" w:bidi="ar-SA"/>
              </w:rPr>
              <w:t>2026</w:t>
            </w:r>
            <w:r>
              <w:rPr>
                <w:rFonts w:hint="eastAsia" w:ascii="Times New Roman" w:hAnsi="Times New Roman" w:eastAsia="宋体" w:cs="Times New Roman"/>
                <w:b w:val="0"/>
                <w:bCs/>
                <w:color w:val="auto"/>
                <w:kern w:val="0"/>
                <w:sz w:val="21"/>
                <w:szCs w:val="21"/>
                <w:lang w:val="en-US" w:eastAsia="zh-CN" w:bidi="ar-SA"/>
              </w:rPr>
              <w:t>年</w:t>
            </w:r>
            <w:r>
              <w:rPr>
                <w:rFonts w:hint="default" w:ascii="Times New Roman" w:hAnsi="Times New Roman" w:eastAsia="宋体" w:cs="Times New Roman"/>
                <w:b w:val="0"/>
                <w:bCs/>
                <w:color w:val="auto"/>
                <w:kern w:val="0"/>
                <w:sz w:val="21"/>
                <w:szCs w:val="21"/>
                <w:lang w:val="en-US" w:eastAsia="zh-CN" w:bidi="ar-SA"/>
              </w:rPr>
              <w:t>3</w:t>
            </w:r>
            <w:r>
              <w:rPr>
                <w:rFonts w:hint="eastAsia" w:ascii="Times New Roman" w:hAnsi="Times New Roman" w:eastAsia="宋体" w:cs="Times New Roman"/>
                <w:b w:val="0"/>
                <w:bCs/>
                <w:color w:val="auto"/>
                <w:kern w:val="0"/>
                <w:sz w:val="21"/>
                <w:szCs w:val="21"/>
                <w:lang w:val="en-US" w:eastAsia="zh-CN" w:bidi="ar-SA"/>
              </w:rPr>
              <w:t>月</w:t>
            </w:r>
            <w:r>
              <w:rPr>
                <w:rFonts w:hint="default" w:ascii="Times New Roman" w:hAnsi="Times New Roman" w:eastAsia="宋体" w:cs="Times New Roman"/>
                <w:b w:val="0"/>
                <w:bCs/>
                <w:color w:val="auto"/>
                <w:kern w:val="0"/>
                <w:sz w:val="21"/>
                <w:szCs w:val="21"/>
                <w:lang w:val="en-US" w:eastAsia="zh-CN" w:bidi="ar-SA"/>
              </w:rPr>
              <w:t>28</w:t>
            </w:r>
            <w:r>
              <w:rPr>
                <w:rFonts w:hint="eastAsia" w:ascii="Times New Roman" w:hAnsi="Times New Roman" w:eastAsia="宋体" w:cs="Times New Roman"/>
                <w:b w:val="0"/>
                <w:bCs/>
                <w:color w:val="auto"/>
                <w:kern w:val="0"/>
                <w:sz w:val="21"/>
                <w:szCs w:val="21"/>
                <w:lang w:val="en-US" w:eastAsia="zh-CN" w:bidi="ar-SA"/>
              </w:rPr>
              <w:t>日开始实施</w:t>
            </w:r>
            <w:r>
              <w:rPr>
                <w:rFonts w:hint="eastAsia" w:ascii="Times New Roman" w:hAnsi="Times New Roman" w:eastAsia="宋体" w:cs="Times New Roman"/>
                <w:b w:val="0"/>
                <w:bCs/>
                <w:color w:val="auto"/>
                <w:sz w:val="21"/>
                <w:szCs w:val="21"/>
                <w:lang w:val="en-US" w:eastAsia="zh-CN"/>
              </w:rPr>
              <w:t>该</w:t>
            </w:r>
            <w:r>
              <w:rPr>
                <w:rFonts w:hint="eastAsia" w:ascii="Times New Roman" w:hAnsi="Times New Roman" w:eastAsia="宋体" w:cs="Times New Roman"/>
                <w:b w:val="0"/>
                <w:bCs/>
                <w:color w:val="auto"/>
                <w:kern w:val="0"/>
                <w:sz w:val="21"/>
                <w:szCs w:val="21"/>
                <w:lang w:val="en-US" w:eastAsia="zh-CN" w:bidi="ar-SA"/>
              </w:rPr>
              <w:t>标准。</w:t>
            </w:r>
          </w:p>
          <w:p w14:paraId="4CC50580">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3、噪声</w:t>
            </w:r>
          </w:p>
          <w:p w14:paraId="0BBBFC4D">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bCs/>
                <w:color w:val="auto"/>
                <w:sz w:val="24"/>
              </w:rPr>
              <w:t>本项目营运期厂界噪声执行《工业企业厂界环境噪声排放标准》</w:t>
            </w:r>
            <w:r>
              <w:rPr>
                <w:rFonts w:hint="eastAsia" w:cs="Times New Roman"/>
                <w:bCs/>
                <w:color w:val="auto"/>
                <w:sz w:val="24"/>
                <w:lang w:eastAsia="zh-CN"/>
              </w:rPr>
              <w:t>（</w:t>
            </w:r>
            <w:r>
              <w:rPr>
                <w:rFonts w:hint="default" w:ascii="Times New Roman" w:hAnsi="Times New Roman" w:cs="Times New Roman"/>
                <w:bCs/>
                <w:color w:val="auto"/>
                <w:sz w:val="24"/>
              </w:rPr>
              <w:t>GB12348-2008</w:t>
            </w:r>
            <w:r>
              <w:rPr>
                <w:rFonts w:hint="eastAsia" w:cs="Times New Roman"/>
                <w:bCs/>
                <w:color w:val="auto"/>
                <w:sz w:val="24"/>
                <w:lang w:eastAsia="zh-CN"/>
              </w:rPr>
              <w:t>）</w:t>
            </w:r>
            <w:r>
              <w:rPr>
                <w:rFonts w:hint="default" w:ascii="Times New Roman" w:hAnsi="Times New Roman" w:cs="Times New Roman"/>
                <w:bCs/>
                <w:color w:val="auto"/>
                <w:sz w:val="24"/>
              </w:rPr>
              <w:t>中</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rPr>
              <w:t>类标准</w:t>
            </w:r>
            <w:r>
              <w:rPr>
                <w:rFonts w:hint="default" w:ascii="Times New Roman" w:hAnsi="Times New Roman" w:cs="Times New Roman"/>
                <w:color w:val="auto"/>
                <w:sz w:val="24"/>
              </w:rPr>
              <w:t>，具体标准值见下表：</w:t>
            </w:r>
          </w:p>
          <w:p w14:paraId="711992F4">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表3-</w:t>
            </w:r>
            <w:r>
              <w:rPr>
                <w:rFonts w:hint="eastAsia" w:cs="Times New Roman"/>
                <w:b/>
                <w:bCs/>
                <w:color w:val="auto"/>
                <w:szCs w:val="21"/>
                <w:lang w:val="en-US" w:eastAsia="zh-CN"/>
              </w:rPr>
              <w:t xml:space="preserve">10 </w:t>
            </w:r>
            <w:r>
              <w:rPr>
                <w:rFonts w:hint="default" w:ascii="Times New Roman" w:hAnsi="Times New Roman" w:cs="Times New Roman"/>
                <w:b/>
                <w:bCs/>
                <w:color w:val="auto"/>
                <w:szCs w:val="21"/>
              </w:rPr>
              <w:t>营运期噪声排放标准</w:t>
            </w:r>
          </w:p>
          <w:tbl>
            <w:tblPr>
              <w:tblStyle w:val="27"/>
              <w:tblW w:w="5000"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2387"/>
              <w:gridCol w:w="1689"/>
              <w:gridCol w:w="1820"/>
            </w:tblGrid>
            <w:tr w14:paraId="7B6F65AD">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7C4313BC">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声环境功能类别</w:t>
                  </w:r>
                </w:p>
              </w:tc>
              <w:tc>
                <w:tcPr>
                  <w:tcW w:w="1505" w:type="pct"/>
                  <w:vAlign w:val="center"/>
                </w:tcPr>
                <w:p w14:paraId="27135F1B">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昼间</w:t>
                  </w:r>
                </w:p>
              </w:tc>
              <w:tc>
                <w:tcPr>
                  <w:tcW w:w="1065" w:type="pct"/>
                  <w:vAlign w:val="center"/>
                </w:tcPr>
                <w:p w14:paraId="64689381">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夜间</w:t>
                  </w:r>
                </w:p>
              </w:tc>
              <w:tc>
                <w:tcPr>
                  <w:tcW w:w="1147" w:type="pct"/>
                  <w:tcBorders>
                    <w:right w:val="nil"/>
                  </w:tcBorders>
                  <w:vAlign w:val="center"/>
                </w:tcPr>
                <w:p w14:paraId="5CA0F262">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执行区域</w:t>
                  </w:r>
                </w:p>
              </w:tc>
            </w:tr>
            <w:tr w14:paraId="2BDB1D3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2AA72476">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类</w:t>
                  </w:r>
                </w:p>
              </w:tc>
              <w:tc>
                <w:tcPr>
                  <w:tcW w:w="1505" w:type="pct"/>
                  <w:vAlign w:val="center"/>
                </w:tcPr>
                <w:p w14:paraId="44CD738B">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dB（A）</w:t>
                  </w:r>
                </w:p>
              </w:tc>
              <w:tc>
                <w:tcPr>
                  <w:tcW w:w="1065" w:type="pct"/>
                  <w:vAlign w:val="center"/>
                </w:tcPr>
                <w:p w14:paraId="48610CBE">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dB（A）</w:t>
                  </w:r>
                </w:p>
              </w:tc>
              <w:tc>
                <w:tcPr>
                  <w:tcW w:w="1147" w:type="pct"/>
                  <w:tcBorders>
                    <w:right w:val="nil"/>
                  </w:tcBorders>
                  <w:vAlign w:val="center"/>
                </w:tcPr>
                <w:p w14:paraId="63E16617">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厂界四周</w:t>
                  </w:r>
                </w:p>
              </w:tc>
            </w:tr>
          </w:tbl>
          <w:p w14:paraId="137F2B53">
            <w:pPr>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rPr>
              <w:t>4、固废</w:t>
            </w:r>
          </w:p>
          <w:p w14:paraId="2C2AB13A">
            <w:pPr>
              <w:widowControl/>
              <w:adjustRightInd w:val="0"/>
              <w:snapToGrid w:val="0"/>
              <w:spacing w:line="500" w:lineRule="exact"/>
              <w:ind w:firstLine="468" w:firstLineChars="200"/>
              <w:rPr>
                <w:rFonts w:hint="default" w:ascii="Times New Roman" w:hAnsi="Times New Roman" w:eastAsia="宋体" w:cs="Times New Roman"/>
                <w:color w:val="auto"/>
                <w:spacing w:val="-3"/>
                <w:sz w:val="24"/>
              </w:rPr>
            </w:pPr>
            <w:r>
              <w:rPr>
                <w:rFonts w:hint="default" w:ascii="Times New Roman" w:hAnsi="Times New Roman" w:cs="Times New Roman"/>
                <w:color w:val="auto"/>
                <w:spacing w:val="-3"/>
                <w:sz w:val="24"/>
              </w:rPr>
              <w:t>（1）一</w:t>
            </w:r>
            <w:r>
              <w:rPr>
                <w:rFonts w:hint="default" w:ascii="Times New Roman" w:hAnsi="Times New Roman" w:cs="Times New Roman"/>
                <w:bCs/>
                <w:color w:val="auto"/>
                <w:sz w:val="24"/>
              </w:rPr>
              <w:t>般固废</w:t>
            </w:r>
            <w:r>
              <w:rPr>
                <w:rFonts w:hint="eastAsia" w:ascii="Times New Roman" w:hAnsi="Times New Roman" w:cs="Times New Roman"/>
                <w:bCs/>
                <w:color w:val="auto"/>
                <w:sz w:val="24"/>
                <w:lang w:val="en-US" w:eastAsia="zh-CN"/>
              </w:rPr>
              <w:t>满足防渗漏、防雨淋、防扬尘的环境管理要求</w:t>
            </w:r>
            <w:r>
              <w:rPr>
                <w:rFonts w:hint="default" w:ascii="Times New Roman" w:hAnsi="Times New Roman" w:cs="Times New Roman"/>
                <w:color w:val="auto"/>
                <w:spacing w:val="-3"/>
                <w:sz w:val="24"/>
              </w:rPr>
              <w:t>；</w:t>
            </w:r>
          </w:p>
          <w:p w14:paraId="059D6F3E">
            <w:pPr>
              <w:adjustRightInd w:val="0"/>
              <w:snapToGrid w:val="0"/>
              <w:spacing w:line="500" w:lineRule="exact"/>
              <w:ind w:firstLine="468" w:firstLineChars="200"/>
              <w:rPr>
                <w:rFonts w:hint="default" w:ascii="Times New Roman" w:hAnsi="Times New Roman" w:cs="Times New Roman"/>
                <w:bCs/>
                <w:color w:val="auto"/>
                <w:sz w:val="24"/>
              </w:rPr>
            </w:pPr>
            <w:r>
              <w:rPr>
                <w:rFonts w:hint="default" w:ascii="Times New Roman" w:hAnsi="Times New Roman" w:cs="Times New Roman"/>
                <w:color w:val="auto"/>
                <w:spacing w:val="-3"/>
                <w:sz w:val="24"/>
              </w:rPr>
              <w:t>（2）危险废物</w:t>
            </w:r>
            <w:r>
              <w:rPr>
                <w:rFonts w:hint="default" w:ascii="Times New Roman" w:hAnsi="Times New Roman" w:cs="Times New Roman"/>
                <w:bCs/>
                <w:color w:val="auto"/>
                <w:sz w:val="24"/>
              </w:rPr>
              <w:t>执行《危险废物贮存污染控制标准》（GB18597-20</w:t>
            </w:r>
            <w:r>
              <w:rPr>
                <w:rFonts w:hint="eastAsia" w:cs="Times New Roman"/>
                <w:bCs/>
                <w:color w:val="auto"/>
                <w:sz w:val="24"/>
                <w:lang w:val="en-US" w:eastAsia="zh-CN"/>
              </w:rPr>
              <w:t>23</w:t>
            </w:r>
            <w:r>
              <w:rPr>
                <w:rFonts w:hint="default" w:ascii="Times New Roman" w:hAnsi="Times New Roman" w:cs="Times New Roman"/>
                <w:bCs/>
                <w:color w:val="auto"/>
                <w:sz w:val="24"/>
              </w:rPr>
              <w:t>），同时执行《省生态环境厅关于进一步加强危险废物环境管理工作的通知》（苏环办［2021］207号）</w:t>
            </w:r>
            <w:r>
              <w:rPr>
                <w:rFonts w:hint="eastAsia" w:cs="Times New Roman"/>
                <w:bCs/>
                <w:color w:val="auto"/>
                <w:sz w:val="24"/>
                <w:lang w:eastAsia="zh-CN"/>
              </w:rPr>
              <w:t>、</w:t>
            </w:r>
            <w:r>
              <w:rPr>
                <w:rFonts w:hint="default" w:ascii="Times New Roman" w:hAnsi="Times New Roman" w:cs="Times New Roman"/>
                <w:bCs/>
                <w:color w:val="FF0000"/>
                <w:sz w:val="24"/>
              </w:rPr>
              <w:t>《</w:t>
            </w:r>
            <w:r>
              <w:rPr>
                <w:rFonts w:hint="eastAsia" w:cs="Times New Roman"/>
                <w:bCs/>
                <w:color w:val="FF0000"/>
                <w:sz w:val="24"/>
                <w:lang w:val="en-US" w:eastAsia="zh-CN"/>
              </w:rPr>
              <w:t>江苏省固体废物全过程环境监管工作意见</w:t>
            </w:r>
            <w:r>
              <w:rPr>
                <w:rFonts w:hint="default" w:ascii="Times New Roman" w:hAnsi="Times New Roman" w:cs="Times New Roman"/>
                <w:bCs/>
                <w:color w:val="FF0000"/>
                <w:sz w:val="24"/>
              </w:rPr>
              <w:t>》（</w:t>
            </w:r>
            <w:r>
              <w:rPr>
                <w:rFonts w:hint="default" w:ascii="Times New Roman" w:hAnsi="Times New Roman" w:eastAsia="宋体" w:cs="Times New Roman"/>
                <w:bCs/>
                <w:color w:val="FF0000"/>
                <w:sz w:val="24"/>
                <w:lang w:eastAsia="zh-CN"/>
              </w:rPr>
              <w:t>苏环办</w:t>
            </w:r>
            <w:r>
              <w:rPr>
                <w:rFonts w:hint="eastAsia" w:ascii="Times New Roman" w:hAnsi="Times New Roman" w:eastAsia="宋体" w:cs="Times New Roman"/>
                <w:bCs/>
                <w:color w:val="FF0000"/>
                <w:sz w:val="24"/>
                <w:lang w:eastAsia="zh-CN"/>
              </w:rPr>
              <w:t>［2024］</w:t>
            </w:r>
            <w:r>
              <w:rPr>
                <w:rFonts w:hint="eastAsia" w:cs="Times New Roman"/>
                <w:bCs/>
                <w:color w:val="FF0000"/>
                <w:sz w:val="24"/>
                <w:lang w:val="en-US" w:eastAsia="zh-CN"/>
              </w:rPr>
              <w:t>16</w:t>
            </w:r>
            <w:r>
              <w:rPr>
                <w:rFonts w:hint="default" w:ascii="Times New Roman" w:hAnsi="Times New Roman" w:eastAsia="宋体" w:cs="Times New Roman"/>
                <w:bCs/>
                <w:color w:val="FF0000"/>
                <w:sz w:val="24"/>
                <w:lang w:eastAsia="zh-CN"/>
              </w:rPr>
              <w:t>号）</w:t>
            </w:r>
            <w:r>
              <w:rPr>
                <w:rFonts w:hint="default" w:ascii="Times New Roman" w:hAnsi="Times New Roman" w:cs="Times New Roman"/>
                <w:bCs/>
                <w:color w:val="auto"/>
                <w:sz w:val="24"/>
              </w:rPr>
              <w:t>的要求</w:t>
            </w:r>
            <w:r>
              <w:rPr>
                <w:rFonts w:hint="default" w:ascii="Times New Roman" w:hAnsi="Times New Roman" w:cs="Times New Roman"/>
                <w:color w:val="auto"/>
                <w:spacing w:val="-3"/>
                <w:sz w:val="24"/>
              </w:rPr>
              <w:t>。</w:t>
            </w:r>
          </w:p>
        </w:tc>
      </w:tr>
      <w:tr w14:paraId="6681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4716CD7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总量</w:t>
            </w:r>
          </w:p>
          <w:p w14:paraId="36164D0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控制</w:t>
            </w:r>
          </w:p>
          <w:p w14:paraId="1A5C076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指标</w:t>
            </w:r>
          </w:p>
        </w:tc>
        <w:tc>
          <w:tcPr>
            <w:tcW w:w="8152" w:type="dxa"/>
            <w:vAlign w:val="center"/>
          </w:tcPr>
          <w:p w14:paraId="34E3293C">
            <w:pPr>
              <w:keepNext w:val="0"/>
              <w:keepLines w:val="0"/>
              <w:pageBreakBefore w:val="0"/>
              <w:kinsoku/>
              <w:wordWrap/>
              <w:overflowPunct w:val="0"/>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1</w:t>
            </w:r>
            <w:r>
              <w:rPr>
                <w:rFonts w:hint="default" w:ascii="Times New Roman" w:hAnsi="Times New Roman" w:cs="Times New Roman"/>
                <w:b/>
                <w:bCs/>
                <w:color w:val="auto"/>
                <w:sz w:val="24"/>
              </w:rPr>
              <w:t>、总量控制指标</w:t>
            </w:r>
          </w:p>
          <w:p w14:paraId="4B8F6758">
            <w:pPr>
              <w:keepNext w:val="0"/>
              <w:keepLines w:val="0"/>
              <w:pageBreakBefore w:val="0"/>
              <w:kinsoku/>
              <w:wordWrap/>
              <w:topLinePunct w:val="0"/>
              <w:autoSpaceDE/>
              <w:autoSpaceDN/>
              <w:bidi w:val="0"/>
              <w:adjustRightInd w:val="0"/>
              <w:snapToGrid w:val="0"/>
              <w:spacing w:line="500" w:lineRule="exact"/>
              <w:ind w:firstLine="523" w:firstLineChars="218"/>
              <w:jc w:val="left"/>
              <w:textAlignment w:val="auto"/>
              <w:rPr>
                <w:rFonts w:hint="default" w:ascii="Times New Roman" w:hAnsi="Times New Roman" w:eastAsia="宋体" w:cs="Times New Roman"/>
                <w:color w:val="auto"/>
                <w:sz w:val="24"/>
                <w:lang w:eastAsia="zh-CN"/>
              </w:rPr>
            </w:pPr>
            <w:r>
              <w:rPr>
                <w:rFonts w:hint="eastAsia" w:cs="Times New Roman"/>
                <w:color w:val="auto"/>
                <w:sz w:val="24"/>
                <w:lang w:eastAsia="zh-CN"/>
              </w:rPr>
              <w:t>本项目</w:t>
            </w:r>
            <w:r>
              <w:rPr>
                <w:rFonts w:hint="default" w:ascii="Times New Roman" w:hAnsi="Times New Roman" w:cs="Times New Roman"/>
                <w:color w:val="auto"/>
                <w:sz w:val="24"/>
              </w:rPr>
              <w:t>污染物总量控制指标及来源途径见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r>
              <w:rPr>
                <w:rFonts w:hint="default" w:ascii="Times New Roman" w:hAnsi="Times New Roman" w:cs="Times New Roman"/>
                <w:color w:val="auto"/>
                <w:sz w:val="24"/>
                <w:lang w:eastAsia="zh-CN"/>
              </w:rPr>
              <w:t>。</w:t>
            </w:r>
          </w:p>
          <w:p w14:paraId="53061C32">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表3-1</w:t>
            </w:r>
            <w:r>
              <w:rPr>
                <w:rFonts w:hint="eastAsia" w:cs="Times New Roman"/>
                <w:b/>
                <w:bCs/>
                <w:color w:val="auto"/>
                <w:sz w:val="21"/>
                <w:szCs w:val="21"/>
                <w:lang w:val="en-US" w:eastAsia="zh-CN"/>
              </w:rPr>
              <w:t>1项目</w:t>
            </w:r>
            <w:r>
              <w:rPr>
                <w:rFonts w:hint="default" w:ascii="Times New Roman" w:hAnsi="Times New Roman" w:cs="Times New Roman"/>
                <w:b/>
                <w:bCs/>
                <w:color w:val="auto"/>
                <w:sz w:val="21"/>
                <w:szCs w:val="21"/>
                <w:lang w:val="en-US" w:eastAsia="zh-CN"/>
              </w:rPr>
              <w:t>污染物排放情况一览表(t/a)</w:t>
            </w:r>
          </w:p>
          <w:tbl>
            <w:tblPr>
              <w:tblStyle w:val="27"/>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27"/>
              <w:gridCol w:w="763"/>
              <w:gridCol w:w="1143"/>
              <w:gridCol w:w="1565"/>
              <w:gridCol w:w="1438"/>
              <w:gridCol w:w="1208"/>
              <w:gridCol w:w="1086"/>
            </w:tblGrid>
            <w:tr w14:paraId="6C9C47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458" w:type="pct"/>
                  <w:tcBorders>
                    <w:tl2br w:val="nil"/>
                    <w:tr2bl w:val="nil"/>
                  </w:tcBorders>
                  <w:vAlign w:val="center"/>
                </w:tcPr>
                <w:p w14:paraId="694F0F27">
                  <w:pPr>
                    <w:adjustRightInd w:val="0"/>
                    <w:snapToGrid w:val="0"/>
                    <w:jc w:val="center"/>
                    <w:rPr>
                      <w:b/>
                      <w:color w:val="auto"/>
                      <w:sz w:val="21"/>
                      <w:szCs w:val="21"/>
                    </w:rPr>
                  </w:pPr>
                  <w:r>
                    <w:rPr>
                      <w:b/>
                      <w:color w:val="auto"/>
                      <w:sz w:val="21"/>
                      <w:szCs w:val="21"/>
                    </w:rPr>
                    <w:t>类别</w:t>
                  </w:r>
                </w:p>
              </w:tc>
              <w:tc>
                <w:tcPr>
                  <w:tcW w:w="1201" w:type="pct"/>
                  <w:gridSpan w:val="2"/>
                  <w:tcBorders>
                    <w:tl2br w:val="nil"/>
                    <w:tr2bl w:val="nil"/>
                  </w:tcBorders>
                  <w:vAlign w:val="center"/>
                </w:tcPr>
                <w:p w14:paraId="4B9AB339">
                  <w:pPr>
                    <w:adjustRightInd w:val="0"/>
                    <w:snapToGrid w:val="0"/>
                    <w:jc w:val="center"/>
                    <w:rPr>
                      <w:b/>
                      <w:color w:val="auto"/>
                      <w:sz w:val="21"/>
                      <w:szCs w:val="21"/>
                    </w:rPr>
                  </w:pPr>
                  <w:r>
                    <w:rPr>
                      <w:b/>
                      <w:color w:val="auto"/>
                      <w:sz w:val="21"/>
                      <w:szCs w:val="21"/>
                    </w:rPr>
                    <w:t>污染物名称</w:t>
                  </w:r>
                </w:p>
              </w:tc>
              <w:tc>
                <w:tcPr>
                  <w:tcW w:w="986" w:type="pct"/>
                  <w:tcBorders>
                    <w:tl2br w:val="nil"/>
                    <w:tr2bl w:val="nil"/>
                  </w:tcBorders>
                  <w:vAlign w:val="center"/>
                </w:tcPr>
                <w:p w14:paraId="6DFF3B94">
                  <w:pPr>
                    <w:adjustRightInd w:val="0"/>
                    <w:snapToGrid w:val="0"/>
                    <w:jc w:val="center"/>
                    <w:rPr>
                      <w:b/>
                      <w:color w:val="auto"/>
                      <w:sz w:val="21"/>
                      <w:szCs w:val="21"/>
                    </w:rPr>
                  </w:pPr>
                  <w:r>
                    <w:rPr>
                      <w:rFonts w:hint="eastAsia"/>
                      <w:b/>
                      <w:bCs/>
                      <w:color w:val="auto"/>
                      <w:sz w:val="21"/>
                      <w:szCs w:val="21"/>
                    </w:rPr>
                    <w:t>本项目产生量</w:t>
                  </w:r>
                </w:p>
              </w:tc>
              <w:tc>
                <w:tcPr>
                  <w:tcW w:w="906" w:type="pct"/>
                  <w:tcBorders>
                    <w:tl2br w:val="nil"/>
                    <w:tr2bl w:val="nil"/>
                  </w:tcBorders>
                  <w:vAlign w:val="center"/>
                </w:tcPr>
                <w:p w14:paraId="22E85DAB">
                  <w:pPr>
                    <w:adjustRightInd w:val="0"/>
                    <w:snapToGrid w:val="0"/>
                    <w:jc w:val="center"/>
                    <w:rPr>
                      <w:b/>
                      <w:color w:val="auto"/>
                      <w:sz w:val="21"/>
                      <w:szCs w:val="21"/>
                    </w:rPr>
                  </w:pPr>
                  <w:r>
                    <w:rPr>
                      <w:rFonts w:hint="eastAsia"/>
                      <w:b/>
                      <w:bCs/>
                      <w:color w:val="auto"/>
                      <w:sz w:val="21"/>
                      <w:szCs w:val="21"/>
                    </w:rPr>
                    <w:t>本项目</w:t>
                  </w:r>
                  <w:r>
                    <w:rPr>
                      <w:b/>
                      <w:bCs/>
                      <w:color w:val="auto"/>
                      <w:sz w:val="21"/>
                      <w:szCs w:val="21"/>
                    </w:rPr>
                    <w:t>排放量</w:t>
                  </w:r>
                </w:p>
              </w:tc>
              <w:tc>
                <w:tcPr>
                  <w:tcW w:w="761" w:type="pct"/>
                  <w:tcBorders>
                    <w:tl2br w:val="nil"/>
                    <w:tr2bl w:val="nil"/>
                  </w:tcBorders>
                  <w:vAlign w:val="center"/>
                </w:tcPr>
                <w:p w14:paraId="5058DEA7">
                  <w:pPr>
                    <w:adjustRightInd w:val="0"/>
                    <w:snapToGrid w:val="0"/>
                    <w:jc w:val="center"/>
                    <w:rPr>
                      <w:b/>
                      <w:color w:val="auto"/>
                      <w:sz w:val="21"/>
                      <w:szCs w:val="21"/>
                    </w:rPr>
                  </w:pPr>
                  <w:r>
                    <w:rPr>
                      <w:rFonts w:hint="eastAsia"/>
                      <w:b/>
                      <w:bCs/>
                      <w:color w:val="auto"/>
                      <w:sz w:val="21"/>
                      <w:szCs w:val="21"/>
                    </w:rPr>
                    <w:t>本次申请量</w:t>
                  </w:r>
                </w:p>
              </w:tc>
              <w:tc>
                <w:tcPr>
                  <w:tcW w:w="684" w:type="pct"/>
                  <w:tcBorders>
                    <w:tl2br w:val="nil"/>
                    <w:tr2bl w:val="nil"/>
                  </w:tcBorders>
                  <w:vAlign w:val="center"/>
                </w:tcPr>
                <w:p w14:paraId="7F5A950D">
                  <w:pPr>
                    <w:adjustRightInd w:val="0"/>
                    <w:snapToGrid w:val="0"/>
                    <w:jc w:val="center"/>
                    <w:rPr>
                      <w:b/>
                      <w:bCs/>
                      <w:color w:val="auto"/>
                      <w:sz w:val="21"/>
                      <w:szCs w:val="21"/>
                    </w:rPr>
                  </w:pPr>
                  <w:r>
                    <w:rPr>
                      <w:rFonts w:hint="eastAsia"/>
                      <w:b/>
                      <w:bCs/>
                      <w:color w:val="auto"/>
                      <w:sz w:val="21"/>
                      <w:szCs w:val="21"/>
                    </w:rPr>
                    <w:t>最终排入</w:t>
                  </w:r>
                </w:p>
                <w:p w14:paraId="4776C89F">
                  <w:pPr>
                    <w:adjustRightInd w:val="0"/>
                    <w:snapToGrid w:val="0"/>
                    <w:jc w:val="center"/>
                    <w:rPr>
                      <w:b/>
                      <w:color w:val="auto"/>
                      <w:sz w:val="21"/>
                      <w:szCs w:val="21"/>
                    </w:rPr>
                  </w:pPr>
                  <w:r>
                    <w:rPr>
                      <w:rFonts w:hint="eastAsia"/>
                      <w:b/>
                      <w:bCs/>
                      <w:color w:val="auto"/>
                      <w:sz w:val="21"/>
                      <w:szCs w:val="21"/>
                    </w:rPr>
                    <w:t>外环境量</w:t>
                  </w:r>
                </w:p>
              </w:tc>
            </w:tr>
            <w:tr w14:paraId="761A60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restart"/>
                  <w:tcBorders>
                    <w:tl2br w:val="nil"/>
                    <w:tr2bl w:val="nil"/>
                  </w:tcBorders>
                  <w:vAlign w:val="center"/>
                </w:tcPr>
                <w:p w14:paraId="53B38561">
                  <w:pPr>
                    <w:adjustRightInd w:val="0"/>
                    <w:snapToGrid w:val="0"/>
                    <w:jc w:val="center"/>
                    <w:rPr>
                      <w:b/>
                      <w:color w:val="auto"/>
                      <w:sz w:val="21"/>
                      <w:szCs w:val="21"/>
                    </w:rPr>
                  </w:pPr>
                  <w:r>
                    <w:rPr>
                      <w:b/>
                      <w:color w:val="auto"/>
                      <w:sz w:val="21"/>
                      <w:szCs w:val="21"/>
                    </w:rPr>
                    <w:t>大气污染物</w:t>
                  </w:r>
                </w:p>
              </w:tc>
              <w:tc>
                <w:tcPr>
                  <w:tcW w:w="481" w:type="pct"/>
                  <w:tcBorders>
                    <w:tl2br w:val="nil"/>
                    <w:tr2bl w:val="nil"/>
                  </w:tcBorders>
                  <w:vAlign w:val="center"/>
                </w:tcPr>
                <w:p w14:paraId="70BA4B40">
                  <w:pPr>
                    <w:adjustRightInd w:val="0"/>
                    <w:snapToGrid w:val="0"/>
                    <w:jc w:val="center"/>
                    <w:rPr>
                      <w:bCs/>
                      <w:color w:val="auto"/>
                      <w:sz w:val="21"/>
                      <w:szCs w:val="21"/>
                    </w:rPr>
                  </w:pPr>
                  <w:r>
                    <w:rPr>
                      <w:rFonts w:hint="eastAsia"/>
                      <w:bCs/>
                      <w:color w:val="auto"/>
                      <w:sz w:val="21"/>
                      <w:szCs w:val="21"/>
                    </w:rPr>
                    <w:t>有组织</w:t>
                  </w:r>
                </w:p>
              </w:tc>
              <w:tc>
                <w:tcPr>
                  <w:tcW w:w="720" w:type="pct"/>
                  <w:tcBorders>
                    <w:tl2br w:val="nil"/>
                    <w:tr2bl w:val="nil"/>
                  </w:tcBorders>
                  <w:vAlign w:val="center"/>
                </w:tcPr>
                <w:p w14:paraId="254B8AA4">
                  <w:pPr>
                    <w:pStyle w:val="21"/>
                    <w:spacing w:after="0" w:line="240" w:lineRule="auto"/>
                    <w:jc w:val="center"/>
                    <w:rPr>
                      <w:bCs/>
                      <w:color w:val="auto"/>
                      <w:sz w:val="21"/>
                      <w:szCs w:val="21"/>
                    </w:rPr>
                  </w:pPr>
                  <w:r>
                    <w:rPr>
                      <w:rFonts w:hint="default" w:ascii="Times New Roman" w:hAnsi="Times New Roman" w:cs="Times New Roman" w:eastAsiaTheme="minorEastAsia"/>
                      <w:bCs/>
                      <w:color w:val="auto"/>
                      <w:sz w:val="21"/>
                      <w:szCs w:val="21"/>
                      <w:lang w:val="en-US" w:eastAsia="zh-CN"/>
                    </w:rPr>
                    <w:t>非甲烷总烃</w:t>
                  </w:r>
                </w:p>
              </w:tc>
              <w:tc>
                <w:tcPr>
                  <w:tcW w:w="986" w:type="pct"/>
                  <w:tcBorders>
                    <w:tl2br w:val="nil"/>
                    <w:tr2bl w:val="nil"/>
                  </w:tcBorders>
                  <w:vAlign w:val="center"/>
                </w:tcPr>
                <w:p w14:paraId="492866AA">
                  <w:pPr>
                    <w:pStyle w:val="21"/>
                    <w:spacing w:after="0" w:line="240" w:lineRule="auto"/>
                    <w:jc w:val="center"/>
                    <w:rPr>
                      <w:rFonts w:hint="default" w:eastAsia="宋体"/>
                      <w:color w:val="auto"/>
                      <w:sz w:val="21"/>
                      <w:szCs w:val="21"/>
                      <w:lang w:val="en-US" w:eastAsia="zh-CN"/>
                    </w:rPr>
                  </w:pPr>
                  <w:r>
                    <w:rPr>
                      <w:rFonts w:hint="eastAsia" w:eastAsia="宋体" w:cs="Times New Roman"/>
                      <w:bCs/>
                      <w:color w:val="auto"/>
                      <w:kern w:val="2"/>
                      <w:sz w:val="21"/>
                      <w:szCs w:val="22"/>
                      <w:lang w:val="en-US" w:eastAsia="zh-CN" w:bidi="ar-SA"/>
                    </w:rPr>
                    <w:t>0.418</w:t>
                  </w:r>
                </w:p>
              </w:tc>
              <w:tc>
                <w:tcPr>
                  <w:tcW w:w="906" w:type="pct"/>
                  <w:tcBorders>
                    <w:tl2br w:val="nil"/>
                    <w:tr2bl w:val="nil"/>
                  </w:tcBorders>
                  <w:vAlign w:val="center"/>
                </w:tcPr>
                <w:p w14:paraId="55749F03">
                  <w:pPr>
                    <w:pStyle w:val="21"/>
                    <w:spacing w:after="0" w:line="240" w:lineRule="auto"/>
                    <w:jc w:val="center"/>
                    <w:rPr>
                      <w:rFonts w:hint="default" w:cs="Times New Roman"/>
                      <w:color w:val="auto"/>
                      <w:kern w:val="44"/>
                      <w:sz w:val="21"/>
                      <w:szCs w:val="21"/>
                      <w:lang w:val="en-US" w:eastAsia="zh-CN"/>
                    </w:rPr>
                  </w:pPr>
                  <w:r>
                    <w:rPr>
                      <w:rFonts w:hint="eastAsia" w:cs="Times New Roman" w:eastAsiaTheme="minorEastAsia"/>
                      <w:bCs/>
                      <w:color w:val="auto"/>
                      <w:kern w:val="2"/>
                      <w:sz w:val="21"/>
                      <w:szCs w:val="22"/>
                      <w:lang w:val="en-US" w:eastAsia="zh-CN" w:bidi="ar-SA"/>
                    </w:rPr>
                    <w:t>0.042</w:t>
                  </w:r>
                </w:p>
              </w:tc>
              <w:tc>
                <w:tcPr>
                  <w:tcW w:w="761" w:type="pct"/>
                  <w:tcBorders>
                    <w:tl2br w:val="nil"/>
                    <w:tr2bl w:val="nil"/>
                  </w:tcBorders>
                  <w:vAlign w:val="center"/>
                </w:tcPr>
                <w:p w14:paraId="68722427">
                  <w:pPr>
                    <w:pStyle w:val="21"/>
                    <w:spacing w:after="0" w:line="240" w:lineRule="auto"/>
                    <w:jc w:val="center"/>
                    <w:rPr>
                      <w:rFonts w:hint="default" w:cs="Times New Roman"/>
                      <w:color w:val="auto"/>
                      <w:kern w:val="44"/>
                      <w:sz w:val="21"/>
                      <w:szCs w:val="21"/>
                      <w:lang w:val="en-US" w:eastAsia="zh-CN"/>
                    </w:rPr>
                  </w:pPr>
                  <w:r>
                    <w:rPr>
                      <w:rFonts w:hint="eastAsia" w:cs="Times New Roman" w:eastAsiaTheme="minorEastAsia"/>
                      <w:bCs/>
                      <w:color w:val="auto"/>
                      <w:kern w:val="2"/>
                      <w:sz w:val="21"/>
                      <w:szCs w:val="22"/>
                      <w:lang w:val="en-US" w:eastAsia="zh-CN" w:bidi="ar-SA"/>
                    </w:rPr>
                    <w:t>0.042</w:t>
                  </w:r>
                </w:p>
              </w:tc>
              <w:tc>
                <w:tcPr>
                  <w:tcW w:w="684" w:type="pct"/>
                  <w:tcBorders>
                    <w:tl2br w:val="nil"/>
                    <w:tr2bl w:val="nil"/>
                  </w:tcBorders>
                  <w:vAlign w:val="center"/>
                </w:tcPr>
                <w:p w14:paraId="1E0C19AE">
                  <w:pPr>
                    <w:pStyle w:val="21"/>
                    <w:spacing w:after="0" w:line="240" w:lineRule="auto"/>
                    <w:jc w:val="center"/>
                    <w:rPr>
                      <w:rFonts w:hint="eastAsia" w:cs="Times New Roman"/>
                      <w:color w:val="auto"/>
                      <w:kern w:val="44"/>
                      <w:sz w:val="21"/>
                      <w:szCs w:val="21"/>
                      <w:lang w:val="en-US" w:eastAsia="zh-CN"/>
                    </w:rPr>
                  </w:pPr>
                  <w:r>
                    <w:rPr>
                      <w:rFonts w:hint="eastAsia" w:cs="Times New Roman" w:eastAsiaTheme="minorEastAsia"/>
                      <w:bCs/>
                      <w:color w:val="auto"/>
                      <w:kern w:val="2"/>
                      <w:sz w:val="21"/>
                      <w:szCs w:val="22"/>
                      <w:lang w:val="en-US" w:eastAsia="zh-CN" w:bidi="ar-SA"/>
                    </w:rPr>
                    <w:t>0.042</w:t>
                  </w:r>
                </w:p>
              </w:tc>
            </w:tr>
            <w:tr w14:paraId="6AA101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tl2br w:val="nil"/>
                    <w:tr2bl w:val="nil"/>
                  </w:tcBorders>
                  <w:vAlign w:val="center"/>
                </w:tcPr>
                <w:p w14:paraId="20D1480F">
                  <w:pPr>
                    <w:adjustRightInd w:val="0"/>
                    <w:snapToGrid w:val="0"/>
                    <w:jc w:val="center"/>
                    <w:rPr>
                      <w:b/>
                      <w:color w:val="auto"/>
                      <w:sz w:val="21"/>
                      <w:szCs w:val="21"/>
                    </w:rPr>
                  </w:pPr>
                </w:p>
              </w:tc>
              <w:tc>
                <w:tcPr>
                  <w:tcW w:w="481" w:type="pct"/>
                  <w:tcBorders>
                    <w:tl2br w:val="nil"/>
                    <w:tr2bl w:val="nil"/>
                  </w:tcBorders>
                  <w:vAlign w:val="center"/>
                </w:tcPr>
                <w:p w14:paraId="6E2F27B3">
                  <w:pPr>
                    <w:adjustRightInd w:val="0"/>
                    <w:snapToGrid w:val="0"/>
                    <w:jc w:val="center"/>
                    <w:rPr>
                      <w:bCs/>
                      <w:color w:val="auto"/>
                      <w:sz w:val="21"/>
                      <w:szCs w:val="21"/>
                    </w:rPr>
                  </w:pPr>
                  <w:r>
                    <w:rPr>
                      <w:rFonts w:hint="eastAsia"/>
                      <w:bCs/>
                      <w:color w:val="auto"/>
                      <w:sz w:val="21"/>
                      <w:szCs w:val="21"/>
                    </w:rPr>
                    <w:t>无组织</w:t>
                  </w:r>
                </w:p>
              </w:tc>
              <w:tc>
                <w:tcPr>
                  <w:tcW w:w="720" w:type="pct"/>
                  <w:tcBorders>
                    <w:tl2br w:val="nil"/>
                    <w:tr2bl w:val="nil"/>
                  </w:tcBorders>
                  <w:vAlign w:val="center"/>
                </w:tcPr>
                <w:p w14:paraId="6B81543E">
                  <w:pPr>
                    <w:adjustRightInd w:val="0"/>
                    <w:snapToGrid w:val="0"/>
                    <w:jc w:val="center"/>
                    <w:rPr>
                      <w:bCs/>
                      <w:color w:val="auto"/>
                      <w:sz w:val="21"/>
                      <w:szCs w:val="21"/>
                    </w:rPr>
                  </w:pPr>
                  <w:r>
                    <w:rPr>
                      <w:rFonts w:hint="eastAsia"/>
                      <w:bCs/>
                      <w:color w:val="auto"/>
                      <w:sz w:val="21"/>
                      <w:szCs w:val="21"/>
                    </w:rPr>
                    <w:t>非甲烷总烃</w:t>
                  </w:r>
                </w:p>
              </w:tc>
              <w:tc>
                <w:tcPr>
                  <w:tcW w:w="986" w:type="pct"/>
                  <w:tcBorders>
                    <w:tl2br w:val="nil"/>
                    <w:tr2bl w:val="nil"/>
                  </w:tcBorders>
                  <w:vAlign w:val="center"/>
                </w:tcPr>
                <w:p w14:paraId="28A3E5A8">
                  <w:pPr>
                    <w:adjustRightInd w:val="0"/>
                    <w:snapToGrid w:val="0"/>
                    <w:jc w:val="center"/>
                    <w:rPr>
                      <w:rFonts w:hint="default" w:eastAsia="宋体"/>
                      <w:color w:val="auto"/>
                      <w:sz w:val="21"/>
                      <w:szCs w:val="21"/>
                      <w:lang w:val="en-US" w:eastAsia="zh-CN"/>
                    </w:rPr>
                  </w:pPr>
                  <w:r>
                    <w:rPr>
                      <w:rFonts w:hint="eastAsia" w:cs="Times New Roman"/>
                      <w:color w:val="auto"/>
                      <w:kern w:val="44"/>
                      <w:sz w:val="21"/>
                      <w:szCs w:val="21"/>
                      <w:lang w:val="en-US" w:eastAsia="zh-CN"/>
                    </w:rPr>
                    <w:t>0.047</w:t>
                  </w:r>
                </w:p>
              </w:tc>
              <w:tc>
                <w:tcPr>
                  <w:tcW w:w="906" w:type="pct"/>
                  <w:tcBorders>
                    <w:tl2br w:val="nil"/>
                    <w:tr2bl w:val="nil"/>
                  </w:tcBorders>
                  <w:vAlign w:val="center"/>
                </w:tcPr>
                <w:p w14:paraId="70AA812A">
                  <w:pPr>
                    <w:adjustRightInd w:val="0"/>
                    <w:snapToGrid w:val="0"/>
                    <w:jc w:val="center"/>
                    <w:rPr>
                      <w:rFonts w:hint="eastAsia" w:cs="Times New Roman"/>
                      <w:color w:val="auto"/>
                      <w:kern w:val="44"/>
                      <w:sz w:val="21"/>
                      <w:szCs w:val="21"/>
                      <w:lang w:val="en-US" w:eastAsia="zh-CN"/>
                    </w:rPr>
                  </w:pPr>
                  <w:r>
                    <w:rPr>
                      <w:rFonts w:hint="eastAsia" w:cs="Times New Roman"/>
                      <w:color w:val="auto"/>
                      <w:kern w:val="44"/>
                      <w:sz w:val="21"/>
                      <w:szCs w:val="21"/>
                      <w:lang w:val="en-US" w:eastAsia="zh-CN"/>
                    </w:rPr>
                    <w:t>0.047</w:t>
                  </w:r>
                </w:p>
              </w:tc>
              <w:tc>
                <w:tcPr>
                  <w:tcW w:w="761" w:type="pct"/>
                  <w:tcBorders>
                    <w:tl2br w:val="nil"/>
                    <w:tr2bl w:val="nil"/>
                  </w:tcBorders>
                  <w:vAlign w:val="center"/>
                </w:tcPr>
                <w:p w14:paraId="1B3F366D">
                  <w:pPr>
                    <w:adjustRightInd w:val="0"/>
                    <w:snapToGrid w:val="0"/>
                    <w:jc w:val="center"/>
                    <w:rPr>
                      <w:rFonts w:hint="eastAsia" w:cs="Times New Roman"/>
                      <w:color w:val="auto"/>
                      <w:kern w:val="44"/>
                      <w:sz w:val="21"/>
                      <w:szCs w:val="21"/>
                      <w:lang w:val="en-US" w:eastAsia="zh-CN"/>
                    </w:rPr>
                  </w:pPr>
                  <w:r>
                    <w:rPr>
                      <w:rFonts w:hint="eastAsia" w:cs="Times New Roman"/>
                      <w:color w:val="auto"/>
                      <w:kern w:val="44"/>
                      <w:sz w:val="21"/>
                      <w:szCs w:val="21"/>
                      <w:lang w:val="en-US" w:eastAsia="zh-CN"/>
                    </w:rPr>
                    <w:t>0.047</w:t>
                  </w:r>
                </w:p>
              </w:tc>
              <w:tc>
                <w:tcPr>
                  <w:tcW w:w="684" w:type="pct"/>
                  <w:tcBorders>
                    <w:tl2br w:val="nil"/>
                    <w:tr2bl w:val="nil"/>
                  </w:tcBorders>
                  <w:vAlign w:val="center"/>
                </w:tcPr>
                <w:p w14:paraId="1ECAFD25">
                  <w:pPr>
                    <w:adjustRightInd w:val="0"/>
                    <w:snapToGrid w:val="0"/>
                    <w:jc w:val="center"/>
                    <w:rPr>
                      <w:rFonts w:hint="eastAsia" w:cs="Times New Roman"/>
                      <w:color w:val="auto"/>
                      <w:kern w:val="44"/>
                      <w:sz w:val="21"/>
                      <w:szCs w:val="21"/>
                      <w:lang w:val="en-US" w:eastAsia="zh-CN"/>
                    </w:rPr>
                  </w:pPr>
                  <w:r>
                    <w:rPr>
                      <w:rFonts w:hint="eastAsia" w:cs="Times New Roman"/>
                      <w:color w:val="auto"/>
                      <w:kern w:val="44"/>
                      <w:sz w:val="21"/>
                      <w:szCs w:val="21"/>
                      <w:lang w:val="en-US" w:eastAsia="zh-CN"/>
                    </w:rPr>
                    <w:t>0.047</w:t>
                  </w:r>
                </w:p>
              </w:tc>
            </w:tr>
            <w:tr w14:paraId="5A3886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restart"/>
                  <w:tcBorders>
                    <w:tl2br w:val="nil"/>
                    <w:tr2bl w:val="nil"/>
                  </w:tcBorders>
                  <w:vAlign w:val="center"/>
                </w:tcPr>
                <w:p w14:paraId="63EE8BE4">
                  <w:pPr>
                    <w:adjustRightInd w:val="0"/>
                    <w:snapToGrid w:val="0"/>
                    <w:jc w:val="center"/>
                    <w:rPr>
                      <w:b/>
                      <w:color w:val="auto"/>
                      <w:sz w:val="21"/>
                      <w:szCs w:val="21"/>
                    </w:rPr>
                  </w:pPr>
                  <w:r>
                    <w:rPr>
                      <w:b/>
                      <w:color w:val="auto"/>
                      <w:sz w:val="21"/>
                      <w:szCs w:val="21"/>
                    </w:rPr>
                    <w:t>水污</w:t>
                  </w:r>
                </w:p>
                <w:p w14:paraId="7CD25AB9">
                  <w:pPr>
                    <w:adjustRightInd w:val="0"/>
                    <w:snapToGrid w:val="0"/>
                    <w:jc w:val="center"/>
                    <w:rPr>
                      <w:b/>
                      <w:color w:val="auto"/>
                      <w:sz w:val="21"/>
                      <w:szCs w:val="21"/>
                    </w:rPr>
                  </w:pPr>
                  <w:r>
                    <w:rPr>
                      <w:b/>
                      <w:color w:val="auto"/>
                      <w:sz w:val="21"/>
                      <w:szCs w:val="21"/>
                    </w:rPr>
                    <w:t>染物</w:t>
                  </w:r>
                </w:p>
              </w:tc>
              <w:tc>
                <w:tcPr>
                  <w:tcW w:w="1201" w:type="pct"/>
                  <w:gridSpan w:val="2"/>
                  <w:tcBorders>
                    <w:tl2br w:val="nil"/>
                    <w:tr2bl w:val="nil"/>
                  </w:tcBorders>
                  <w:vAlign w:val="center"/>
                </w:tcPr>
                <w:p w14:paraId="33664DB6">
                  <w:pPr>
                    <w:adjustRightInd w:val="0"/>
                    <w:snapToGrid w:val="0"/>
                    <w:jc w:val="center"/>
                    <w:rPr>
                      <w:bCs/>
                      <w:color w:val="auto"/>
                      <w:sz w:val="21"/>
                      <w:szCs w:val="21"/>
                    </w:rPr>
                  </w:pPr>
                  <w:r>
                    <w:rPr>
                      <w:bCs/>
                      <w:color w:val="auto"/>
                      <w:sz w:val="21"/>
                      <w:szCs w:val="21"/>
                    </w:rPr>
                    <w:t>水量</w:t>
                  </w:r>
                </w:p>
              </w:tc>
              <w:tc>
                <w:tcPr>
                  <w:tcW w:w="986" w:type="pct"/>
                  <w:tcBorders>
                    <w:tl2br w:val="nil"/>
                    <w:tr2bl w:val="nil"/>
                  </w:tcBorders>
                  <w:vAlign w:val="center"/>
                </w:tcPr>
                <w:p w14:paraId="19B7461A">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360</w:t>
                  </w:r>
                </w:p>
              </w:tc>
              <w:tc>
                <w:tcPr>
                  <w:tcW w:w="906" w:type="pct"/>
                  <w:tcBorders>
                    <w:tl2br w:val="nil"/>
                    <w:tr2bl w:val="nil"/>
                  </w:tcBorders>
                  <w:vAlign w:val="center"/>
                </w:tcPr>
                <w:p w14:paraId="48F79EE5">
                  <w:pPr>
                    <w:adjustRightInd w:val="0"/>
                    <w:snapToGrid w:val="0"/>
                    <w:jc w:val="center"/>
                    <w:rPr>
                      <w:rFonts w:hint="eastAsia" w:cs="Times New Roman"/>
                      <w:color w:val="auto"/>
                      <w:kern w:val="44"/>
                      <w:sz w:val="21"/>
                      <w:szCs w:val="21"/>
                      <w:lang w:val="en-US" w:eastAsia="zh-CN"/>
                    </w:rPr>
                  </w:pPr>
                  <w:r>
                    <w:rPr>
                      <w:rFonts w:hint="eastAsia" w:cs="Times New Roman"/>
                      <w:color w:val="auto"/>
                      <w:kern w:val="44"/>
                      <w:sz w:val="21"/>
                      <w:szCs w:val="21"/>
                      <w:lang w:val="en-US" w:eastAsia="zh-CN"/>
                    </w:rPr>
                    <w:t>360</w:t>
                  </w:r>
                </w:p>
              </w:tc>
              <w:tc>
                <w:tcPr>
                  <w:tcW w:w="761" w:type="pct"/>
                  <w:tcBorders>
                    <w:tl2br w:val="nil"/>
                    <w:tr2bl w:val="nil"/>
                  </w:tcBorders>
                  <w:vAlign w:val="center"/>
                </w:tcPr>
                <w:p w14:paraId="16339ABE">
                  <w:pPr>
                    <w:adjustRightInd w:val="0"/>
                    <w:snapToGrid w:val="0"/>
                    <w:jc w:val="center"/>
                    <w:rPr>
                      <w:rFonts w:hint="eastAsia" w:cs="Times New Roman"/>
                      <w:color w:val="auto"/>
                      <w:kern w:val="44"/>
                      <w:sz w:val="21"/>
                      <w:szCs w:val="21"/>
                      <w:lang w:val="en-US" w:eastAsia="zh-CN"/>
                    </w:rPr>
                  </w:pPr>
                  <w:r>
                    <w:rPr>
                      <w:rFonts w:hint="eastAsia" w:cs="Times New Roman"/>
                      <w:color w:val="auto"/>
                      <w:kern w:val="44"/>
                      <w:sz w:val="21"/>
                      <w:szCs w:val="21"/>
                      <w:lang w:val="en-US" w:eastAsia="zh-CN"/>
                    </w:rPr>
                    <w:t>360</w:t>
                  </w:r>
                </w:p>
              </w:tc>
              <w:tc>
                <w:tcPr>
                  <w:tcW w:w="684" w:type="pct"/>
                  <w:tcBorders>
                    <w:tl2br w:val="nil"/>
                    <w:tr2bl w:val="nil"/>
                  </w:tcBorders>
                  <w:vAlign w:val="center"/>
                </w:tcPr>
                <w:p w14:paraId="2F9F851D">
                  <w:pPr>
                    <w:adjustRightInd w:val="0"/>
                    <w:snapToGrid w:val="0"/>
                    <w:jc w:val="center"/>
                    <w:rPr>
                      <w:rFonts w:hint="eastAsia" w:cs="Times New Roman"/>
                      <w:color w:val="auto"/>
                      <w:kern w:val="44"/>
                      <w:sz w:val="21"/>
                      <w:szCs w:val="21"/>
                      <w:lang w:val="en-US" w:eastAsia="zh-CN"/>
                    </w:rPr>
                  </w:pPr>
                  <w:r>
                    <w:rPr>
                      <w:rFonts w:hint="eastAsia" w:cs="Times New Roman"/>
                      <w:color w:val="auto"/>
                      <w:kern w:val="44"/>
                      <w:sz w:val="21"/>
                      <w:szCs w:val="21"/>
                      <w:lang w:val="en-US" w:eastAsia="zh-CN"/>
                    </w:rPr>
                    <w:t>360</w:t>
                  </w:r>
                </w:p>
              </w:tc>
            </w:tr>
            <w:tr w14:paraId="0190A7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tl2br w:val="nil"/>
                    <w:tr2bl w:val="nil"/>
                  </w:tcBorders>
                  <w:vAlign w:val="center"/>
                </w:tcPr>
                <w:p w14:paraId="458A5FD1">
                  <w:pPr>
                    <w:adjustRightInd w:val="0"/>
                    <w:snapToGrid w:val="0"/>
                    <w:jc w:val="center"/>
                    <w:rPr>
                      <w:b/>
                      <w:color w:val="auto"/>
                      <w:sz w:val="21"/>
                      <w:szCs w:val="21"/>
                    </w:rPr>
                  </w:pPr>
                </w:p>
              </w:tc>
              <w:tc>
                <w:tcPr>
                  <w:tcW w:w="1201" w:type="pct"/>
                  <w:gridSpan w:val="2"/>
                  <w:tcBorders>
                    <w:tl2br w:val="nil"/>
                    <w:tr2bl w:val="nil"/>
                  </w:tcBorders>
                  <w:vAlign w:val="center"/>
                </w:tcPr>
                <w:p w14:paraId="0DF28D83">
                  <w:pPr>
                    <w:adjustRightInd w:val="0"/>
                    <w:snapToGrid w:val="0"/>
                    <w:jc w:val="center"/>
                    <w:rPr>
                      <w:bCs/>
                      <w:color w:val="auto"/>
                      <w:sz w:val="21"/>
                      <w:szCs w:val="21"/>
                    </w:rPr>
                  </w:pPr>
                  <w:r>
                    <w:rPr>
                      <w:bCs/>
                      <w:color w:val="auto"/>
                      <w:sz w:val="21"/>
                      <w:szCs w:val="21"/>
                    </w:rPr>
                    <w:t>COD</w:t>
                  </w:r>
                </w:p>
              </w:tc>
              <w:tc>
                <w:tcPr>
                  <w:tcW w:w="986" w:type="pct"/>
                  <w:tcBorders>
                    <w:tl2br w:val="nil"/>
                    <w:tr2bl w:val="nil"/>
                  </w:tcBorders>
                  <w:vAlign w:val="center"/>
                </w:tcPr>
                <w:p w14:paraId="4691F9B7">
                  <w:pPr>
                    <w:jc w:val="center"/>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0.144</w:t>
                  </w:r>
                </w:p>
              </w:tc>
              <w:tc>
                <w:tcPr>
                  <w:tcW w:w="906" w:type="pct"/>
                  <w:tcBorders>
                    <w:tl2br w:val="nil"/>
                    <w:tr2bl w:val="nil"/>
                  </w:tcBorders>
                  <w:vAlign w:val="center"/>
                </w:tcPr>
                <w:p w14:paraId="3444CF20">
                  <w:pPr>
                    <w:jc w:val="center"/>
                    <w:rPr>
                      <w:color w:val="auto"/>
                      <w:sz w:val="21"/>
                      <w:szCs w:val="21"/>
                    </w:rPr>
                  </w:pPr>
                  <w:r>
                    <w:rPr>
                      <w:rFonts w:hint="eastAsia"/>
                      <w:color w:val="auto"/>
                      <w:szCs w:val="21"/>
                      <w:lang w:val="en-US" w:eastAsia="zh-CN"/>
                    </w:rPr>
                    <w:t>0.144</w:t>
                  </w:r>
                </w:p>
              </w:tc>
              <w:tc>
                <w:tcPr>
                  <w:tcW w:w="761" w:type="pct"/>
                  <w:tcBorders>
                    <w:tl2br w:val="nil"/>
                    <w:tr2bl w:val="nil"/>
                  </w:tcBorders>
                  <w:vAlign w:val="center"/>
                </w:tcPr>
                <w:p w14:paraId="1DBCBD94">
                  <w:pPr>
                    <w:jc w:val="center"/>
                    <w:rPr>
                      <w:bCs/>
                      <w:color w:val="auto"/>
                      <w:sz w:val="21"/>
                      <w:szCs w:val="21"/>
                    </w:rPr>
                  </w:pPr>
                  <w:r>
                    <w:rPr>
                      <w:rFonts w:hint="eastAsia"/>
                      <w:color w:val="auto"/>
                      <w:szCs w:val="21"/>
                      <w:lang w:val="en-US" w:eastAsia="zh-CN"/>
                    </w:rPr>
                    <w:t>0.144</w:t>
                  </w:r>
                </w:p>
              </w:tc>
              <w:tc>
                <w:tcPr>
                  <w:tcW w:w="684" w:type="pct"/>
                  <w:tcBorders>
                    <w:tl2br w:val="nil"/>
                    <w:tr2bl w:val="nil"/>
                  </w:tcBorders>
                  <w:vAlign w:val="center"/>
                </w:tcPr>
                <w:p w14:paraId="4007AEBC">
                  <w:pPr>
                    <w:jc w:val="center"/>
                    <w:rPr>
                      <w:rFonts w:hint="default" w:eastAsia="宋体"/>
                      <w:bCs/>
                      <w:color w:val="auto"/>
                      <w:sz w:val="21"/>
                      <w:szCs w:val="21"/>
                      <w:lang w:val="en-US" w:eastAsia="zh-CN"/>
                    </w:rPr>
                  </w:pPr>
                  <w:r>
                    <w:rPr>
                      <w:rFonts w:hint="eastAsia"/>
                      <w:bCs/>
                      <w:color w:val="auto"/>
                      <w:sz w:val="21"/>
                      <w:szCs w:val="21"/>
                      <w:lang w:val="en-US" w:eastAsia="zh-CN"/>
                    </w:rPr>
                    <w:t>0.0144</w:t>
                  </w:r>
                </w:p>
              </w:tc>
            </w:tr>
            <w:tr w14:paraId="5811B9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tl2br w:val="nil"/>
                    <w:tr2bl w:val="nil"/>
                  </w:tcBorders>
                  <w:vAlign w:val="center"/>
                </w:tcPr>
                <w:p w14:paraId="2E6BE5A7">
                  <w:pPr>
                    <w:adjustRightInd w:val="0"/>
                    <w:snapToGrid w:val="0"/>
                    <w:jc w:val="center"/>
                    <w:rPr>
                      <w:b/>
                      <w:color w:val="auto"/>
                      <w:sz w:val="21"/>
                      <w:szCs w:val="21"/>
                    </w:rPr>
                  </w:pPr>
                </w:p>
              </w:tc>
              <w:tc>
                <w:tcPr>
                  <w:tcW w:w="1201" w:type="pct"/>
                  <w:gridSpan w:val="2"/>
                  <w:tcBorders>
                    <w:tl2br w:val="nil"/>
                    <w:tr2bl w:val="nil"/>
                  </w:tcBorders>
                  <w:vAlign w:val="center"/>
                </w:tcPr>
                <w:p w14:paraId="13028DCA">
                  <w:pPr>
                    <w:adjustRightInd w:val="0"/>
                    <w:snapToGrid w:val="0"/>
                    <w:jc w:val="center"/>
                    <w:rPr>
                      <w:bCs/>
                      <w:color w:val="auto"/>
                      <w:sz w:val="21"/>
                      <w:szCs w:val="21"/>
                    </w:rPr>
                  </w:pPr>
                  <w:r>
                    <w:rPr>
                      <w:bCs/>
                      <w:color w:val="auto"/>
                      <w:sz w:val="21"/>
                      <w:szCs w:val="21"/>
                    </w:rPr>
                    <w:t>SS</w:t>
                  </w:r>
                </w:p>
              </w:tc>
              <w:tc>
                <w:tcPr>
                  <w:tcW w:w="986" w:type="pct"/>
                  <w:tcBorders>
                    <w:tl2br w:val="nil"/>
                    <w:tr2bl w:val="nil"/>
                  </w:tcBorders>
                  <w:vAlign w:val="center"/>
                </w:tcPr>
                <w:p w14:paraId="4B570EF0">
                  <w:pPr>
                    <w:jc w:val="center"/>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0.072</w:t>
                  </w:r>
                </w:p>
              </w:tc>
              <w:tc>
                <w:tcPr>
                  <w:tcW w:w="906" w:type="pct"/>
                  <w:tcBorders>
                    <w:tl2br w:val="nil"/>
                    <w:tr2bl w:val="nil"/>
                  </w:tcBorders>
                  <w:vAlign w:val="center"/>
                </w:tcPr>
                <w:p w14:paraId="2B751C31">
                  <w:pPr>
                    <w:jc w:val="center"/>
                    <w:rPr>
                      <w:color w:val="auto"/>
                      <w:sz w:val="21"/>
                      <w:szCs w:val="21"/>
                    </w:rPr>
                  </w:pPr>
                  <w:r>
                    <w:rPr>
                      <w:rFonts w:hint="eastAsia"/>
                      <w:color w:val="auto"/>
                      <w:szCs w:val="21"/>
                      <w:lang w:val="en-US" w:eastAsia="zh-CN"/>
                    </w:rPr>
                    <w:t>0.072</w:t>
                  </w:r>
                </w:p>
              </w:tc>
              <w:tc>
                <w:tcPr>
                  <w:tcW w:w="761" w:type="pct"/>
                  <w:tcBorders>
                    <w:tl2br w:val="nil"/>
                    <w:tr2bl w:val="nil"/>
                  </w:tcBorders>
                  <w:vAlign w:val="center"/>
                </w:tcPr>
                <w:p w14:paraId="3C818523">
                  <w:pPr>
                    <w:jc w:val="center"/>
                    <w:rPr>
                      <w:bCs/>
                      <w:color w:val="auto"/>
                      <w:sz w:val="21"/>
                      <w:szCs w:val="21"/>
                    </w:rPr>
                  </w:pPr>
                  <w:r>
                    <w:rPr>
                      <w:rFonts w:hint="eastAsia"/>
                      <w:color w:val="auto"/>
                      <w:szCs w:val="21"/>
                      <w:lang w:val="en-US" w:eastAsia="zh-CN"/>
                    </w:rPr>
                    <w:t>0.072</w:t>
                  </w:r>
                </w:p>
              </w:tc>
              <w:tc>
                <w:tcPr>
                  <w:tcW w:w="684" w:type="pct"/>
                  <w:tcBorders>
                    <w:tl2br w:val="nil"/>
                    <w:tr2bl w:val="nil"/>
                  </w:tcBorders>
                  <w:vAlign w:val="center"/>
                </w:tcPr>
                <w:p w14:paraId="71F28E38">
                  <w:pPr>
                    <w:jc w:val="center"/>
                    <w:rPr>
                      <w:rFonts w:hint="default" w:eastAsia="宋体"/>
                      <w:bCs/>
                      <w:color w:val="auto"/>
                      <w:sz w:val="21"/>
                      <w:szCs w:val="21"/>
                      <w:lang w:val="en-US" w:eastAsia="zh-CN"/>
                    </w:rPr>
                  </w:pPr>
                  <w:r>
                    <w:rPr>
                      <w:rFonts w:hint="eastAsia"/>
                      <w:bCs/>
                      <w:color w:val="auto"/>
                      <w:sz w:val="21"/>
                      <w:szCs w:val="21"/>
                      <w:lang w:val="en-US" w:eastAsia="zh-CN"/>
                    </w:rPr>
                    <w:t>0.0036</w:t>
                  </w:r>
                </w:p>
              </w:tc>
            </w:tr>
            <w:tr w14:paraId="035FC1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tl2br w:val="nil"/>
                    <w:tr2bl w:val="nil"/>
                  </w:tcBorders>
                  <w:vAlign w:val="center"/>
                </w:tcPr>
                <w:p w14:paraId="57FF3517">
                  <w:pPr>
                    <w:adjustRightInd w:val="0"/>
                    <w:snapToGrid w:val="0"/>
                    <w:jc w:val="center"/>
                    <w:rPr>
                      <w:b/>
                      <w:color w:val="auto"/>
                      <w:sz w:val="21"/>
                      <w:szCs w:val="21"/>
                    </w:rPr>
                  </w:pPr>
                </w:p>
              </w:tc>
              <w:tc>
                <w:tcPr>
                  <w:tcW w:w="1201" w:type="pct"/>
                  <w:gridSpan w:val="2"/>
                  <w:tcBorders>
                    <w:tl2br w:val="nil"/>
                    <w:tr2bl w:val="nil"/>
                  </w:tcBorders>
                  <w:vAlign w:val="center"/>
                </w:tcPr>
                <w:p w14:paraId="194B6983">
                  <w:pPr>
                    <w:adjustRightInd w:val="0"/>
                    <w:snapToGrid w:val="0"/>
                    <w:jc w:val="center"/>
                    <w:rPr>
                      <w:bCs/>
                      <w:color w:val="auto"/>
                      <w:sz w:val="21"/>
                      <w:szCs w:val="21"/>
                    </w:rPr>
                  </w:pPr>
                  <w:r>
                    <w:rPr>
                      <w:bCs/>
                      <w:color w:val="auto"/>
                      <w:sz w:val="21"/>
                      <w:szCs w:val="21"/>
                    </w:rPr>
                    <w:t>氨氮</w:t>
                  </w:r>
                </w:p>
              </w:tc>
              <w:tc>
                <w:tcPr>
                  <w:tcW w:w="986" w:type="pct"/>
                  <w:tcBorders>
                    <w:tl2br w:val="nil"/>
                    <w:tr2bl w:val="nil"/>
                  </w:tcBorders>
                  <w:vAlign w:val="center"/>
                </w:tcPr>
                <w:p w14:paraId="0D4A3EB6">
                  <w:pPr>
                    <w:jc w:val="center"/>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0.011</w:t>
                  </w:r>
                </w:p>
              </w:tc>
              <w:tc>
                <w:tcPr>
                  <w:tcW w:w="906" w:type="pct"/>
                  <w:tcBorders>
                    <w:tl2br w:val="nil"/>
                    <w:tr2bl w:val="nil"/>
                  </w:tcBorders>
                  <w:vAlign w:val="center"/>
                </w:tcPr>
                <w:p w14:paraId="0BE52D41">
                  <w:pPr>
                    <w:jc w:val="center"/>
                    <w:rPr>
                      <w:color w:val="auto"/>
                      <w:sz w:val="21"/>
                      <w:szCs w:val="21"/>
                    </w:rPr>
                  </w:pPr>
                  <w:r>
                    <w:rPr>
                      <w:rFonts w:hint="eastAsia"/>
                      <w:color w:val="auto"/>
                      <w:szCs w:val="21"/>
                      <w:lang w:val="en-US" w:eastAsia="zh-CN"/>
                    </w:rPr>
                    <w:t>0.011</w:t>
                  </w:r>
                </w:p>
              </w:tc>
              <w:tc>
                <w:tcPr>
                  <w:tcW w:w="761" w:type="pct"/>
                  <w:tcBorders>
                    <w:tl2br w:val="nil"/>
                    <w:tr2bl w:val="nil"/>
                  </w:tcBorders>
                  <w:vAlign w:val="center"/>
                </w:tcPr>
                <w:p w14:paraId="76F86D38">
                  <w:pPr>
                    <w:jc w:val="center"/>
                    <w:rPr>
                      <w:bCs/>
                      <w:color w:val="auto"/>
                      <w:sz w:val="21"/>
                      <w:szCs w:val="21"/>
                    </w:rPr>
                  </w:pPr>
                  <w:r>
                    <w:rPr>
                      <w:rFonts w:hint="eastAsia"/>
                      <w:color w:val="auto"/>
                      <w:szCs w:val="21"/>
                      <w:lang w:val="en-US" w:eastAsia="zh-CN"/>
                    </w:rPr>
                    <w:t>0.011</w:t>
                  </w:r>
                </w:p>
              </w:tc>
              <w:tc>
                <w:tcPr>
                  <w:tcW w:w="684" w:type="pct"/>
                  <w:tcBorders>
                    <w:tl2br w:val="nil"/>
                    <w:tr2bl w:val="nil"/>
                  </w:tcBorders>
                  <w:vAlign w:val="center"/>
                </w:tcPr>
                <w:p w14:paraId="676979BE">
                  <w:pPr>
                    <w:jc w:val="center"/>
                    <w:rPr>
                      <w:rFonts w:hint="default" w:eastAsia="宋体"/>
                      <w:bCs/>
                      <w:color w:val="auto"/>
                      <w:sz w:val="21"/>
                      <w:szCs w:val="21"/>
                      <w:lang w:val="en-US" w:eastAsia="zh-CN"/>
                    </w:rPr>
                  </w:pPr>
                  <w:r>
                    <w:rPr>
                      <w:rFonts w:hint="eastAsia"/>
                      <w:bCs/>
                      <w:color w:val="auto"/>
                      <w:sz w:val="21"/>
                      <w:szCs w:val="21"/>
                      <w:lang w:val="en-US" w:eastAsia="zh-CN"/>
                    </w:rPr>
                    <w:t>0.0011</w:t>
                  </w:r>
                </w:p>
              </w:tc>
            </w:tr>
            <w:tr w14:paraId="1986EB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tl2br w:val="nil"/>
                    <w:tr2bl w:val="nil"/>
                  </w:tcBorders>
                  <w:vAlign w:val="center"/>
                </w:tcPr>
                <w:p w14:paraId="3DA3B682">
                  <w:pPr>
                    <w:adjustRightInd w:val="0"/>
                    <w:snapToGrid w:val="0"/>
                    <w:jc w:val="center"/>
                    <w:rPr>
                      <w:b/>
                      <w:color w:val="auto"/>
                      <w:sz w:val="21"/>
                      <w:szCs w:val="21"/>
                    </w:rPr>
                  </w:pPr>
                </w:p>
              </w:tc>
              <w:tc>
                <w:tcPr>
                  <w:tcW w:w="1201" w:type="pct"/>
                  <w:gridSpan w:val="2"/>
                  <w:tcBorders>
                    <w:tl2br w:val="nil"/>
                    <w:tr2bl w:val="nil"/>
                  </w:tcBorders>
                  <w:vAlign w:val="center"/>
                </w:tcPr>
                <w:p w14:paraId="17FAD798">
                  <w:pPr>
                    <w:adjustRightInd w:val="0"/>
                    <w:snapToGrid w:val="0"/>
                    <w:jc w:val="center"/>
                    <w:rPr>
                      <w:bCs/>
                      <w:color w:val="auto"/>
                      <w:sz w:val="21"/>
                      <w:szCs w:val="21"/>
                    </w:rPr>
                  </w:pPr>
                  <w:r>
                    <w:rPr>
                      <w:rFonts w:hint="eastAsia"/>
                      <w:bCs/>
                      <w:color w:val="auto"/>
                      <w:sz w:val="21"/>
                      <w:szCs w:val="21"/>
                    </w:rPr>
                    <w:t>TN</w:t>
                  </w:r>
                </w:p>
              </w:tc>
              <w:tc>
                <w:tcPr>
                  <w:tcW w:w="986" w:type="pct"/>
                  <w:tcBorders>
                    <w:tl2br w:val="nil"/>
                    <w:tr2bl w:val="nil"/>
                  </w:tcBorders>
                  <w:vAlign w:val="center"/>
                </w:tcPr>
                <w:p w14:paraId="12485DBC">
                  <w:pPr>
                    <w:jc w:val="center"/>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0.014</w:t>
                  </w:r>
                </w:p>
              </w:tc>
              <w:tc>
                <w:tcPr>
                  <w:tcW w:w="906" w:type="pct"/>
                  <w:tcBorders>
                    <w:tl2br w:val="nil"/>
                    <w:tr2bl w:val="nil"/>
                  </w:tcBorders>
                  <w:vAlign w:val="center"/>
                </w:tcPr>
                <w:p w14:paraId="79B6D6DC">
                  <w:pPr>
                    <w:jc w:val="center"/>
                    <w:rPr>
                      <w:color w:val="auto"/>
                      <w:sz w:val="21"/>
                      <w:szCs w:val="21"/>
                    </w:rPr>
                  </w:pPr>
                  <w:r>
                    <w:rPr>
                      <w:rFonts w:hint="eastAsia"/>
                      <w:color w:val="auto"/>
                      <w:szCs w:val="21"/>
                      <w:lang w:val="en-US" w:eastAsia="zh-CN"/>
                    </w:rPr>
                    <w:t>0.014</w:t>
                  </w:r>
                </w:p>
              </w:tc>
              <w:tc>
                <w:tcPr>
                  <w:tcW w:w="761" w:type="pct"/>
                  <w:tcBorders>
                    <w:tl2br w:val="nil"/>
                    <w:tr2bl w:val="nil"/>
                  </w:tcBorders>
                  <w:vAlign w:val="center"/>
                </w:tcPr>
                <w:p w14:paraId="5808CFFD">
                  <w:pPr>
                    <w:jc w:val="center"/>
                    <w:rPr>
                      <w:bCs/>
                      <w:color w:val="auto"/>
                      <w:sz w:val="21"/>
                      <w:szCs w:val="21"/>
                    </w:rPr>
                  </w:pPr>
                  <w:r>
                    <w:rPr>
                      <w:rFonts w:hint="eastAsia"/>
                      <w:color w:val="auto"/>
                      <w:szCs w:val="21"/>
                      <w:lang w:val="en-US" w:eastAsia="zh-CN"/>
                    </w:rPr>
                    <w:t>0.014</w:t>
                  </w:r>
                </w:p>
              </w:tc>
              <w:tc>
                <w:tcPr>
                  <w:tcW w:w="684" w:type="pct"/>
                  <w:tcBorders>
                    <w:tl2br w:val="nil"/>
                    <w:tr2bl w:val="nil"/>
                  </w:tcBorders>
                  <w:vAlign w:val="center"/>
                </w:tcPr>
                <w:p w14:paraId="444DC7A0">
                  <w:pPr>
                    <w:jc w:val="center"/>
                    <w:rPr>
                      <w:rFonts w:hint="default" w:eastAsia="宋体"/>
                      <w:bCs/>
                      <w:color w:val="auto"/>
                      <w:sz w:val="21"/>
                      <w:szCs w:val="21"/>
                      <w:lang w:val="en-US" w:eastAsia="zh-CN"/>
                    </w:rPr>
                  </w:pPr>
                  <w:r>
                    <w:rPr>
                      <w:rFonts w:hint="eastAsia"/>
                      <w:bCs/>
                      <w:color w:val="auto"/>
                      <w:sz w:val="21"/>
                      <w:szCs w:val="21"/>
                      <w:lang w:val="en-US" w:eastAsia="zh-CN"/>
                    </w:rPr>
                    <w:t>0.0036</w:t>
                  </w:r>
                </w:p>
              </w:tc>
            </w:tr>
            <w:tr w14:paraId="27CE4B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tl2br w:val="nil"/>
                    <w:tr2bl w:val="nil"/>
                  </w:tcBorders>
                  <w:vAlign w:val="center"/>
                </w:tcPr>
                <w:p w14:paraId="07ED488D">
                  <w:pPr>
                    <w:adjustRightInd w:val="0"/>
                    <w:snapToGrid w:val="0"/>
                    <w:jc w:val="center"/>
                    <w:rPr>
                      <w:b/>
                      <w:color w:val="auto"/>
                      <w:sz w:val="21"/>
                      <w:szCs w:val="21"/>
                    </w:rPr>
                  </w:pPr>
                </w:p>
              </w:tc>
              <w:tc>
                <w:tcPr>
                  <w:tcW w:w="1201" w:type="pct"/>
                  <w:gridSpan w:val="2"/>
                  <w:tcBorders>
                    <w:tl2br w:val="nil"/>
                    <w:tr2bl w:val="nil"/>
                  </w:tcBorders>
                  <w:vAlign w:val="center"/>
                </w:tcPr>
                <w:p w14:paraId="45912D71">
                  <w:pPr>
                    <w:adjustRightInd w:val="0"/>
                    <w:snapToGrid w:val="0"/>
                    <w:jc w:val="center"/>
                    <w:rPr>
                      <w:bCs/>
                      <w:color w:val="auto"/>
                      <w:sz w:val="21"/>
                      <w:szCs w:val="21"/>
                    </w:rPr>
                  </w:pPr>
                  <w:r>
                    <w:rPr>
                      <w:rFonts w:hint="eastAsia"/>
                      <w:bCs/>
                      <w:color w:val="auto"/>
                      <w:sz w:val="21"/>
                      <w:szCs w:val="21"/>
                    </w:rPr>
                    <w:t>TP</w:t>
                  </w:r>
                </w:p>
              </w:tc>
              <w:tc>
                <w:tcPr>
                  <w:tcW w:w="986" w:type="pct"/>
                  <w:tcBorders>
                    <w:tl2br w:val="nil"/>
                    <w:tr2bl w:val="nil"/>
                  </w:tcBorders>
                  <w:vAlign w:val="center"/>
                </w:tcPr>
                <w:p w14:paraId="04058CFC">
                  <w:pPr>
                    <w:jc w:val="center"/>
                    <w:rPr>
                      <w:rFonts w:hint="eastAsia" w:ascii="Times New Roman" w:hAnsi="Times New Roman" w:eastAsia="宋体" w:cs="Times New Roman"/>
                      <w:color w:val="auto"/>
                      <w:sz w:val="21"/>
                      <w:szCs w:val="21"/>
                      <w:lang w:val="en-US" w:eastAsia="zh-CN"/>
                    </w:rPr>
                  </w:pPr>
                  <w:r>
                    <w:rPr>
                      <w:rFonts w:hint="eastAsia"/>
                      <w:color w:val="auto"/>
                      <w:szCs w:val="21"/>
                      <w:lang w:val="en-US" w:eastAsia="zh-CN"/>
                    </w:rPr>
                    <w:t>0.001</w:t>
                  </w:r>
                </w:p>
              </w:tc>
              <w:tc>
                <w:tcPr>
                  <w:tcW w:w="906" w:type="pct"/>
                  <w:tcBorders>
                    <w:tl2br w:val="nil"/>
                    <w:tr2bl w:val="nil"/>
                  </w:tcBorders>
                  <w:vAlign w:val="center"/>
                </w:tcPr>
                <w:p w14:paraId="0BA1CCFE">
                  <w:pPr>
                    <w:jc w:val="center"/>
                    <w:rPr>
                      <w:color w:val="auto"/>
                      <w:sz w:val="21"/>
                      <w:szCs w:val="21"/>
                    </w:rPr>
                  </w:pPr>
                  <w:r>
                    <w:rPr>
                      <w:rFonts w:hint="eastAsia"/>
                      <w:color w:val="auto"/>
                      <w:szCs w:val="21"/>
                      <w:lang w:val="en-US" w:eastAsia="zh-CN"/>
                    </w:rPr>
                    <w:t>0.001</w:t>
                  </w:r>
                </w:p>
              </w:tc>
              <w:tc>
                <w:tcPr>
                  <w:tcW w:w="761" w:type="pct"/>
                  <w:tcBorders>
                    <w:tl2br w:val="nil"/>
                    <w:tr2bl w:val="nil"/>
                  </w:tcBorders>
                  <w:vAlign w:val="center"/>
                </w:tcPr>
                <w:p w14:paraId="26606C33">
                  <w:pPr>
                    <w:jc w:val="center"/>
                    <w:rPr>
                      <w:bCs/>
                      <w:color w:val="auto"/>
                      <w:sz w:val="21"/>
                      <w:szCs w:val="21"/>
                    </w:rPr>
                  </w:pPr>
                  <w:r>
                    <w:rPr>
                      <w:rFonts w:hint="eastAsia"/>
                      <w:color w:val="auto"/>
                      <w:szCs w:val="21"/>
                      <w:lang w:val="en-US" w:eastAsia="zh-CN"/>
                    </w:rPr>
                    <w:t>0.001</w:t>
                  </w:r>
                </w:p>
              </w:tc>
              <w:tc>
                <w:tcPr>
                  <w:tcW w:w="684" w:type="pct"/>
                  <w:tcBorders>
                    <w:tl2br w:val="nil"/>
                    <w:tr2bl w:val="nil"/>
                  </w:tcBorders>
                  <w:vAlign w:val="center"/>
                </w:tcPr>
                <w:p w14:paraId="69E61484">
                  <w:pPr>
                    <w:jc w:val="center"/>
                    <w:rPr>
                      <w:rFonts w:hint="default" w:eastAsia="宋体"/>
                      <w:bCs/>
                      <w:color w:val="auto"/>
                      <w:sz w:val="21"/>
                      <w:szCs w:val="21"/>
                      <w:lang w:val="en-US" w:eastAsia="zh-CN"/>
                    </w:rPr>
                  </w:pPr>
                  <w:r>
                    <w:rPr>
                      <w:rFonts w:hint="eastAsia"/>
                      <w:bCs/>
                      <w:color w:val="auto"/>
                      <w:sz w:val="21"/>
                      <w:szCs w:val="21"/>
                      <w:lang w:val="en-US" w:eastAsia="zh-CN"/>
                    </w:rPr>
                    <w:t>0.0001</w:t>
                  </w:r>
                </w:p>
              </w:tc>
            </w:tr>
            <w:tr w14:paraId="2E6E73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restart"/>
                  <w:tcBorders>
                    <w:tl2br w:val="nil"/>
                    <w:tr2bl w:val="nil"/>
                  </w:tcBorders>
                  <w:vAlign w:val="center"/>
                </w:tcPr>
                <w:p w14:paraId="4AD37C60">
                  <w:pPr>
                    <w:adjustRightInd w:val="0"/>
                    <w:snapToGrid w:val="0"/>
                    <w:jc w:val="center"/>
                    <w:rPr>
                      <w:b/>
                      <w:color w:val="auto"/>
                      <w:sz w:val="21"/>
                      <w:szCs w:val="21"/>
                    </w:rPr>
                  </w:pPr>
                  <w:r>
                    <w:rPr>
                      <w:b/>
                      <w:color w:val="auto"/>
                      <w:sz w:val="21"/>
                      <w:szCs w:val="21"/>
                    </w:rPr>
                    <w:t>固体</w:t>
                  </w:r>
                </w:p>
                <w:p w14:paraId="5D6BAB7E">
                  <w:pPr>
                    <w:adjustRightInd w:val="0"/>
                    <w:snapToGrid w:val="0"/>
                    <w:jc w:val="center"/>
                    <w:rPr>
                      <w:b/>
                      <w:color w:val="auto"/>
                      <w:sz w:val="21"/>
                      <w:szCs w:val="21"/>
                    </w:rPr>
                  </w:pPr>
                  <w:r>
                    <w:rPr>
                      <w:b/>
                      <w:color w:val="auto"/>
                      <w:sz w:val="21"/>
                      <w:szCs w:val="21"/>
                    </w:rPr>
                    <w:t>废物</w:t>
                  </w:r>
                </w:p>
              </w:tc>
              <w:tc>
                <w:tcPr>
                  <w:tcW w:w="1201" w:type="pct"/>
                  <w:gridSpan w:val="2"/>
                  <w:tcBorders>
                    <w:tl2br w:val="nil"/>
                    <w:tr2bl w:val="nil"/>
                  </w:tcBorders>
                  <w:vAlign w:val="center"/>
                </w:tcPr>
                <w:p w14:paraId="52C8DB50">
                  <w:pPr>
                    <w:adjustRightInd w:val="0"/>
                    <w:snapToGrid w:val="0"/>
                    <w:jc w:val="center"/>
                    <w:rPr>
                      <w:bCs/>
                      <w:color w:val="auto"/>
                      <w:sz w:val="21"/>
                      <w:szCs w:val="21"/>
                    </w:rPr>
                  </w:pPr>
                  <w:r>
                    <w:rPr>
                      <w:bCs/>
                      <w:color w:val="auto"/>
                      <w:sz w:val="21"/>
                      <w:szCs w:val="21"/>
                    </w:rPr>
                    <w:t>生活垃圾</w:t>
                  </w:r>
                </w:p>
              </w:tc>
              <w:tc>
                <w:tcPr>
                  <w:tcW w:w="986" w:type="pct"/>
                  <w:tcBorders>
                    <w:tl2br w:val="nil"/>
                    <w:tr2bl w:val="nil"/>
                  </w:tcBorders>
                  <w:vAlign w:val="center"/>
                </w:tcPr>
                <w:p w14:paraId="10DB5E91">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4.5</w:t>
                  </w:r>
                </w:p>
              </w:tc>
              <w:tc>
                <w:tcPr>
                  <w:tcW w:w="906" w:type="pct"/>
                  <w:tcBorders>
                    <w:tl2br w:val="nil"/>
                    <w:tr2bl w:val="nil"/>
                  </w:tcBorders>
                  <w:vAlign w:val="center"/>
                </w:tcPr>
                <w:p w14:paraId="39409BAF">
                  <w:pPr>
                    <w:adjustRightInd w:val="0"/>
                    <w:snapToGrid w:val="0"/>
                    <w:jc w:val="center"/>
                    <w:rPr>
                      <w:bCs/>
                      <w:color w:val="auto"/>
                      <w:sz w:val="21"/>
                      <w:szCs w:val="21"/>
                    </w:rPr>
                  </w:pPr>
                  <w:r>
                    <w:rPr>
                      <w:bCs/>
                      <w:color w:val="auto"/>
                      <w:sz w:val="21"/>
                      <w:szCs w:val="21"/>
                    </w:rPr>
                    <w:t>0</w:t>
                  </w:r>
                </w:p>
              </w:tc>
              <w:tc>
                <w:tcPr>
                  <w:tcW w:w="761" w:type="pct"/>
                  <w:tcBorders>
                    <w:tl2br w:val="nil"/>
                    <w:tr2bl w:val="nil"/>
                  </w:tcBorders>
                  <w:vAlign w:val="center"/>
                </w:tcPr>
                <w:p w14:paraId="1151AC35">
                  <w:pPr>
                    <w:adjustRightInd w:val="0"/>
                    <w:snapToGrid w:val="0"/>
                    <w:jc w:val="center"/>
                    <w:rPr>
                      <w:bCs/>
                      <w:color w:val="auto"/>
                      <w:sz w:val="21"/>
                      <w:szCs w:val="21"/>
                    </w:rPr>
                  </w:pPr>
                  <w:r>
                    <w:rPr>
                      <w:bCs/>
                      <w:color w:val="auto"/>
                      <w:sz w:val="21"/>
                      <w:szCs w:val="21"/>
                    </w:rPr>
                    <w:t>0</w:t>
                  </w:r>
                </w:p>
              </w:tc>
              <w:tc>
                <w:tcPr>
                  <w:tcW w:w="684" w:type="pct"/>
                  <w:tcBorders>
                    <w:tl2br w:val="nil"/>
                    <w:tr2bl w:val="nil"/>
                  </w:tcBorders>
                  <w:vAlign w:val="center"/>
                </w:tcPr>
                <w:p w14:paraId="0A4EA635">
                  <w:pPr>
                    <w:adjustRightInd w:val="0"/>
                    <w:snapToGrid w:val="0"/>
                    <w:jc w:val="center"/>
                    <w:rPr>
                      <w:bCs/>
                      <w:color w:val="auto"/>
                      <w:sz w:val="21"/>
                      <w:szCs w:val="21"/>
                    </w:rPr>
                  </w:pPr>
                  <w:r>
                    <w:rPr>
                      <w:bCs/>
                      <w:color w:val="auto"/>
                      <w:sz w:val="21"/>
                      <w:szCs w:val="21"/>
                    </w:rPr>
                    <w:t>0</w:t>
                  </w:r>
                </w:p>
              </w:tc>
            </w:tr>
            <w:tr w14:paraId="191771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tl2br w:val="nil"/>
                    <w:tr2bl w:val="nil"/>
                  </w:tcBorders>
                  <w:vAlign w:val="center"/>
                </w:tcPr>
                <w:p w14:paraId="3DFDC772">
                  <w:pPr>
                    <w:adjustRightInd w:val="0"/>
                    <w:snapToGrid w:val="0"/>
                    <w:jc w:val="center"/>
                    <w:rPr>
                      <w:b/>
                      <w:color w:val="auto"/>
                      <w:sz w:val="21"/>
                      <w:szCs w:val="21"/>
                    </w:rPr>
                  </w:pPr>
                </w:p>
              </w:tc>
              <w:tc>
                <w:tcPr>
                  <w:tcW w:w="1201" w:type="pct"/>
                  <w:gridSpan w:val="2"/>
                  <w:tcBorders>
                    <w:tl2br w:val="nil"/>
                    <w:tr2bl w:val="nil"/>
                  </w:tcBorders>
                  <w:vAlign w:val="center"/>
                </w:tcPr>
                <w:p w14:paraId="173384C3">
                  <w:pPr>
                    <w:adjustRightInd w:val="0"/>
                    <w:snapToGrid w:val="0"/>
                    <w:jc w:val="center"/>
                    <w:rPr>
                      <w:bCs/>
                      <w:color w:val="auto"/>
                      <w:sz w:val="21"/>
                      <w:szCs w:val="21"/>
                    </w:rPr>
                  </w:pPr>
                  <w:r>
                    <w:rPr>
                      <w:bCs/>
                      <w:color w:val="auto"/>
                      <w:sz w:val="21"/>
                      <w:szCs w:val="21"/>
                    </w:rPr>
                    <w:t>一般固废</w:t>
                  </w:r>
                </w:p>
              </w:tc>
              <w:tc>
                <w:tcPr>
                  <w:tcW w:w="986" w:type="pct"/>
                  <w:tcBorders>
                    <w:tl2br w:val="nil"/>
                    <w:tr2bl w:val="nil"/>
                  </w:tcBorders>
                  <w:vAlign w:val="center"/>
                </w:tcPr>
                <w:p w14:paraId="2EF36513">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5.848</w:t>
                  </w:r>
                </w:p>
              </w:tc>
              <w:tc>
                <w:tcPr>
                  <w:tcW w:w="906" w:type="pct"/>
                  <w:tcBorders>
                    <w:tl2br w:val="nil"/>
                    <w:tr2bl w:val="nil"/>
                  </w:tcBorders>
                  <w:vAlign w:val="center"/>
                </w:tcPr>
                <w:p w14:paraId="3997D3D5">
                  <w:pPr>
                    <w:adjustRightInd w:val="0"/>
                    <w:snapToGrid w:val="0"/>
                    <w:jc w:val="center"/>
                    <w:rPr>
                      <w:bCs/>
                      <w:color w:val="auto"/>
                      <w:sz w:val="21"/>
                      <w:szCs w:val="21"/>
                    </w:rPr>
                  </w:pPr>
                  <w:r>
                    <w:rPr>
                      <w:bCs/>
                      <w:color w:val="auto"/>
                      <w:sz w:val="21"/>
                      <w:szCs w:val="21"/>
                    </w:rPr>
                    <w:t>0</w:t>
                  </w:r>
                </w:p>
              </w:tc>
              <w:tc>
                <w:tcPr>
                  <w:tcW w:w="761" w:type="pct"/>
                  <w:tcBorders>
                    <w:tl2br w:val="nil"/>
                    <w:tr2bl w:val="nil"/>
                  </w:tcBorders>
                  <w:vAlign w:val="center"/>
                </w:tcPr>
                <w:p w14:paraId="7F0245CC">
                  <w:pPr>
                    <w:adjustRightInd w:val="0"/>
                    <w:snapToGrid w:val="0"/>
                    <w:jc w:val="center"/>
                    <w:rPr>
                      <w:bCs/>
                      <w:color w:val="auto"/>
                      <w:sz w:val="21"/>
                      <w:szCs w:val="21"/>
                    </w:rPr>
                  </w:pPr>
                  <w:r>
                    <w:rPr>
                      <w:bCs/>
                      <w:color w:val="auto"/>
                      <w:sz w:val="21"/>
                      <w:szCs w:val="21"/>
                    </w:rPr>
                    <w:t>0</w:t>
                  </w:r>
                </w:p>
              </w:tc>
              <w:tc>
                <w:tcPr>
                  <w:tcW w:w="684" w:type="pct"/>
                  <w:tcBorders>
                    <w:tl2br w:val="nil"/>
                    <w:tr2bl w:val="nil"/>
                  </w:tcBorders>
                  <w:vAlign w:val="center"/>
                </w:tcPr>
                <w:p w14:paraId="6F597FC7">
                  <w:pPr>
                    <w:adjustRightInd w:val="0"/>
                    <w:snapToGrid w:val="0"/>
                    <w:jc w:val="center"/>
                    <w:rPr>
                      <w:bCs/>
                      <w:color w:val="auto"/>
                      <w:sz w:val="21"/>
                      <w:szCs w:val="21"/>
                    </w:rPr>
                  </w:pPr>
                  <w:r>
                    <w:rPr>
                      <w:bCs/>
                      <w:color w:val="auto"/>
                      <w:sz w:val="21"/>
                      <w:szCs w:val="21"/>
                    </w:rPr>
                    <w:t>0</w:t>
                  </w:r>
                </w:p>
              </w:tc>
            </w:tr>
            <w:tr w14:paraId="6F4F43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tl2br w:val="nil"/>
                    <w:tr2bl w:val="nil"/>
                  </w:tcBorders>
                  <w:vAlign w:val="center"/>
                </w:tcPr>
                <w:p w14:paraId="533DC649">
                  <w:pPr>
                    <w:adjustRightInd w:val="0"/>
                    <w:snapToGrid w:val="0"/>
                    <w:jc w:val="center"/>
                    <w:rPr>
                      <w:b/>
                      <w:color w:val="auto"/>
                      <w:sz w:val="21"/>
                      <w:szCs w:val="21"/>
                    </w:rPr>
                  </w:pPr>
                </w:p>
              </w:tc>
              <w:tc>
                <w:tcPr>
                  <w:tcW w:w="1201" w:type="pct"/>
                  <w:gridSpan w:val="2"/>
                  <w:tcBorders>
                    <w:tl2br w:val="nil"/>
                    <w:tr2bl w:val="nil"/>
                  </w:tcBorders>
                  <w:vAlign w:val="center"/>
                </w:tcPr>
                <w:p w14:paraId="037E4D11">
                  <w:pPr>
                    <w:adjustRightInd w:val="0"/>
                    <w:snapToGrid w:val="0"/>
                    <w:jc w:val="center"/>
                    <w:rPr>
                      <w:bCs/>
                      <w:color w:val="auto"/>
                      <w:sz w:val="21"/>
                      <w:szCs w:val="21"/>
                    </w:rPr>
                  </w:pPr>
                  <w:r>
                    <w:rPr>
                      <w:bCs/>
                      <w:color w:val="auto"/>
                      <w:sz w:val="21"/>
                      <w:szCs w:val="21"/>
                    </w:rPr>
                    <w:t>危险废物</w:t>
                  </w:r>
                </w:p>
              </w:tc>
              <w:tc>
                <w:tcPr>
                  <w:tcW w:w="986" w:type="pct"/>
                  <w:tcBorders>
                    <w:tl2br w:val="nil"/>
                    <w:tr2bl w:val="nil"/>
                  </w:tcBorders>
                  <w:vAlign w:val="center"/>
                </w:tcPr>
                <w:p w14:paraId="634B477E">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3.476</w:t>
                  </w:r>
                </w:p>
              </w:tc>
              <w:tc>
                <w:tcPr>
                  <w:tcW w:w="906" w:type="pct"/>
                  <w:tcBorders>
                    <w:tl2br w:val="nil"/>
                    <w:tr2bl w:val="nil"/>
                  </w:tcBorders>
                  <w:vAlign w:val="center"/>
                </w:tcPr>
                <w:p w14:paraId="0C5A7B3A">
                  <w:pPr>
                    <w:adjustRightInd w:val="0"/>
                    <w:snapToGrid w:val="0"/>
                    <w:jc w:val="center"/>
                    <w:rPr>
                      <w:bCs/>
                      <w:color w:val="auto"/>
                      <w:sz w:val="21"/>
                      <w:szCs w:val="21"/>
                    </w:rPr>
                  </w:pPr>
                  <w:r>
                    <w:rPr>
                      <w:bCs/>
                      <w:color w:val="auto"/>
                      <w:sz w:val="21"/>
                      <w:szCs w:val="21"/>
                    </w:rPr>
                    <w:t>0</w:t>
                  </w:r>
                </w:p>
              </w:tc>
              <w:tc>
                <w:tcPr>
                  <w:tcW w:w="761" w:type="pct"/>
                  <w:tcBorders>
                    <w:tl2br w:val="nil"/>
                    <w:tr2bl w:val="nil"/>
                  </w:tcBorders>
                  <w:vAlign w:val="center"/>
                </w:tcPr>
                <w:p w14:paraId="67D02F3D">
                  <w:pPr>
                    <w:adjustRightInd w:val="0"/>
                    <w:snapToGrid w:val="0"/>
                    <w:jc w:val="center"/>
                    <w:rPr>
                      <w:bCs/>
                      <w:color w:val="auto"/>
                      <w:sz w:val="21"/>
                      <w:szCs w:val="21"/>
                    </w:rPr>
                  </w:pPr>
                  <w:r>
                    <w:rPr>
                      <w:bCs/>
                      <w:color w:val="auto"/>
                      <w:sz w:val="21"/>
                      <w:szCs w:val="21"/>
                    </w:rPr>
                    <w:t>0</w:t>
                  </w:r>
                </w:p>
              </w:tc>
              <w:tc>
                <w:tcPr>
                  <w:tcW w:w="684" w:type="pct"/>
                  <w:tcBorders>
                    <w:tl2br w:val="nil"/>
                    <w:tr2bl w:val="nil"/>
                  </w:tcBorders>
                  <w:vAlign w:val="center"/>
                </w:tcPr>
                <w:p w14:paraId="7E8BCCC0">
                  <w:pPr>
                    <w:adjustRightInd w:val="0"/>
                    <w:snapToGrid w:val="0"/>
                    <w:jc w:val="center"/>
                    <w:rPr>
                      <w:bCs/>
                      <w:color w:val="auto"/>
                      <w:sz w:val="21"/>
                      <w:szCs w:val="21"/>
                    </w:rPr>
                  </w:pPr>
                  <w:r>
                    <w:rPr>
                      <w:bCs/>
                      <w:color w:val="auto"/>
                      <w:sz w:val="21"/>
                      <w:szCs w:val="21"/>
                    </w:rPr>
                    <w:t>0</w:t>
                  </w:r>
                </w:p>
              </w:tc>
            </w:tr>
          </w:tbl>
          <w:p w14:paraId="7425CF2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2、总量平衡方案</w:t>
            </w:r>
          </w:p>
          <w:p w14:paraId="2CDF292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废气</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本项目新增</w:t>
            </w:r>
            <w:r>
              <w:rPr>
                <w:rFonts w:hint="default" w:ascii="Times New Roman" w:hAnsi="Times New Roman" w:cs="Times New Roman"/>
                <w:bCs/>
                <w:color w:val="auto"/>
                <w:sz w:val="24"/>
                <w:szCs w:val="24"/>
                <w:highlight w:val="none"/>
              </w:rPr>
              <w:t>排放</w:t>
            </w:r>
            <w:r>
              <w:rPr>
                <w:rFonts w:hint="eastAsia" w:cs="Times New Roman"/>
                <w:color w:val="auto"/>
                <w:sz w:val="24"/>
                <w:szCs w:val="24"/>
                <w:lang w:val="en-US" w:eastAsia="zh-CN"/>
              </w:rPr>
              <w:t>非甲烷总烃</w:t>
            </w:r>
            <w:r>
              <w:rPr>
                <w:rFonts w:hint="eastAsia" w:cs="Times New Roman"/>
                <w:bCs/>
                <w:color w:val="auto"/>
                <w:sz w:val="24"/>
                <w:szCs w:val="24"/>
                <w:highlight w:val="none"/>
                <w:lang w:eastAsia="zh-CN"/>
              </w:rPr>
              <w:t>0.</w:t>
            </w:r>
            <w:r>
              <w:rPr>
                <w:rFonts w:hint="eastAsia" w:cs="Times New Roman"/>
                <w:bCs/>
                <w:color w:val="auto"/>
                <w:sz w:val="24"/>
                <w:szCs w:val="24"/>
                <w:highlight w:val="none"/>
                <w:lang w:val="en-US" w:eastAsia="zh-CN"/>
              </w:rPr>
              <w:t>089</w:t>
            </w:r>
            <w:r>
              <w:rPr>
                <w:rFonts w:hint="default" w:cs="Times New Roman"/>
                <w:bCs/>
                <w:color w:val="auto"/>
                <w:sz w:val="24"/>
                <w:szCs w:val="24"/>
                <w:highlight w:val="none"/>
                <w:lang w:val="en-US" w:eastAsia="zh-CN"/>
              </w:rPr>
              <w:t>t/a</w:t>
            </w:r>
            <w:r>
              <w:rPr>
                <w:rFonts w:hint="eastAsia"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在</w:t>
            </w:r>
            <w:r>
              <w:rPr>
                <w:rFonts w:hint="default" w:ascii="Times New Roman" w:hAnsi="Times New Roman" w:cs="Times New Roman"/>
                <w:bCs/>
                <w:color w:val="auto"/>
                <w:sz w:val="24"/>
                <w:szCs w:val="24"/>
                <w:highlight w:val="none"/>
                <w:lang w:eastAsia="zh-CN"/>
              </w:rPr>
              <w:t>金坛区</w:t>
            </w:r>
            <w:r>
              <w:rPr>
                <w:rFonts w:hint="default" w:ascii="Times New Roman" w:hAnsi="Times New Roman" w:cs="Times New Roman"/>
                <w:bCs/>
                <w:color w:val="auto"/>
                <w:sz w:val="24"/>
                <w:szCs w:val="24"/>
                <w:highlight w:val="none"/>
              </w:rPr>
              <w:t>范围内平衡。</w:t>
            </w:r>
          </w:p>
          <w:p w14:paraId="2FA7D07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bCs/>
                <w:color w:val="auto"/>
                <w:sz w:val="24"/>
              </w:rPr>
            </w:pPr>
            <w:r>
              <w:rPr>
                <w:rFonts w:hint="default" w:ascii="Times New Roman" w:hAnsi="Times New Roman" w:cs="Times New Roman"/>
                <w:color w:val="auto"/>
                <w:sz w:val="24"/>
              </w:rPr>
              <w:t>废水：</w:t>
            </w:r>
            <w:r>
              <w:rPr>
                <w:rFonts w:hint="default" w:ascii="Times New Roman" w:hAnsi="Times New Roman" w:cs="Times New Roman"/>
                <w:color w:val="auto"/>
                <w:sz w:val="24"/>
                <w:szCs w:val="24"/>
                <w:lang w:val="en-US" w:eastAsia="zh-CN"/>
              </w:rPr>
              <w:t>本项目生活污水</w:t>
            </w:r>
            <w:r>
              <w:rPr>
                <w:rFonts w:hint="eastAsia" w:cs="Times New Roman"/>
                <w:color w:val="auto"/>
                <w:sz w:val="24"/>
                <w:szCs w:val="24"/>
                <w:lang w:val="en-US" w:eastAsia="zh-CN"/>
              </w:rPr>
              <w:t>新增</w:t>
            </w:r>
            <w:r>
              <w:rPr>
                <w:rFonts w:hint="default" w:ascii="Times New Roman" w:hAnsi="Times New Roman" w:cs="Times New Roman"/>
                <w:color w:val="auto"/>
                <w:sz w:val="24"/>
                <w:szCs w:val="24"/>
                <w:lang w:val="en-US" w:eastAsia="zh-CN"/>
              </w:rPr>
              <w:t>接管</w:t>
            </w:r>
            <w:r>
              <w:rPr>
                <w:rFonts w:hint="default" w:ascii="Times New Roman" w:hAnsi="Times New Roman" w:cs="Times New Roman"/>
                <w:bCs/>
                <w:color w:val="auto"/>
                <w:sz w:val="24"/>
                <w:szCs w:val="24"/>
              </w:rPr>
              <w:t>量为</w:t>
            </w:r>
            <w:r>
              <w:rPr>
                <w:rFonts w:hint="eastAsia" w:cs="Times New Roman"/>
                <w:bCs/>
                <w:color w:val="auto"/>
                <w:sz w:val="24"/>
                <w:szCs w:val="24"/>
                <w:lang w:val="en-US" w:eastAsia="zh-CN"/>
              </w:rPr>
              <w:t>360</w:t>
            </w:r>
            <w:r>
              <w:rPr>
                <w:rFonts w:hint="default" w:ascii="Times New Roman" w:hAnsi="Times New Roman" w:cs="Times New Roman"/>
                <w:bCs/>
                <w:color w:val="auto"/>
                <w:sz w:val="24"/>
                <w:szCs w:val="24"/>
              </w:rPr>
              <w:t>t/a，排入</w:t>
            </w:r>
            <w:r>
              <w:rPr>
                <w:rFonts w:hint="default" w:ascii="Times New Roman" w:hAnsi="Times New Roman" w:cs="Times New Roman"/>
                <w:bCs/>
                <w:color w:val="auto"/>
                <w:sz w:val="24"/>
                <w:szCs w:val="24"/>
                <w:lang w:eastAsia="zh-CN"/>
              </w:rPr>
              <w:t>常州金坛区第二污水处理有限公司</w:t>
            </w:r>
            <w:r>
              <w:rPr>
                <w:rFonts w:hint="default" w:ascii="Times New Roman" w:hAnsi="Times New Roman" w:cs="Times New Roman"/>
                <w:bCs/>
                <w:color w:val="auto"/>
                <w:sz w:val="24"/>
                <w:szCs w:val="24"/>
              </w:rPr>
              <w:t>集中处理，污染物总量在污水处理厂内平衡</w:t>
            </w:r>
            <w:r>
              <w:rPr>
                <w:rFonts w:hint="default" w:ascii="Times New Roman" w:hAnsi="Times New Roman" w:cs="Times New Roman"/>
                <w:bCs/>
                <w:color w:val="auto"/>
                <w:sz w:val="24"/>
              </w:rPr>
              <w:t>。</w:t>
            </w:r>
          </w:p>
          <w:p w14:paraId="2F23392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固体废物：</w:t>
            </w:r>
            <w:r>
              <w:rPr>
                <w:rFonts w:hint="default" w:ascii="Times New Roman" w:hAnsi="Times New Roman" w:eastAsia="宋体" w:cs="Times New Roman"/>
                <w:bCs/>
                <w:color w:val="auto"/>
                <w:sz w:val="24"/>
              </w:rPr>
              <w:t>本项目产生的固体废物均进行合理处置，实现固体废物100%处置，无需申请总</w:t>
            </w:r>
            <w:r>
              <w:rPr>
                <w:rFonts w:hint="eastAsia" w:ascii="Times New Roman" w:hAnsi="Times New Roman" w:eastAsia="宋体" w:cs="Times New Roman"/>
                <w:bCs/>
                <w:color w:val="auto"/>
                <w:sz w:val="24"/>
                <w:lang w:val="en-US" w:eastAsia="zh-CN"/>
              </w:rPr>
              <w:t>量。</w:t>
            </w:r>
          </w:p>
          <w:p w14:paraId="05F01846">
            <w:pPr>
              <w:pStyle w:val="8"/>
              <w:rPr>
                <w:rFonts w:hint="eastAsia" w:ascii="Times New Roman" w:hAnsi="Times New Roman" w:eastAsia="宋体" w:cs="Times New Roman"/>
                <w:bCs/>
                <w:color w:val="auto"/>
                <w:sz w:val="24"/>
                <w:lang w:val="en-US" w:eastAsia="zh-CN"/>
              </w:rPr>
            </w:pPr>
          </w:p>
          <w:p w14:paraId="57F5559B">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39EC7E92">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78EBEAD5">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4F8091D7">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2FE313C3">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5CB3C0F4">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7564E686">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3AA62A86">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09C43C6B">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50CDA135">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51674B55">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0388F8E4">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4882C02A">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4EFDD403">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14D26B80">
            <w:pPr>
              <w:pStyle w:val="9"/>
              <w:widowControl w:val="0"/>
              <w:numPr>
                <w:ilvl w:val="0"/>
                <w:numId w:val="0"/>
              </w:numPr>
              <w:jc w:val="both"/>
              <w:rPr>
                <w:rFonts w:hint="eastAsia" w:ascii="Times New Roman" w:hAnsi="Times New Roman" w:eastAsia="宋体" w:cs="Times New Roman"/>
                <w:bCs/>
                <w:color w:val="auto"/>
                <w:sz w:val="24"/>
                <w:lang w:val="en-US" w:eastAsia="zh-CN"/>
              </w:rPr>
            </w:pPr>
          </w:p>
          <w:p w14:paraId="047D52C2">
            <w:pPr>
              <w:pStyle w:val="9"/>
              <w:widowControl w:val="0"/>
              <w:numPr>
                <w:ilvl w:val="0"/>
                <w:numId w:val="0"/>
              </w:numPr>
              <w:jc w:val="both"/>
              <w:rPr>
                <w:rFonts w:hint="default" w:ascii="Times New Roman" w:hAnsi="Times New Roman" w:eastAsia="宋体" w:cs="Times New Roman"/>
                <w:bCs/>
                <w:color w:val="auto"/>
                <w:sz w:val="24"/>
                <w:lang w:val="en-US" w:eastAsia="zh-CN"/>
              </w:rPr>
            </w:pPr>
          </w:p>
        </w:tc>
      </w:tr>
    </w:tbl>
    <w:p w14:paraId="49C91B0B">
      <w:pPr>
        <w:pStyle w:val="22"/>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四、主要环境影响和保护措施</w:t>
      </w:r>
      <w:bookmarkEnd w:id="4"/>
    </w:p>
    <w:tbl>
      <w:tblPr>
        <w:tblStyle w:val="27"/>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8273"/>
      </w:tblGrid>
      <w:tr w14:paraId="2175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876" w:type="dxa"/>
            <w:tcMar>
              <w:left w:w="28" w:type="dxa"/>
              <w:right w:w="28" w:type="dxa"/>
            </w:tcMar>
            <w:vAlign w:val="center"/>
          </w:tcPr>
          <w:p w14:paraId="49BF4432">
            <w:pPr>
              <w:pStyle w:val="22"/>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施工</w:t>
            </w:r>
          </w:p>
          <w:p w14:paraId="4B62F8CD">
            <w:pPr>
              <w:pStyle w:val="22"/>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期环</w:t>
            </w:r>
          </w:p>
          <w:p w14:paraId="062DDE30">
            <w:pPr>
              <w:pStyle w:val="22"/>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境保</w:t>
            </w:r>
          </w:p>
          <w:p w14:paraId="40F2E719">
            <w:pPr>
              <w:pStyle w:val="22"/>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护措</w:t>
            </w:r>
          </w:p>
          <w:p w14:paraId="7DDD90A3">
            <w:pPr>
              <w:pStyle w:val="22"/>
              <w:adjustRightInd w:val="0"/>
              <w:snapToGrid w:val="0"/>
              <w:spacing w:before="0" w:beforeAutospacing="0" w:after="0" w:afterAutospacing="0"/>
              <w:jc w:val="center"/>
              <w:rPr>
                <w:rFonts w:hint="default" w:ascii="Times New Roman" w:hAnsi="Times New Roman" w:cs="Times New Roman"/>
                <w:bCs/>
                <w:color w:val="auto"/>
                <w:kern w:val="2"/>
                <w:szCs w:val="24"/>
              </w:rPr>
            </w:pPr>
            <w:r>
              <w:rPr>
                <w:rFonts w:hint="default" w:ascii="Times New Roman" w:hAnsi="Times New Roman" w:cs="Times New Roman"/>
                <w:color w:val="auto"/>
                <w:kern w:val="2"/>
                <w:szCs w:val="24"/>
              </w:rPr>
              <w:t>施</w:t>
            </w:r>
          </w:p>
        </w:tc>
        <w:tc>
          <w:tcPr>
            <w:tcW w:w="8273" w:type="dxa"/>
            <w:vAlign w:val="center"/>
          </w:tcPr>
          <w:p w14:paraId="4C5FDDCC">
            <w:pPr>
              <w:adjustRightInd w:val="0"/>
              <w:snapToGrid w:val="0"/>
              <w:spacing w:line="500" w:lineRule="exact"/>
              <w:ind w:firstLine="480" w:firstLineChars="200"/>
              <w:rPr>
                <w:rFonts w:hint="default" w:ascii="Times New Roman" w:hAnsi="Times New Roman" w:cs="Times New Roman"/>
                <w:bCs/>
                <w:color w:val="auto"/>
                <w:spacing w:val="-10"/>
                <w:szCs w:val="21"/>
              </w:rPr>
            </w:pPr>
            <w:r>
              <w:rPr>
                <w:rFonts w:hint="default" w:ascii="Times New Roman" w:hAnsi="Times New Roman" w:cs="Times New Roman"/>
                <w:color w:val="auto"/>
                <w:sz w:val="24"/>
              </w:rPr>
              <w:t>本项目</w:t>
            </w:r>
            <w:r>
              <w:rPr>
                <w:rFonts w:hint="eastAsia" w:cs="Times New Roman"/>
                <w:color w:val="auto"/>
                <w:sz w:val="24"/>
                <w:lang w:val="en-US" w:eastAsia="zh-CN"/>
              </w:rPr>
              <w:t>租用</w:t>
            </w:r>
            <w:r>
              <w:rPr>
                <w:rFonts w:hint="default" w:ascii="Times New Roman" w:hAnsi="Times New Roman" w:cs="Times New Roman"/>
                <w:color w:val="auto"/>
                <w:sz w:val="24"/>
              </w:rPr>
              <w:t>闲置厂房</w:t>
            </w:r>
            <w:r>
              <w:rPr>
                <w:rFonts w:hint="eastAsia" w:cs="Times New Roman"/>
                <w:color w:val="auto"/>
                <w:sz w:val="24"/>
                <w:lang w:val="en-US" w:eastAsia="zh-CN"/>
              </w:rPr>
              <w:t>建设</w:t>
            </w:r>
            <w:r>
              <w:rPr>
                <w:rFonts w:hint="default" w:ascii="Times New Roman" w:hAnsi="Times New Roman" w:cs="Times New Roman"/>
                <w:color w:val="auto"/>
                <w:sz w:val="24"/>
              </w:rPr>
              <w:t>，包括后期设备安装等，不涉及土建，对周围环境影响较小，故本次环评不再对施工期环境影响进行分析</w:t>
            </w:r>
            <w:r>
              <w:rPr>
                <w:rFonts w:hint="default" w:ascii="Times New Roman" w:hAnsi="Times New Roman" w:cs="Times New Roman"/>
                <w:bCs/>
                <w:color w:val="auto"/>
                <w:sz w:val="24"/>
              </w:rPr>
              <w:t>。</w:t>
            </w:r>
          </w:p>
        </w:tc>
      </w:tr>
      <w:tr w14:paraId="2EBD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4" w:hRule="atLeast"/>
        </w:trPr>
        <w:tc>
          <w:tcPr>
            <w:tcW w:w="876" w:type="dxa"/>
            <w:tcMar>
              <w:left w:w="28" w:type="dxa"/>
              <w:right w:w="28" w:type="dxa"/>
            </w:tcMar>
            <w:vAlign w:val="center"/>
          </w:tcPr>
          <w:p w14:paraId="68A1052F">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运营</w:t>
            </w:r>
          </w:p>
          <w:p w14:paraId="5BFA2353">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期环</w:t>
            </w:r>
          </w:p>
          <w:p w14:paraId="00122FD7">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境影</w:t>
            </w:r>
          </w:p>
          <w:p w14:paraId="0E12B6AD">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响和</w:t>
            </w:r>
          </w:p>
          <w:p w14:paraId="660B52F3">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保护</w:t>
            </w:r>
          </w:p>
          <w:p w14:paraId="2603CE9D">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措施</w:t>
            </w:r>
          </w:p>
        </w:tc>
        <w:tc>
          <w:tcPr>
            <w:tcW w:w="8273" w:type="dxa"/>
            <w:vAlign w:val="center"/>
          </w:tcPr>
          <w:p w14:paraId="5E0AA2AE">
            <w:pPr>
              <w:keepNext w:val="0"/>
              <w:keepLines w:val="0"/>
              <w:pageBreakBefore w:val="0"/>
              <w:kinsoku/>
              <w:wordWrap/>
              <w:overflowPunct/>
              <w:topLinePunct w:val="0"/>
              <w:autoSpaceDE/>
              <w:autoSpaceDN/>
              <w:bidi w:val="0"/>
              <w:adjustRightInd w:val="0"/>
              <w:snapToGrid w:val="0"/>
              <w:spacing w:line="500" w:lineRule="exact"/>
              <w:rPr>
                <w:rFonts w:hint="default" w:ascii="Times New Roman" w:hAnsi="Times New Roman" w:cs="Times New Roman"/>
                <w:b/>
                <w:color w:val="auto"/>
                <w:sz w:val="24"/>
              </w:rPr>
            </w:pPr>
            <w:r>
              <w:rPr>
                <w:rFonts w:hint="eastAsia" w:cs="Times New Roman"/>
                <w:b/>
                <w:color w:val="auto"/>
                <w:sz w:val="24"/>
                <w:lang w:eastAsia="zh-CN"/>
              </w:rPr>
              <w:t>一</w:t>
            </w:r>
            <w:r>
              <w:rPr>
                <w:rFonts w:hint="default" w:ascii="Times New Roman" w:hAnsi="Times New Roman" w:cs="Times New Roman"/>
                <w:b/>
                <w:color w:val="auto"/>
                <w:sz w:val="24"/>
              </w:rPr>
              <w:t>、废气</w:t>
            </w:r>
          </w:p>
          <w:p w14:paraId="43133A25">
            <w:pPr>
              <w:keepNext w:val="0"/>
              <w:keepLines w:val="0"/>
              <w:pageBreakBefore w:val="0"/>
              <w:kinsoku/>
              <w:wordWrap/>
              <w:overflowPunct/>
              <w:topLinePunct w:val="0"/>
              <w:autoSpaceDE/>
              <w:autoSpaceDN/>
              <w:bidi w:val="0"/>
              <w:adjustRightInd w:val="0"/>
              <w:snapToGrid w:val="0"/>
              <w:spacing w:line="500" w:lineRule="exact"/>
              <w:ind w:firstLine="482" w:firstLineChars="200"/>
              <w:rPr>
                <w:rFonts w:hint="default" w:ascii="Times New Roman" w:hAnsi="Times New Roman" w:cs="Times New Roman"/>
                <w:b/>
                <w:bCs/>
                <w:color w:val="auto"/>
                <w:sz w:val="24"/>
                <w:lang w:val="en-US"/>
              </w:rPr>
            </w:pPr>
            <w:r>
              <w:rPr>
                <w:rFonts w:hint="eastAsia" w:cs="Times New Roman"/>
                <w:b/>
                <w:bCs/>
                <w:color w:val="auto"/>
                <w:sz w:val="24"/>
                <w:lang w:val="en-US" w:eastAsia="zh-CN"/>
              </w:rPr>
              <w:t>1、</w:t>
            </w:r>
            <w:r>
              <w:rPr>
                <w:rFonts w:hint="default" w:ascii="Times New Roman" w:hAnsi="Times New Roman" w:cs="Times New Roman"/>
                <w:b/>
                <w:bCs/>
                <w:color w:val="auto"/>
                <w:sz w:val="24"/>
                <w:lang w:val="en-US" w:eastAsia="zh-CN"/>
              </w:rPr>
              <w:t>废气产生情况</w:t>
            </w:r>
          </w:p>
          <w:p w14:paraId="0CFC4580">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eastAsia"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eastAsia"/>
                <w:bCs/>
                <w:color w:val="auto"/>
                <w:sz w:val="24"/>
                <w:lang w:val="en-US" w:eastAsia="zh-CN"/>
              </w:rPr>
              <w:t>挤出</w:t>
            </w:r>
            <w:r>
              <w:rPr>
                <w:rFonts w:hint="eastAsia" w:cs="Times New Roman"/>
                <w:color w:val="auto"/>
                <w:sz w:val="24"/>
                <w:lang w:val="en-US" w:eastAsia="zh-CN"/>
              </w:rPr>
              <w:t>废气</w:t>
            </w:r>
            <w:r>
              <w:rPr>
                <w:rFonts w:hint="default" w:ascii="Times New Roman" w:hAnsi="Times New Roman" w:cs="Times New Roman"/>
                <w:color w:val="auto"/>
                <w:sz w:val="24"/>
                <w:lang w:val="en-US" w:eastAsia="zh-CN"/>
              </w:rPr>
              <w:t>（G</w:t>
            </w:r>
            <w:r>
              <w:rPr>
                <w:rFonts w:hint="eastAsia" w:cs="Times New Roman"/>
                <w:color w:val="auto"/>
                <w:sz w:val="24"/>
                <w:lang w:val="en-US" w:eastAsia="zh-CN"/>
              </w:rPr>
              <w:t>1-1</w:t>
            </w:r>
            <w:r>
              <w:rPr>
                <w:rFonts w:hint="default" w:ascii="Times New Roman" w:hAnsi="Times New Roman" w:cs="Times New Roman"/>
                <w:color w:val="auto"/>
                <w:sz w:val="24"/>
                <w:lang w:val="en-US" w:eastAsia="zh-CN"/>
              </w:rPr>
              <w:t>）</w:t>
            </w:r>
            <w:r>
              <w:rPr>
                <w:rFonts w:hint="eastAsia" w:ascii="Times New Roman" w:hAnsi="Times New Roman"/>
                <w:bCs/>
                <w:color w:val="auto"/>
                <w:sz w:val="24"/>
                <w:lang w:val="en-US" w:eastAsia="zh-CN"/>
              </w:rPr>
              <w:t>、</w:t>
            </w:r>
            <w:r>
              <w:rPr>
                <w:rFonts w:hint="eastAsia"/>
                <w:bCs/>
                <w:color w:val="auto"/>
                <w:sz w:val="24"/>
                <w:lang w:val="en-US" w:eastAsia="zh-CN"/>
              </w:rPr>
              <w:t>压塑</w:t>
            </w:r>
            <w:r>
              <w:rPr>
                <w:rFonts w:hint="eastAsia" w:cs="Times New Roman"/>
                <w:color w:val="auto"/>
                <w:sz w:val="24"/>
                <w:lang w:val="en-US" w:eastAsia="zh-CN"/>
              </w:rPr>
              <w:t>废气</w:t>
            </w:r>
            <w:r>
              <w:rPr>
                <w:rFonts w:hint="default" w:ascii="Times New Roman" w:hAnsi="Times New Roman" w:cs="Times New Roman"/>
                <w:color w:val="auto"/>
                <w:sz w:val="24"/>
                <w:lang w:val="en-US" w:eastAsia="zh-CN"/>
              </w:rPr>
              <w:t>（G</w:t>
            </w:r>
            <w:r>
              <w:rPr>
                <w:rFonts w:hint="eastAsia" w:cs="Times New Roman"/>
                <w:color w:val="auto"/>
                <w:sz w:val="24"/>
                <w:lang w:val="en-US" w:eastAsia="zh-CN"/>
              </w:rPr>
              <w:t>1-2</w:t>
            </w:r>
            <w:r>
              <w:rPr>
                <w:rFonts w:hint="default" w:ascii="Times New Roman" w:hAnsi="Times New Roman" w:cs="Times New Roman"/>
                <w:color w:val="auto"/>
                <w:sz w:val="24"/>
                <w:lang w:val="en-US" w:eastAsia="zh-CN"/>
              </w:rPr>
              <w:t>）</w:t>
            </w:r>
          </w:p>
          <w:p w14:paraId="32162E90">
            <w:pPr>
              <w:pStyle w:val="8"/>
              <w:keepNext w:val="0"/>
              <w:keepLines w:val="0"/>
              <w:pageBreakBefore w:val="0"/>
              <w:widowControl/>
              <w:kinsoku/>
              <w:wordWrap/>
              <w:overflowPunct/>
              <w:topLinePunct w:val="0"/>
              <w:autoSpaceDE/>
              <w:autoSpaceDN/>
              <w:bidi w:val="0"/>
              <w:adjustRightInd/>
              <w:snapToGrid w:val="0"/>
              <w:spacing w:before="0" w:after="0" w:line="500" w:lineRule="exact"/>
              <w:ind w:left="0" w:leftChars="0" w:right="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项目</w:t>
            </w:r>
            <w:r>
              <w:rPr>
                <w:rFonts w:hint="eastAsia" w:cs="Times New Roman"/>
                <w:bCs/>
                <w:color w:val="auto"/>
                <w:kern w:val="2"/>
                <w:sz w:val="24"/>
                <w:szCs w:val="24"/>
                <w:lang w:val="en-US" w:eastAsia="zh-CN" w:bidi="ar-SA"/>
              </w:rPr>
              <w:t>风机叶轮</w:t>
            </w:r>
            <w:r>
              <w:rPr>
                <w:rFonts w:hint="eastAsia"/>
                <w:bCs/>
                <w:color w:val="auto"/>
                <w:sz w:val="24"/>
                <w:lang w:val="en-US" w:eastAsia="zh-CN"/>
              </w:rPr>
              <w:t>挤出</w:t>
            </w:r>
            <w:r>
              <w:rPr>
                <w:rFonts w:hint="eastAsia" w:ascii="Times New Roman" w:hAnsi="Times New Roman" w:eastAsia="宋体" w:cs="Times New Roman"/>
                <w:bCs/>
                <w:color w:val="auto"/>
                <w:kern w:val="2"/>
                <w:sz w:val="24"/>
                <w:szCs w:val="24"/>
                <w:lang w:val="en-US" w:eastAsia="zh-CN" w:bidi="ar-SA"/>
              </w:rPr>
              <w:t>、</w:t>
            </w:r>
            <w:r>
              <w:rPr>
                <w:rFonts w:hint="eastAsia"/>
                <w:bCs/>
                <w:color w:val="auto"/>
                <w:sz w:val="24"/>
                <w:lang w:val="en-US" w:eastAsia="zh-CN"/>
              </w:rPr>
              <w:t>压塑</w:t>
            </w:r>
            <w:r>
              <w:rPr>
                <w:rFonts w:hint="eastAsia" w:ascii="Times New Roman" w:hAnsi="Times New Roman" w:eastAsia="宋体" w:cs="Times New Roman"/>
                <w:bCs/>
                <w:color w:val="auto"/>
                <w:kern w:val="2"/>
                <w:sz w:val="24"/>
                <w:szCs w:val="24"/>
                <w:lang w:val="en-US" w:eastAsia="zh-CN" w:bidi="ar-SA"/>
              </w:rPr>
              <w:t>过程均产生废气，主要污染物为非甲烷总烃。参考《排放源统计调查产排污核算方法和系数手册》中</w:t>
            </w:r>
            <w:r>
              <w:rPr>
                <w:rFonts w:hint="default" w:ascii="Times New Roman" w:hAnsi="Times New Roman" w:eastAsia="宋体" w:cs="Times New Roman"/>
                <w:bCs/>
                <w:color w:val="auto"/>
                <w:kern w:val="2"/>
                <w:sz w:val="24"/>
                <w:szCs w:val="24"/>
                <w:lang w:val="en-US" w:eastAsia="zh-CN" w:bidi="ar-SA"/>
              </w:rPr>
              <w:t>《292 塑料制品业系数手册》</w:t>
            </w:r>
            <w:r>
              <w:rPr>
                <w:rFonts w:hint="eastAsia" w:ascii="Times New Roman" w:hAnsi="Times New Roman" w:eastAsia="宋体" w:cs="Times New Roman"/>
                <w:bCs/>
                <w:color w:val="auto"/>
                <w:kern w:val="2"/>
                <w:sz w:val="24"/>
                <w:szCs w:val="24"/>
                <w:lang w:val="en-US" w:eastAsia="zh-CN" w:bidi="ar-SA"/>
              </w:rPr>
              <w:t>，塑料零件-树脂、助剂-配料、混合、挤出/注塑-挥发性有机物的产污系数2.7kg/t（原料）。项目</w:t>
            </w:r>
            <w:r>
              <w:rPr>
                <w:rFonts w:hint="eastAsia"/>
                <w:bCs/>
                <w:color w:val="auto"/>
                <w:sz w:val="24"/>
                <w:lang w:val="en-US" w:eastAsia="zh-CN"/>
              </w:rPr>
              <w:t>压塑</w:t>
            </w:r>
            <w:r>
              <w:rPr>
                <w:rFonts w:hint="eastAsia" w:ascii="Times New Roman" w:hAnsi="Times New Roman" w:eastAsia="宋体" w:cs="Times New Roman"/>
                <w:bCs/>
                <w:color w:val="auto"/>
                <w:kern w:val="2"/>
                <w:sz w:val="24"/>
                <w:szCs w:val="24"/>
                <w:lang w:val="en-US" w:eastAsia="zh-CN" w:bidi="ar-SA"/>
              </w:rPr>
              <w:t>过程使用PP粒子、色母粒约131t/a，则</w:t>
            </w:r>
            <w:r>
              <w:rPr>
                <w:rFonts w:hint="eastAsia"/>
                <w:bCs/>
                <w:color w:val="auto"/>
                <w:sz w:val="24"/>
                <w:lang w:val="en-US" w:eastAsia="zh-CN"/>
              </w:rPr>
              <w:t>挤出</w:t>
            </w:r>
            <w:r>
              <w:rPr>
                <w:rFonts w:hint="eastAsia" w:ascii="Times New Roman" w:hAnsi="Times New Roman" w:eastAsia="宋体" w:cs="Times New Roman"/>
                <w:bCs/>
                <w:color w:val="auto"/>
                <w:kern w:val="2"/>
                <w:sz w:val="24"/>
                <w:szCs w:val="24"/>
                <w:lang w:val="en-US" w:eastAsia="zh-CN" w:bidi="ar-SA"/>
              </w:rPr>
              <w:t>、</w:t>
            </w:r>
            <w:r>
              <w:rPr>
                <w:rFonts w:hint="eastAsia"/>
                <w:bCs/>
                <w:color w:val="auto"/>
                <w:sz w:val="24"/>
                <w:lang w:val="en-US" w:eastAsia="zh-CN"/>
              </w:rPr>
              <w:t>压塑</w:t>
            </w:r>
            <w:r>
              <w:rPr>
                <w:rFonts w:hint="eastAsia" w:ascii="Times New Roman" w:hAnsi="Times New Roman" w:eastAsia="宋体" w:cs="Times New Roman"/>
                <w:bCs/>
                <w:color w:val="auto"/>
                <w:kern w:val="2"/>
                <w:sz w:val="24"/>
                <w:szCs w:val="24"/>
                <w:lang w:val="en-US" w:eastAsia="zh-CN" w:bidi="ar-SA"/>
              </w:rPr>
              <w:t>工段非甲烷总烃产生量约0.354t/a</w:t>
            </w:r>
            <w:r>
              <w:rPr>
                <w:rFonts w:hint="default" w:ascii="Times New Roman" w:hAnsi="Times New Roman" w:eastAsia="宋体" w:cs="Times New Roman"/>
                <w:bCs/>
                <w:color w:val="auto"/>
                <w:kern w:val="2"/>
                <w:sz w:val="24"/>
                <w:szCs w:val="24"/>
                <w:lang w:val="en-US" w:eastAsia="zh-CN" w:bidi="ar-SA"/>
              </w:rPr>
              <w:t>。</w:t>
            </w:r>
          </w:p>
          <w:p w14:paraId="6414111B">
            <w:pPr>
              <w:pStyle w:val="8"/>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（2）补焊废气</w:t>
            </w:r>
            <w:r>
              <w:rPr>
                <w:rFonts w:hint="default" w:ascii="Times New Roman" w:hAnsi="Times New Roman" w:cs="Times New Roman"/>
                <w:color w:val="auto"/>
                <w:sz w:val="24"/>
                <w:lang w:val="en-US" w:eastAsia="zh-CN"/>
              </w:rPr>
              <w:t>（G</w:t>
            </w:r>
            <w:r>
              <w:rPr>
                <w:rFonts w:hint="eastAsia" w:cs="Times New Roman"/>
                <w:color w:val="auto"/>
                <w:sz w:val="24"/>
                <w:lang w:val="en-US" w:eastAsia="zh-CN"/>
              </w:rPr>
              <w:t>1-3</w:t>
            </w:r>
            <w:r>
              <w:rPr>
                <w:rFonts w:hint="default" w:ascii="Times New Roman" w:hAnsi="Times New Roman" w:cs="Times New Roman"/>
                <w:color w:val="auto"/>
                <w:sz w:val="24"/>
                <w:lang w:val="en-US" w:eastAsia="zh-CN"/>
              </w:rPr>
              <w:t>）</w:t>
            </w:r>
          </w:p>
          <w:p w14:paraId="532167F0">
            <w:pPr>
              <w:pStyle w:val="8"/>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eastAsia"/>
                <w:color w:val="auto"/>
                <w:sz w:val="24"/>
                <w:szCs w:val="24"/>
                <w:highlight w:val="none"/>
                <w:lang w:eastAsia="zh-CN"/>
              </w:rPr>
            </w:pPr>
            <w:r>
              <w:rPr>
                <w:rFonts w:hint="eastAsia" w:ascii="Times New Roman" w:hAnsi="Times New Roman" w:eastAsia="宋体" w:cs="Times New Roman"/>
                <w:bCs/>
                <w:color w:val="auto"/>
                <w:kern w:val="2"/>
                <w:sz w:val="24"/>
                <w:szCs w:val="24"/>
                <w:lang w:val="en-US" w:eastAsia="zh-CN" w:bidi="ar-SA"/>
              </w:rPr>
              <w:t>项目</w:t>
            </w:r>
            <w:r>
              <w:rPr>
                <w:rFonts w:hint="eastAsia" w:cs="Times New Roman"/>
                <w:bCs/>
                <w:color w:val="auto"/>
                <w:kern w:val="2"/>
                <w:sz w:val="24"/>
                <w:szCs w:val="24"/>
                <w:lang w:val="en-US" w:eastAsia="zh-CN" w:bidi="ar-SA"/>
              </w:rPr>
              <w:t>风机叶轮动平衡测试过程部分产品需添加</w:t>
            </w:r>
            <w:r>
              <w:rPr>
                <w:rFonts w:hint="eastAsia" w:cs="Times New Roman"/>
                <w:i w:val="0"/>
                <w:iCs w:val="0"/>
                <w:color w:val="auto"/>
                <w:kern w:val="0"/>
                <w:sz w:val="24"/>
                <w:szCs w:val="24"/>
                <w:u w:val="none"/>
                <w:lang w:val="en-US" w:eastAsia="zh-CN" w:bidi="ar"/>
              </w:rPr>
              <w:t>塑料平衡块调整产品状态</w:t>
            </w:r>
            <w:r>
              <w:rPr>
                <w:rFonts w:hint="eastAsia" w:cs="Times New Roman"/>
                <w:bCs/>
                <w:color w:val="auto"/>
                <w:kern w:val="2"/>
                <w:sz w:val="24"/>
                <w:szCs w:val="24"/>
                <w:lang w:val="en-US" w:eastAsia="zh-CN" w:bidi="ar-SA"/>
              </w:rPr>
              <w:t>，</w:t>
            </w:r>
            <w:r>
              <w:rPr>
                <w:rFonts w:hint="eastAsia" w:cs="Times New Roman"/>
                <w:i w:val="0"/>
                <w:iCs w:val="0"/>
                <w:color w:val="auto"/>
                <w:kern w:val="0"/>
                <w:sz w:val="24"/>
                <w:szCs w:val="24"/>
                <w:u w:val="none"/>
                <w:lang w:val="en-US" w:eastAsia="zh-CN" w:bidi="ar"/>
              </w:rPr>
              <w:t>塑料平衡块</w:t>
            </w:r>
            <w:r>
              <w:rPr>
                <w:rFonts w:hint="eastAsia" w:cs="Times New Roman"/>
                <w:bCs/>
                <w:color w:val="auto"/>
                <w:kern w:val="2"/>
                <w:sz w:val="24"/>
                <w:szCs w:val="24"/>
                <w:lang w:val="en-US" w:eastAsia="zh-CN" w:bidi="ar-SA"/>
              </w:rPr>
              <w:t>采用热熔焊接工艺焊接在产品上</w:t>
            </w:r>
            <w:r>
              <w:rPr>
                <w:rFonts w:hint="eastAsia"/>
                <w:bCs/>
                <w:color w:val="auto"/>
                <w:sz w:val="24"/>
                <w:lang w:val="en-US" w:eastAsia="zh-CN"/>
              </w:rPr>
              <w:t>，焊接</w:t>
            </w:r>
            <w:r>
              <w:rPr>
                <w:rFonts w:hint="eastAsia" w:ascii="Times New Roman" w:hAnsi="Times New Roman" w:eastAsia="宋体" w:cs="Times New Roman"/>
                <w:bCs/>
                <w:color w:val="auto"/>
                <w:kern w:val="2"/>
                <w:sz w:val="24"/>
                <w:szCs w:val="24"/>
                <w:lang w:val="en-US" w:eastAsia="zh-CN" w:bidi="ar-SA"/>
              </w:rPr>
              <w:t>工序产生少量废气，主要污染物为非甲烷总烃。</w:t>
            </w:r>
            <w:r>
              <w:rPr>
                <w:rFonts w:hint="default" w:ascii="Times New Roman" w:hAnsi="Times New Roman" w:eastAsia="宋体" w:cs="Times New Roman"/>
                <w:bCs/>
                <w:color w:val="auto"/>
                <w:kern w:val="2"/>
                <w:sz w:val="24"/>
                <w:szCs w:val="24"/>
                <w:lang w:val="en-US" w:eastAsia="zh-CN" w:bidi="ar-SA"/>
              </w:rPr>
              <w:t>根据《污染源统计调查产排污核算方法和系数手册》中《292 塑料制品业系数手册》：“塑料制品制造中如果存在塑料容器的熔融、拼接等工段，其挥发性有机物的产污量核算需确定熔融的塑料量作为产品量，再参照塑料薄膜挤塑工艺的系数手册”。</w:t>
            </w:r>
            <w:r>
              <w:rPr>
                <w:rFonts w:hint="eastAsia" w:cs="Times New Roman"/>
                <w:bCs/>
                <w:color w:val="auto"/>
                <w:kern w:val="2"/>
                <w:sz w:val="24"/>
                <w:szCs w:val="24"/>
                <w:lang w:val="en-US" w:eastAsia="zh-CN" w:bidi="ar-SA"/>
              </w:rPr>
              <w:t>焊接</w:t>
            </w:r>
            <w:r>
              <w:rPr>
                <w:rFonts w:hint="default" w:ascii="Times New Roman" w:hAnsi="Times New Roman" w:eastAsia="宋体" w:cs="Times New Roman"/>
                <w:bCs/>
                <w:color w:val="auto"/>
                <w:kern w:val="2"/>
                <w:sz w:val="24"/>
                <w:szCs w:val="24"/>
                <w:lang w:val="en-US" w:eastAsia="zh-CN" w:bidi="ar-SA"/>
              </w:rPr>
              <w:t>废气非甲烷总烃产生系数参照塑料薄膜挤塑工艺的系数，为2.5kg/t-产品。</w:t>
            </w:r>
            <w:r>
              <w:rPr>
                <w:rFonts w:hint="eastAsia" w:ascii="Times New Roman" w:hAnsi="Times New Roman" w:eastAsia="宋体" w:cs="Times New Roman"/>
                <w:bCs/>
                <w:color w:val="auto"/>
                <w:kern w:val="2"/>
                <w:sz w:val="24"/>
                <w:szCs w:val="24"/>
                <w:lang w:val="en-US" w:eastAsia="zh-CN" w:bidi="ar-SA"/>
              </w:rPr>
              <w:t>项目使用</w:t>
            </w:r>
            <w:r>
              <w:rPr>
                <w:rFonts w:hint="eastAsia" w:cs="Times New Roman"/>
                <w:bCs/>
                <w:color w:val="auto"/>
                <w:kern w:val="2"/>
                <w:sz w:val="24"/>
                <w:szCs w:val="24"/>
                <w:lang w:val="en-US" w:eastAsia="zh-CN" w:bidi="ar-SA"/>
              </w:rPr>
              <w:t>的</w:t>
            </w:r>
            <w:r>
              <w:rPr>
                <w:rFonts w:hint="eastAsia" w:cs="Times New Roman"/>
                <w:i w:val="0"/>
                <w:iCs w:val="0"/>
                <w:color w:val="auto"/>
                <w:kern w:val="0"/>
                <w:sz w:val="24"/>
                <w:szCs w:val="24"/>
                <w:u w:val="none"/>
                <w:lang w:val="en-US" w:eastAsia="zh-CN" w:bidi="ar"/>
              </w:rPr>
              <w:t>塑料平衡块约</w:t>
            </w:r>
            <w:r>
              <w:rPr>
                <w:rFonts w:hint="eastAsia" w:cs="Times New Roman"/>
                <w:bCs/>
                <w:color w:val="auto"/>
                <w:kern w:val="2"/>
                <w:sz w:val="24"/>
                <w:szCs w:val="24"/>
                <w:lang w:val="en-US" w:eastAsia="zh-CN" w:bidi="ar-SA"/>
              </w:rPr>
              <w:t>0.1</w:t>
            </w:r>
            <w:r>
              <w:rPr>
                <w:rFonts w:hint="eastAsia" w:ascii="Times New Roman" w:hAnsi="Times New Roman" w:eastAsia="宋体" w:cs="Times New Roman"/>
                <w:bCs/>
                <w:color w:val="auto"/>
                <w:kern w:val="2"/>
                <w:sz w:val="24"/>
                <w:szCs w:val="24"/>
                <w:lang w:val="en-US" w:eastAsia="zh-CN" w:bidi="ar-SA"/>
              </w:rPr>
              <w:t>t/a，其中</w:t>
            </w:r>
            <w:r>
              <w:rPr>
                <w:rFonts w:hint="default" w:ascii="Times New Roman" w:hAnsi="Times New Roman" w:eastAsia="宋体" w:cs="Times New Roman"/>
                <w:bCs/>
                <w:color w:val="auto"/>
                <w:kern w:val="2"/>
                <w:sz w:val="24"/>
                <w:szCs w:val="24"/>
                <w:lang w:val="en-US" w:eastAsia="zh-CN" w:bidi="ar-SA"/>
              </w:rPr>
              <w:t>熔融的塑料量仅占5%</w:t>
            </w:r>
            <w:r>
              <w:rPr>
                <w:rFonts w:hint="eastAsia" w:ascii="Times New Roman" w:hAnsi="Times New Roman" w:eastAsia="宋体" w:cs="Times New Roman"/>
                <w:bCs/>
                <w:color w:val="auto"/>
                <w:kern w:val="2"/>
                <w:sz w:val="24"/>
                <w:szCs w:val="24"/>
                <w:lang w:val="en-US" w:eastAsia="zh-CN" w:bidi="ar-SA"/>
              </w:rPr>
              <w:t>，则</w:t>
            </w:r>
            <w:r>
              <w:rPr>
                <w:rFonts w:hint="eastAsia" w:cs="Times New Roman"/>
                <w:bCs/>
                <w:color w:val="auto"/>
                <w:kern w:val="2"/>
                <w:sz w:val="24"/>
                <w:szCs w:val="24"/>
                <w:lang w:val="en-US" w:eastAsia="zh-CN" w:bidi="ar-SA"/>
              </w:rPr>
              <w:t>补焊</w:t>
            </w:r>
            <w:r>
              <w:rPr>
                <w:rFonts w:hint="eastAsia" w:cs="Times New Roman"/>
                <w:color w:val="auto"/>
                <w:sz w:val="24"/>
                <w:lang w:val="en-US" w:eastAsia="zh-CN"/>
              </w:rPr>
              <w:t>废气</w:t>
            </w:r>
            <w:r>
              <w:rPr>
                <w:rFonts w:hint="eastAsia" w:ascii="Times New Roman" w:hAnsi="Times New Roman" w:eastAsia="宋体" w:cs="Times New Roman"/>
                <w:bCs/>
                <w:color w:val="auto"/>
                <w:kern w:val="2"/>
                <w:sz w:val="24"/>
                <w:szCs w:val="24"/>
                <w:lang w:val="en-US" w:eastAsia="zh-CN" w:bidi="ar-SA"/>
              </w:rPr>
              <w:t>非甲烷总烃产生量</w:t>
            </w:r>
            <w:r>
              <w:rPr>
                <w:rFonts w:hint="eastAsia" w:cs="Times New Roman"/>
                <w:bCs/>
                <w:color w:val="auto"/>
                <w:kern w:val="2"/>
                <w:sz w:val="24"/>
                <w:szCs w:val="24"/>
                <w:lang w:val="en-US" w:eastAsia="zh-CN" w:bidi="ar-SA"/>
              </w:rPr>
              <w:t>约</w:t>
            </w:r>
            <w:r>
              <w:rPr>
                <w:rFonts w:hint="eastAsia" w:ascii="Times New Roman" w:hAnsi="Times New Roman" w:eastAsia="宋体" w:cs="Times New Roman"/>
                <w:bCs/>
                <w:color w:val="auto"/>
                <w:kern w:val="2"/>
                <w:sz w:val="24"/>
                <w:szCs w:val="24"/>
                <w:lang w:val="en-US" w:eastAsia="zh-CN" w:bidi="ar-SA"/>
              </w:rPr>
              <w:t>为</w:t>
            </w:r>
            <w:r>
              <w:rPr>
                <w:rFonts w:hint="eastAsia" w:cs="Times New Roman"/>
                <w:bCs/>
                <w:color w:val="auto"/>
                <w:kern w:val="2"/>
                <w:sz w:val="24"/>
                <w:szCs w:val="24"/>
                <w:lang w:val="en-US" w:eastAsia="zh-CN" w:bidi="ar-SA"/>
              </w:rPr>
              <w:t>12.5g</w:t>
            </w:r>
            <w:r>
              <w:rPr>
                <w:rFonts w:hint="eastAsia" w:ascii="Times New Roman" w:hAnsi="Times New Roman" w:eastAsia="宋体" w:cs="Times New Roman"/>
                <w:bCs/>
                <w:color w:val="auto"/>
                <w:kern w:val="2"/>
                <w:sz w:val="24"/>
                <w:szCs w:val="24"/>
                <w:lang w:val="en-US" w:eastAsia="zh-CN" w:bidi="ar-SA"/>
              </w:rPr>
              <w:t>/a</w:t>
            </w:r>
            <w:r>
              <w:rPr>
                <w:rFonts w:hint="eastAsia" w:cs="Times New Roman"/>
                <w:bCs/>
                <w:color w:val="auto"/>
                <w:kern w:val="2"/>
                <w:sz w:val="24"/>
                <w:szCs w:val="24"/>
                <w:lang w:val="en-US" w:eastAsia="zh-CN" w:bidi="ar-SA"/>
              </w:rPr>
              <w:t>，</w:t>
            </w:r>
            <w:r>
              <w:rPr>
                <w:rFonts w:hint="eastAsia"/>
                <w:color w:val="auto"/>
                <w:sz w:val="24"/>
                <w:szCs w:val="24"/>
                <w:highlight w:val="none"/>
              </w:rPr>
              <w:t>产生量极少，对环境的影响基本可忽略不计，本次环评不作定量分析</w:t>
            </w:r>
            <w:r>
              <w:rPr>
                <w:rFonts w:hint="eastAsia"/>
                <w:color w:val="auto"/>
                <w:sz w:val="24"/>
                <w:szCs w:val="24"/>
                <w:highlight w:val="none"/>
                <w:lang w:eastAsia="zh-CN"/>
              </w:rPr>
              <w:t>。</w:t>
            </w:r>
          </w:p>
          <w:p w14:paraId="0E79F571">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default" w:ascii="Times New Roman" w:hAnsi="Times New Roman" w:cs="Times New Roman"/>
                <w:color w:val="auto"/>
                <w:sz w:val="24"/>
                <w:lang w:val="en-US" w:eastAsia="zh-CN"/>
              </w:rPr>
            </w:pPr>
            <w:r>
              <w:rPr>
                <w:rFonts w:hint="eastAsia" w:cs="Times New Roman"/>
                <w:bCs/>
                <w:color w:val="auto"/>
                <w:sz w:val="24"/>
                <w:lang w:eastAsia="zh-CN"/>
              </w:rPr>
              <w:t>（</w:t>
            </w:r>
            <w:r>
              <w:rPr>
                <w:rFonts w:hint="eastAsia" w:cs="Times New Roman"/>
                <w:bCs/>
                <w:color w:val="auto"/>
                <w:sz w:val="24"/>
                <w:lang w:val="en-US" w:eastAsia="zh-CN"/>
              </w:rPr>
              <w:t>3</w:t>
            </w:r>
            <w:r>
              <w:rPr>
                <w:rFonts w:hint="eastAsia" w:cs="Times New Roman"/>
                <w:bCs/>
                <w:color w:val="auto"/>
                <w:sz w:val="24"/>
                <w:lang w:eastAsia="zh-CN"/>
              </w:rPr>
              <w:t>）</w:t>
            </w:r>
            <w:r>
              <w:rPr>
                <w:rFonts w:hint="eastAsia"/>
                <w:bCs/>
                <w:color w:val="auto"/>
                <w:sz w:val="24"/>
                <w:lang w:val="en-US" w:eastAsia="zh-CN"/>
              </w:rPr>
              <w:t>吹塑</w:t>
            </w:r>
            <w:r>
              <w:rPr>
                <w:rFonts w:hint="eastAsia" w:ascii="Times New Roman" w:hAnsi="Times New Roman" w:eastAsia="宋体" w:cs="Times New Roman"/>
                <w:bCs/>
                <w:color w:val="auto"/>
                <w:kern w:val="2"/>
                <w:sz w:val="24"/>
                <w:szCs w:val="24"/>
                <w:lang w:val="en-US" w:eastAsia="zh-CN" w:bidi="ar-SA"/>
              </w:rPr>
              <w:t>废气</w:t>
            </w:r>
            <w:r>
              <w:rPr>
                <w:rFonts w:hint="default" w:ascii="Times New Roman" w:hAnsi="Times New Roman" w:cs="Times New Roman"/>
                <w:color w:val="auto"/>
                <w:sz w:val="24"/>
                <w:lang w:val="en-US" w:eastAsia="zh-CN"/>
              </w:rPr>
              <w:t>（G</w:t>
            </w:r>
            <w:r>
              <w:rPr>
                <w:rFonts w:hint="eastAsia" w:cs="Times New Roman"/>
                <w:color w:val="auto"/>
                <w:sz w:val="24"/>
                <w:lang w:val="en-US" w:eastAsia="zh-CN"/>
              </w:rPr>
              <w:t>2-1</w:t>
            </w:r>
            <w:r>
              <w:rPr>
                <w:rFonts w:hint="default" w:ascii="Times New Roman" w:hAnsi="Times New Roman" w:cs="Times New Roman"/>
                <w:color w:val="auto"/>
                <w:sz w:val="24"/>
                <w:lang w:val="en-US" w:eastAsia="zh-CN"/>
              </w:rPr>
              <w:t>）</w:t>
            </w:r>
          </w:p>
          <w:p w14:paraId="49AF626A">
            <w:pPr>
              <w:pStyle w:val="8"/>
              <w:keepNext w:val="0"/>
              <w:keepLines w:val="0"/>
              <w:pageBreakBefore w:val="0"/>
              <w:widowControl/>
              <w:kinsoku/>
              <w:wordWrap/>
              <w:overflowPunct/>
              <w:topLinePunct w:val="0"/>
              <w:autoSpaceDE/>
              <w:autoSpaceDN/>
              <w:bidi w:val="0"/>
              <w:adjustRightInd/>
              <w:snapToGrid w:val="0"/>
              <w:spacing w:before="0" w:after="0" w:line="500" w:lineRule="exact"/>
              <w:ind w:left="0" w:leftChars="0" w:right="0" w:firstLine="480" w:firstLineChars="200"/>
              <w:jc w:val="both"/>
              <w:textAlignment w:val="auto"/>
              <w:rPr>
                <w:rFonts w:hint="eastAsia"/>
                <w:lang w:val="en-US" w:eastAsia="zh-CN"/>
              </w:rPr>
            </w:pPr>
            <w:r>
              <w:rPr>
                <w:rFonts w:hint="eastAsia" w:ascii="Times New Roman" w:hAnsi="Times New Roman" w:eastAsia="宋体" w:cs="Times New Roman"/>
                <w:bCs/>
                <w:color w:val="auto"/>
                <w:kern w:val="2"/>
                <w:sz w:val="24"/>
                <w:szCs w:val="24"/>
                <w:lang w:val="en-US" w:eastAsia="zh-CN" w:bidi="ar-SA"/>
              </w:rPr>
              <w:t>项目</w:t>
            </w:r>
            <w:r>
              <w:rPr>
                <w:rFonts w:hint="eastAsia" w:cs="Times New Roman"/>
                <w:bCs/>
                <w:color w:val="auto"/>
                <w:kern w:val="2"/>
                <w:sz w:val="24"/>
                <w:szCs w:val="24"/>
                <w:lang w:val="en-US" w:eastAsia="zh-CN" w:bidi="ar-SA"/>
              </w:rPr>
              <w:t>风机外壳</w:t>
            </w:r>
            <w:r>
              <w:rPr>
                <w:rFonts w:hint="eastAsia"/>
                <w:bCs/>
                <w:color w:val="auto"/>
                <w:sz w:val="24"/>
                <w:lang w:val="en-US" w:eastAsia="zh-CN"/>
              </w:rPr>
              <w:t>吹塑</w:t>
            </w:r>
            <w:r>
              <w:rPr>
                <w:rFonts w:hint="eastAsia" w:ascii="Times New Roman" w:hAnsi="Times New Roman" w:eastAsia="宋体" w:cs="Times New Roman"/>
                <w:bCs/>
                <w:color w:val="auto"/>
                <w:kern w:val="2"/>
                <w:sz w:val="24"/>
                <w:szCs w:val="24"/>
                <w:lang w:val="en-US" w:eastAsia="zh-CN" w:bidi="ar-SA"/>
              </w:rPr>
              <w:t>过程产生废气，主要污染物为非甲烷总烃。参考《排放源统计调查产排污核算方法和系数手册》中</w:t>
            </w:r>
            <w:r>
              <w:rPr>
                <w:rFonts w:hint="default" w:ascii="Times New Roman" w:hAnsi="Times New Roman" w:eastAsia="宋体" w:cs="Times New Roman"/>
                <w:bCs/>
                <w:color w:val="auto"/>
                <w:kern w:val="2"/>
                <w:sz w:val="24"/>
                <w:szCs w:val="24"/>
                <w:lang w:val="en-US" w:eastAsia="zh-CN" w:bidi="ar-SA"/>
              </w:rPr>
              <w:t>《292 塑料制品业系数手册》</w:t>
            </w:r>
            <w:r>
              <w:rPr>
                <w:rFonts w:hint="eastAsia" w:ascii="Times New Roman" w:hAnsi="Times New Roman" w:eastAsia="宋体" w:cs="Times New Roman"/>
                <w:bCs/>
                <w:color w:val="auto"/>
                <w:kern w:val="2"/>
                <w:sz w:val="24"/>
                <w:szCs w:val="24"/>
                <w:lang w:val="en-US" w:eastAsia="zh-CN" w:bidi="ar-SA"/>
              </w:rPr>
              <w:t>，塑料包装箱及容器-树脂、助剂-配料、混合、挤出/注（吹）塑-挥发性有机物的产污系数2.7kg/t（原料）。项目</w:t>
            </w:r>
            <w:r>
              <w:rPr>
                <w:rFonts w:hint="eastAsia"/>
                <w:bCs/>
                <w:color w:val="auto"/>
                <w:sz w:val="24"/>
                <w:lang w:val="en-US" w:eastAsia="zh-CN"/>
              </w:rPr>
              <w:t>压塑</w:t>
            </w:r>
            <w:r>
              <w:rPr>
                <w:rFonts w:hint="eastAsia" w:ascii="Times New Roman" w:hAnsi="Times New Roman" w:eastAsia="宋体" w:cs="Times New Roman"/>
                <w:bCs/>
                <w:color w:val="auto"/>
                <w:kern w:val="2"/>
                <w:sz w:val="24"/>
                <w:szCs w:val="24"/>
                <w:lang w:val="en-US" w:eastAsia="zh-CN" w:bidi="ar-SA"/>
              </w:rPr>
              <w:t>过程使用PE粒子、色母粒约41t/a，则</w:t>
            </w:r>
            <w:r>
              <w:rPr>
                <w:rFonts w:hint="eastAsia"/>
                <w:bCs/>
                <w:color w:val="auto"/>
                <w:sz w:val="24"/>
                <w:lang w:val="en-US" w:eastAsia="zh-CN"/>
              </w:rPr>
              <w:t>吹塑</w:t>
            </w:r>
            <w:r>
              <w:rPr>
                <w:rFonts w:hint="eastAsia" w:ascii="Times New Roman" w:hAnsi="Times New Roman" w:eastAsia="宋体" w:cs="Times New Roman"/>
                <w:bCs/>
                <w:color w:val="auto"/>
                <w:kern w:val="2"/>
                <w:sz w:val="24"/>
                <w:szCs w:val="24"/>
                <w:lang w:val="en-US" w:eastAsia="zh-CN" w:bidi="ar-SA"/>
              </w:rPr>
              <w:t>工段非甲烷总烃产生量约0.111t/a</w:t>
            </w:r>
            <w:r>
              <w:rPr>
                <w:rFonts w:hint="default" w:ascii="Times New Roman" w:hAnsi="Times New Roman" w:eastAsia="宋体" w:cs="Times New Roman"/>
                <w:bCs/>
                <w:color w:val="auto"/>
                <w:kern w:val="2"/>
                <w:sz w:val="24"/>
                <w:szCs w:val="24"/>
                <w:lang w:val="en-US" w:eastAsia="zh-CN" w:bidi="ar-SA"/>
              </w:rPr>
              <w:t>。</w:t>
            </w:r>
          </w:p>
          <w:p w14:paraId="241E22B2">
            <w:pPr>
              <w:adjustRightInd w:val="0"/>
              <w:snapToGrid w:val="0"/>
              <w:spacing w:line="500" w:lineRule="exact"/>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2、</w:t>
            </w:r>
            <w:r>
              <w:rPr>
                <w:rFonts w:hint="default" w:ascii="Times New Roman" w:hAnsi="Times New Roman" w:cs="Times New Roman"/>
                <w:b/>
                <w:bCs/>
                <w:color w:val="auto"/>
                <w:sz w:val="24"/>
                <w:lang w:val="en-US" w:eastAsia="zh-CN"/>
              </w:rPr>
              <w:t>污染</w:t>
            </w:r>
            <w:r>
              <w:rPr>
                <w:rFonts w:hint="default" w:ascii="Times New Roman" w:hAnsi="Times New Roman" w:cs="Times New Roman"/>
                <w:b/>
                <w:bCs/>
                <w:color w:val="auto"/>
                <w:sz w:val="24"/>
              </w:rPr>
              <w:t>防治措施</w:t>
            </w:r>
          </w:p>
          <w:p w14:paraId="1850C222">
            <w:pPr>
              <w:adjustRightInd w:val="0"/>
              <w:snapToGrid w:val="0"/>
              <w:spacing w:line="500" w:lineRule="exact"/>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1）有组织废气</w:t>
            </w:r>
          </w:p>
          <w:p w14:paraId="19C2DF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drawing>
                <wp:inline distT="0" distB="0" distL="114300" distR="114300">
                  <wp:extent cx="5110480" cy="610235"/>
                  <wp:effectExtent l="0" t="0" r="10160" b="1460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5"/>
                          <a:stretch>
                            <a:fillRect/>
                          </a:stretch>
                        </pic:blipFill>
                        <pic:spPr>
                          <a:xfrm>
                            <a:off x="0" y="0"/>
                            <a:ext cx="5110480" cy="610235"/>
                          </a:xfrm>
                          <a:prstGeom prst="rect">
                            <a:avLst/>
                          </a:prstGeom>
                          <a:noFill/>
                          <a:ln>
                            <a:noFill/>
                          </a:ln>
                        </pic:spPr>
                      </pic:pic>
                    </a:graphicData>
                  </a:graphic>
                </wp:inline>
              </w:drawing>
            </w:r>
          </w:p>
          <w:p w14:paraId="5FB7A1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lang w:eastAsia="zh-CN"/>
              </w:rPr>
              <w:t>图4-1项目废气治理措施示意图</w:t>
            </w:r>
          </w:p>
          <w:p w14:paraId="12EFAFD1">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rPr>
              <w:t>①</w:t>
            </w:r>
            <w:r>
              <w:rPr>
                <w:rFonts w:hint="default" w:ascii="Times New Roman" w:hAnsi="Times New Roman" w:cs="Times New Roman"/>
                <w:color w:val="auto"/>
                <w:sz w:val="24"/>
                <w:lang w:eastAsia="zh-CN"/>
              </w:rPr>
              <w:t>废气</w:t>
            </w:r>
            <w:r>
              <w:rPr>
                <w:rFonts w:hint="default" w:ascii="Times New Roman" w:hAnsi="Times New Roman" w:cs="Times New Roman"/>
                <w:color w:val="auto"/>
                <w:sz w:val="24"/>
                <w:lang w:val="en-US" w:eastAsia="zh-CN"/>
              </w:rPr>
              <w:t>收集系统风量核算</w:t>
            </w:r>
          </w:p>
          <w:p w14:paraId="509867E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结合生产工艺、设备配置情况，本项目</w:t>
            </w:r>
            <w:r>
              <w:rPr>
                <w:rFonts w:hint="eastAsia"/>
                <w:bCs/>
                <w:color w:val="auto"/>
                <w:sz w:val="24"/>
                <w:lang w:val="en-US" w:eastAsia="zh-CN"/>
              </w:rPr>
              <w:t>挤出</w:t>
            </w:r>
            <w:r>
              <w:rPr>
                <w:rFonts w:hint="eastAsia" w:cs="Times New Roman"/>
                <w:color w:val="auto"/>
                <w:sz w:val="24"/>
                <w:lang w:val="en-US" w:eastAsia="zh-CN"/>
              </w:rPr>
              <w:t>废气</w:t>
            </w:r>
            <w:r>
              <w:rPr>
                <w:rFonts w:hint="eastAsia" w:ascii="Times New Roman" w:hAnsi="Times New Roman"/>
                <w:bCs/>
                <w:color w:val="auto"/>
                <w:sz w:val="24"/>
                <w:lang w:val="en-US" w:eastAsia="zh-CN"/>
              </w:rPr>
              <w:t>、</w:t>
            </w:r>
            <w:r>
              <w:rPr>
                <w:rFonts w:hint="eastAsia"/>
                <w:bCs/>
                <w:color w:val="auto"/>
                <w:sz w:val="24"/>
                <w:lang w:val="en-US" w:eastAsia="zh-CN"/>
              </w:rPr>
              <w:t>压塑</w:t>
            </w:r>
            <w:r>
              <w:rPr>
                <w:rFonts w:hint="eastAsia" w:cs="Times New Roman"/>
                <w:color w:val="auto"/>
                <w:sz w:val="24"/>
                <w:lang w:val="en-US" w:eastAsia="zh-CN"/>
              </w:rPr>
              <w:t>废气、</w:t>
            </w:r>
            <w:r>
              <w:rPr>
                <w:rFonts w:hint="eastAsia"/>
                <w:bCs/>
                <w:color w:val="auto"/>
                <w:sz w:val="24"/>
                <w:lang w:val="en-US" w:eastAsia="zh-CN"/>
              </w:rPr>
              <w:t>吹塑</w:t>
            </w:r>
            <w:r>
              <w:rPr>
                <w:rFonts w:hint="eastAsia" w:ascii="Times New Roman" w:hAnsi="Times New Roman" w:eastAsia="宋体" w:cs="Times New Roman"/>
                <w:bCs/>
                <w:color w:val="auto"/>
                <w:kern w:val="2"/>
                <w:sz w:val="24"/>
                <w:szCs w:val="24"/>
                <w:lang w:val="en-US" w:eastAsia="zh-CN" w:bidi="ar-SA"/>
              </w:rPr>
              <w:t>废气</w:t>
            </w:r>
            <w:r>
              <w:rPr>
                <w:rFonts w:hint="default" w:ascii="Times New Roman" w:hAnsi="Times New Roman" w:eastAsia="宋体" w:cs="Times New Roman"/>
                <w:color w:val="auto"/>
                <w:sz w:val="24"/>
                <w:szCs w:val="24"/>
              </w:rPr>
              <w:t>主要采用上吸风罩收集。</w:t>
            </w:r>
          </w:p>
          <w:p w14:paraId="2FE8E78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上吸风罩排风量L（m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rPr>
              <w:t>/s）的计算公式为：</w:t>
            </w:r>
          </w:p>
          <w:p w14:paraId="130BB2EA">
            <w:pPr>
              <w:keepNext w:val="0"/>
              <w:keepLines w:val="0"/>
              <w:pageBreakBefore w:val="0"/>
              <w:widowControl w:val="0"/>
              <w:kinsoku/>
              <w:wordWrap/>
              <w:topLinePunct w:val="0"/>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lang w:val="en-US"/>
              </w:rPr>
            </w:pPr>
            <m:oMathPara>
              <m:oMath>
                <m:r>
                  <m:rPr>
                    <m:sty m:val="p"/>
                  </m:rPr>
                  <w:rPr>
                    <w:rFonts w:hint="default" w:ascii="Cambria Math" w:hAnsi="Cambria Math" w:eastAsia="宋体" w:cs="Times New Roman"/>
                    <w:color w:val="auto"/>
                    <w:kern w:val="2"/>
                    <w:sz w:val="24"/>
                    <w:szCs w:val="24"/>
                    <w:lang w:val="en-US" w:eastAsia="zh-CN" w:bidi="ar-SA"/>
                  </w:rPr>
                  <m:t>L=K∗P∗H∗</m:t>
                </m:r>
                <m:sSub>
                  <m:sSubPr>
                    <m:ctrlPr>
                      <w:rPr>
                        <w:rFonts w:hint="default" w:ascii="Cambria Math" w:hAnsi="Cambria Math" w:eastAsia="宋体" w:cs="Times New Roman"/>
                        <w:color w:val="auto"/>
                        <w:kern w:val="2"/>
                        <w:sz w:val="24"/>
                        <w:szCs w:val="24"/>
                        <w:lang w:val="en-US" w:eastAsia="zh-CN" w:bidi="ar-SA"/>
                      </w:rPr>
                    </m:ctrlPr>
                  </m:sSubPr>
                  <m:e>
                    <m:r>
                      <m:rPr>
                        <m:sty m:val="p"/>
                      </m:rPr>
                      <w:rPr>
                        <w:rFonts w:hint="default" w:ascii="Cambria Math" w:hAnsi="Cambria Math" w:eastAsia="宋体" w:cs="Times New Roman"/>
                        <w:color w:val="auto"/>
                        <w:kern w:val="2"/>
                        <w:sz w:val="24"/>
                        <w:szCs w:val="24"/>
                        <w:lang w:val="en-US" w:eastAsia="zh-CN" w:bidi="ar-SA"/>
                      </w:rPr>
                      <m:t>V</m:t>
                    </m:r>
                    <m:ctrlPr>
                      <w:rPr>
                        <w:rFonts w:hint="default" w:ascii="Cambria Math" w:hAnsi="Cambria Math" w:eastAsia="宋体" w:cs="Times New Roman"/>
                        <w:color w:val="auto"/>
                        <w:kern w:val="2"/>
                        <w:sz w:val="24"/>
                        <w:szCs w:val="24"/>
                        <w:lang w:val="en-US" w:eastAsia="zh-CN" w:bidi="ar-SA"/>
                      </w:rPr>
                    </m:ctrlPr>
                  </m:e>
                  <m:sub>
                    <m:r>
                      <m:rPr>
                        <m:sty m:val="p"/>
                      </m:rPr>
                      <w:rPr>
                        <w:rFonts w:hint="default" w:ascii="Cambria Math" w:hAnsi="Cambria Math" w:eastAsia="宋体" w:cs="Times New Roman"/>
                        <w:color w:val="auto"/>
                        <w:kern w:val="2"/>
                        <w:sz w:val="24"/>
                        <w:szCs w:val="24"/>
                        <w:lang w:val="en-US" w:eastAsia="zh-CN" w:bidi="ar-SA"/>
                      </w:rPr>
                      <m:t>x</m:t>
                    </m:r>
                    <m:ctrlPr>
                      <w:rPr>
                        <w:rFonts w:hint="default" w:ascii="Cambria Math" w:hAnsi="Cambria Math" w:eastAsia="宋体" w:cs="Times New Roman"/>
                        <w:color w:val="auto"/>
                        <w:kern w:val="2"/>
                        <w:sz w:val="24"/>
                        <w:szCs w:val="24"/>
                        <w:lang w:val="en-US" w:eastAsia="zh-CN" w:bidi="ar-SA"/>
                      </w:rPr>
                    </m:ctrlPr>
                  </m:sub>
                </m:sSub>
              </m:oMath>
            </m:oMathPara>
          </w:p>
          <w:p w14:paraId="6D244969">
            <w:pPr>
              <w:keepNext w:val="0"/>
              <w:keepLines w:val="0"/>
              <w:pageBreakBefore w:val="0"/>
              <w:widowControl w:val="0"/>
              <w:kinsoku/>
              <w:wordWrap/>
              <w:topLinePunct w:val="0"/>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color w:val="auto"/>
                <w:sz w:val="24"/>
                <w:lang w:val="en-US" w:eastAsia="zh-CN"/>
              </w:rPr>
              <w:t>K</w:t>
            </w:r>
            <w:r>
              <w:rPr>
                <w:rFonts w:hint="default" w:ascii="Times New Roman" w:hAnsi="Times New Roman" w:eastAsia="宋体" w:cs="Times New Roman"/>
                <w:color w:val="auto"/>
                <w:sz w:val="24"/>
              </w:rPr>
              <w:t>——考虑沿高度分布不均匀的安全系数，通常取K=1.4</w:t>
            </w:r>
            <w:r>
              <w:rPr>
                <w:rFonts w:hint="default" w:ascii="Times New Roman" w:hAnsi="Times New Roman" w:eastAsia="宋体" w:cs="Times New Roman"/>
                <w:bCs/>
                <w:color w:val="auto"/>
                <w:sz w:val="24"/>
              </w:rPr>
              <w:t>；</w:t>
            </w:r>
          </w:p>
          <w:p w14:paraId="6C1EAE5E">
            <w:pPr>
              <w:keepNext w:val="0"/>
              <w:keepLines w:val="0"/>
              <w:pageBreakBefore w:val="0"/>
              <w:widowControl w:val="0"/>
              <w:kinsoku/>
              <w:wordWrap/>
              <w:topLinePunct w:val="0"/>
              <w:autoSpaceDN/>
              <w:bidi w:val="0"/>
              <w:adjustRightInd w:val="0"/>
              <w:snapToGrid w:val="0"/>
              <w:spacing w:line="500" w:lineRule="exact"/>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P</w:t>
            </w:r>
            <w:r>
              <w:rPr>
                <w:rFonts w:hint="default" w:ascii="Times New Roman" w:hAnsi="Times New Roman" w:eastAsia="宋体" w:cs="Times New Roman"/>
                <w:color w:val="auto"/>
                <w:sz w:val="24"/>
              </w:rPr>
              <w:t>——排风罩敞开面的周长，m；</w:t>
            </w:r>
          </w:p>
          <w:p w14:paraId="54B1FDCD">
            <w:pPr>
              <w:keepNext w:val="0"/>
              <w:keepLines w:val="0"/>
              <w:pageBreakBefore w:val="0"/>
              <w:widowControl w:val="0"/>
              <w:kinsoku/>
              <w:wordWrap/>
              <w:topLinePunct w:val="0"/>
              <w:autoSpaceDN/>
              <w:bidi w:val="0"/>
              <w:adjustRightInd w:val="0"/>
              <w:snapToGrid w:val="0"/>
              <w:spacing w:line="500" w:lineRule="exact"/>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H</w:t>
            </w:r>
            <w:r>
              <w:rPr>
                <w:rFonts w:hint="default" w:ascii="Times New Roman" w:hAnsi="Times New Roman" w:eastAsia="宋体" w:cs="Times New Roman"/>
                <w:color w:val="auto"/>
                <w:sz w:val="24"/>
              </w:rPr>
              <w:t>——罩口至有害物源的距离，m；</w:t>
            </w:r>
          </w:p>
          <w:p w14:paraId="500B1165">
            <w:pPr>
              <w:keepNext w:val="0"/>
              <w:keepLines w:val="0"/>
              <w:pageBreakBefore w:val="0"/>
              <w:widowControl w:val="0"/>
              <w:kinsoku/>
              <w:wordWrap/>
              <w:topLinePunct w:val="0"/>
              <w:autoSpaceDN/>
              <w:bidi w:val="0"/>
              <w:adjustRightInd w:val="0"/>
              <w:snapToGrid w:val="0"/>
              <w:spacing w:line="500" w:lineRule="exact"/>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V</w:t>
            </w:r>
            <w:r>
              <w:rPr>
                <w:rFonts w:hint="default" w:ascii="Times New Roman" w:hAnsi="Times New Roman" w:eastAsia="宋体" w:cs="Times New Roman"/>
                <w:color w:val="auto"/>
                <w:sz w:val="24"/>
                <w:vertAlign w:val="subscript"/>
              </w:rPr>
              <w:t>x</w:t>
            </w:r>
            <w:r>
              <w:rPr>
                <w:rFonts w:hint="default" w:ascii="Times New Roman" w:hAnsi="Times New Roman" w:eastAsia="宋体" w:cs="Times New Roman"/>
                <w:color w:val="auto"/>
                <w:sz w:val="24"/>
              </w:rPr>
              <w:t>——边缘控制点的控制风速，m/s；</w:t>
            </w:r>
          </w:p>
          <w:p w14:paraId="0AD65BCA">
            <w:pPr>
              <w:keepNext w:val="0"/>
              <w:keepLines w:val="0"/>
              <w:pageBreakBefore w:val="0"/>
              <w:widowControl w:val="0"/>
              <w:kinsoku/>
              <w:wordWrap/>
              <w:topLinePunct w:val="0"/>
              <w:autoSpaceDN/>
              <w:bidi w:val="0"/>
              <w:adjustRightInd w:val="0"/>
              <w:snapToGrid w:val="0"/>
              <w:spacing w:line="500" w:lineRule="exact"/>
              <w:ind w:firstLine="480" w:firstLineChars="200"/>
              <w:textAlignment w:val="auto"/>
              <w:rPr>
                <w:rFonts w:hint="default" w:ascii="Times New Roman" w:hAnsi="Times New Roman" w:cs="Times New Roman"/>
                <w:b/>
                <w:bCs/>
                <w:color w:val="auto"/>
                <w:szCs w:val="21"/>
              </w:rPr>
            </w:pPr>
            <w:r>
              <w:rPr>
                <w:rFonts w:hint="default" w:ascii="Times New Roman" w:hAnsi="Times New Roman" w:eastAsia="宋体" w:cs="Times New Roman"/>
                <w:color w:val="auto"/>
                <w:sz w:val="24"/>
              </w:rPr>
              <w:t>根据以上内容，计算各废气处理系统处理风量结果如下表所示：</w:t>
            </w:r>
          </w:p>
          <w:p w14:paraId="5C0D810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表4</w:t>
            </w:r>
            <w:r>
              <w:rPr>
                <w:rFonts w:hint="default" w:ascii="Times New Roman" w:hAnsi="Times New Roman" w:cs="Times New Roman"/>
                <w:b/>
                <w:bCs/>
                <w:color w:val="auto"/>
                <w:szCs w:val="21"/>
                <w:lang w:val="en-US" w:eastAsia="zh-CN"/>
              </w:rPr>
              <w:t>-1</w:t>
            </w:r>
            <w:r>
              <w:rPr>
                <w:rFonts w:hint="eastAsia" w:cs="Times New Roman"/>
                <w:b/>
                <w:bCs/>
                <w:color w:val="auto"/>
                <w:szCs w:val="21"/>
                <w:lang w:val="en-US" w:eastAsia="zh-CN"/>
              </w:rPr>
              <w:t>项目</w:t>
            </w:r>
            <w:r>
              <w:rPr>
                <w:rFonts w:hint="default" w:ascii="Times New Roman" w:hAnsi="Times New Roman" w:cs="Times New Roman"/>
                <w:b/>
                <w:bCs/>
                <w:color w:val="auto"/>
                <w:szCs w:val="21"/>
              </w:rPr>
              <w:t>废气收集系统风量核算表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653"/>
              <w:gridCol w:w="733"/>
              <w:gridCol w:w="930"/>
              <w:gridCol w:w="753"/>
              <w:gridCol w:w="881"/>
              <w:gridCol w:w="1033"/>
              <w:gridCol w:w="1035"/>
            </w:tblGrid>
            <w:tr w14:paraId="39D12E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43" w:type="pct"/>
                  <w:vMerge w:val="restart"/>
                  <w:tcBorders>
                    <w:tl2br w:val="nil"/>
                    <w:tr2bl w:val="nil"/>
                  </w:tcBorders>
                  <w:vAlign w:val="center"/>
                </w:tcPr>
                <w:p w14:paraId="2E64D567">
                  <w:pPr>
                    <w:adjustRightInd w:val="0"/>
                    <w:snapToGrid w:val="0"/>
                    <w:jc w:val="center"/>
                    <w:rPr>
                      <w:b/>
                      <w:bCs/>
                      <w:color w:val="auto"/>
                      <w:szCs w:val="21"/>
                    </w:rPr>
                  </w:pPr>
                  <w:r>
                    <w:rPr>
                      <w:rFonts w:hint="eastAsia"/>
                      <w:b/>
                      <w:bCs/>
                      <w:color w:val="auto"/>
                      <w:szCs w:val="21"/>
                    </w:rPr>
                    <w:t>排气筒编号</w:t>
                  </w:r>
                </w:p>
              </w:tc>
              <w:tc>
                <w:tcPr>
                  <w:tcW w:w="1026" w:type="pct"/>
                  <w:vMerge w:val="restart"/>
                  <w:tcBorders>
                    <w:tl2br w:val="nil"/>
                    <w:tr2bl w:val="nil"/>
                  </w:tcBorders>
                  <w:vAlign w:val="center"/>
                </w:tcPr>
                <w:p w14:paraId="1902AC75">
                  <w:pPr>
                    <w:adjustRightInd w:val="0"/>
                    <w:snapToGrid w:val="0"/>
                    <w:jc w:val="center"/>
                    <w:rPr>
                      <w:b/>
                      <w:bCs/>
                      <w:color w:val="auto"/>
                      <w:szCs w:val="21"/>
                    </w:rPr>
                  </w:pPr>
                  <w:r>
                    <w:rPr>
                      <w:rFonts w:hint="eastAsia"/>
                      <w:b/>
                      <w:bCs/>
                      <w:color w:val="auto"/>
                      <w:szCs w:val="21"/>
                    </w:rPr>
                    <w:t>设备</w:t>
                  </w:r>
                </w:p>
              </w:tc>
              <w:tc>
                <w:tcPr>
                  <w:tcW w:w="455" w:type="pct"/>
                  <w:vMerge w:val="restart"/>
                  <w:tcBorders>
                    <w:tl2br w:val="nil"/>
                    <w:tr2bl w:val="nil"/>
                  </w:tcBorders>
                  <w:vAlign w:val="center"/>
                </w:tcPr>
                <w:p w14:paraId="30D185CC">
                  <w:pPr>
                    <w:adjustRightInd w:val="0"/>
                    <w:snapToGrid w:val="0"/>
                    <w:jc w:val="center"/>
                    <w:rPr>
                      <w:b/>
                      <w:bCs/>
                      <w:color w:val="auto"/>
                      <w:szCs w:val="21"/>
                    </w:rPr>
                  </w:pPr>
                  <w:r>
                    <w:rPr>
                      <w:rFonts w:hint="eastAsia"/>
                      <w:b/>
                      <w:bCs/>
                      <w:color w:val="auto"/>
                      <w:szCs w:val="21"/>
                    </w:rPr>
                    <w:t>H（m）</w:t>
                  </w:r>
                </w:p>
              </w:tc>
              <w:tc>
                <w:tcPr>
                  <w:tcW w:w="1044" w:type="pct"/>
                  <w:gridSpan w:val="2"/>
                  <w:tcBorders>
                    <w:tl2br w:val="nil"/>
                    <w:tr2bl w:val="nil"/>
                  </w:tcBorders>
                  <w:vAlign w:val="center"/>
                </w:tcPr>
                <w:p w14:paraId="53CEF200">
                  <w:pPr>
                    <w:adjustRightInd w:val="0"/>
                    <w:snapToGrid w:val="0"/>
                    <w:jc w:val="center"/>
                    <w:rPr>
                      <w:b/>
                      <w:bCs/>
                      <w:color w:val="auto"/>
                      <w:szCs w:val="21"/>
                    </w:rPr>
                  </w:pPr>
                  <w:r>
                    <w:rPr>
                      <w:rFonts w:hint="eastAsia"/>
                      <w:b/>
                      <w:bCs/>
                      <w:color w:val="auto"/>
                      <w:szCs w:val="21"/>
                    </w:rPr>
                    <w:t>罩口参数</w:t>
                  </w:r>
                </w:p>
              </w:tc>
              <w:tc>
                <w:tcPr>
                  <w:tcW w:w="546" w:type="pct"/>
                  <w:vMerge w:val="restart"/>
                  <w:tcBorders>
                    <w:tl2br w:val="nil"/>
                    <w:tr2bl w:val="nil"/>
                  </w:tcBorders>
                  <w:vAlign w:val="center"/>
                </w:tcPr>
                <w:p w14:paraId="31884C5E">
                  <w:pPr>
                    <w:adjustRightInd w:val="0"/>
                    <w:snapToGrid w:val="0"/>
                    <w:jc w:val="center"/>
                    <w:rPr>
                      <w:b/>
                      <w:bCs/>
                      <w:color w:val="auto"/>
                      <w:szCs w:val="21"/>
                    </w:rPr>
                  </w:pPr>
                  <w:r>
                    <w:rPr>
                      <w:rFonts w:hint="eastAsia"/>
                      <w:b/>
                      <w:bCs/>
                      <w:color w:val="auto"/>
                      <w:szCs w:val="21"/>
                    </w:rPr>
                    <w:t>Vx（m/s）</w:t>
                  </w:r>
                </w:p>
              </w:tc>
              <w:tc>
                <w:tcPr>
                  <w:tcW w:w="641" w:type="pct"/>
                  <w:vMerge w:val="restart"/>
                  <w:tcBorders>
                    <w:tl2br w:val="nil"/>
                    <w:tr2bl w:val="nil"/>
                  </w:tcBorders>
                  <w:vAlign w:val="center"/>
                </w:tcPr>
                <w:p w14:paraId="213D99CB">
                  <w:pPr>
                    <w:adjustRightInd w:val="0"/>
                    <w:snapToGrid w:val="0"/>
                    <w:jc w:val="center"/>
                    <w:rPr>
                      <w:b/>
                      <w:bCs/>
                      <w:color w:val="auto"/>
                      <w:szCs w:val="21"/>
                    </w:rPr>
                  </w:pPr>
                  <w:r>
                    <w:rPr>
                      <w:rFonts w:hint="eastAsia"/>
                      <w:b/>
                      <w:bCs/>
                      <w:color w:val="auto"/>
                      <w:szCs w:val="21"/>
                    </w:rPr>
                    <w:t>Q（m</w:t>
                  </w:r>
                  <w:r>
                    <w:rPr>
                      <w:rFonts w:hint="eastAsia"/>
                      <w:b/>
                      <w:bCs/>
                      <w:color w:val="auto"/>
                      <w:szCs w:val="21"/>
                      <w:vertAlign w:val="superscript"/>
                    </w:rPr>
                    <w:t>3</w:t>
                  </w:r>
                  <w:r>
                    <w:rPr>
                      <w:rFonts w:hint="eastAsia"/>
                      <w:b/>
                      <w:bCs/>
                      <w:color w:val="auto"/>
                      <w:szCs w:val="21"/>
                    </w:rPr>
                    <w:t>/h）</w:t>
                  </w:r>
                </w:p>
              </w:tc>
              <w:tc>
                <w:tcPr>
                  <w:tcW w:w="642" w:type="pct"/>
                  <w:vMerge w:val="restart"/>
                  <w:tcBorders>
                    <w:tl2br w:val="nil"/>
                    <w:tr2bl w:val="nil"/>
                  </w:tcBorders>
                  <w:vAlign w:val="center"/>
                </w:tcPr>
                <w:p w14:paraId="323A19CA">
                  <w:pPr>
                    <w:adjustRightInd w:val="0"/>
                    <w:snapToGrid w:val="0"/>
                    <w:jc w:val="center"/>
                    <w:rPr>
                      <w:b/>
                      <w:bCs/>
                      <w:color w:val="auto"/>
                      <w:szCs w:val="21"/>
                    </w:rPr>
                  </w:pPr>
                  <w:r>
                    <w:rPr>
                      <w:rFonts w:hint="eastAsia"/>
                      <w:b/>
                      <w:bCs/>
                      <w:color w:val="auto"/>
                      <w:szCs w:val="21"/>
                    </w:rPr>
                    <w:t>设计风量（m</w:t>
                  </w:r>
                  <w:r>
                    <w:rPr>
                      <w:rFonts w:hint="eastAsia"/>
                      <w:b/>
                      <w:bCs/>
                      <w:color w:val="auto"/>
                      <w:szCs w:val="21"/>
                      <w:vertAlign w:val="superscript"/>
                    </w:rPr>
                    <w:t>3</w:t>
                  </w:r>
                  <w:r>
                    <w:rPr>
                      <w:rFonts w:hint="eastAsia"/>
                      <w:b/>
                      <w:bCs/>
                      <w:color w:val="auto"/>
                      <w:szCs w:val="21"/>
                    </w:rPr>
                    <w:t>/h）</w:t>
                  </w:r>
                </w:p>
              </w:tc>
            </w:tr>
            <w:tr w14:paraId="3AAB26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43" w:type="pct"/>
                  <w:vMerge w:val="continue"/>
                  <w:tcBorders>
                    <w:tl2br w:val="nil"/>
                    <w:tr2bl w:val="nil"/>
                  </w:tcBorders>
                  <w:vAlign w:val="center"/>
                </w:tcPr>
                <w:p w14:paraId="1224EC2B">
                  <w:pPr>
                    <w:adjustRightInd w:val="0"/>
                    <w:snapToGrid w:val="0"/>
                    <w:jc w:val="center"/>
                    <w:rPr>
                      <w:color w:val="auto"/>
                      <w:szCs w:val="21"/>
                    </w:rPr>
                  </w:pPr>
                </w:p>
              </w:tc>
              <w:tc>
                <w:tcPr>
                  <w:tcW w:w="1026" w:type="pct"/>
                  <w:vMerge w:val="continue"/>
                  <w:tcBorders>
                    <w:tl2br w:val="nil"/>
                    <w:tr2bl w:val="nil"/>
                  </w:tcBorders>
                  <w:vAlign w:val="center"/>
                </w:tcPr>
                <w:p w14:paraId="58A61B9E">
                  <w:pPr>
                    <w:adjustRightInd w:val="0"/>
                    <w:snapToGrid w:val="0"/>
                    <w:jc w:val="center"/>
                    <w:rPr>
                      <w:color w:val="auto"/>
                      <w:szCs w:val="21"/>
                    </w:rPr>
                  </w:pPr>
                </w:p>
              </w:tc>
              <w:tc>
                <w:tcPr>
                  <w:tcW w:w="455" w:type="pct"/>
                  <w:vMerge w:val="continue"/>
                  <w:tcBorders>
                    <w:tl2br w:val="nil"/>
                    <w:tr2bl w:val="nil"/>
                  </w:tcBorders>
                  <w:vAlign w:val="center"/>
                </w:tcPr>
                <w:p w14:paraId="6B3C12EB">
                  <w:pPr>
                    <w:adjustRightInd w:val="0"/>
                    <w:snapToGrid w:val="0"/>
                    <w:jc w:val="center"/>
                    <w:rPr>
                      <w:color w:val="auto"/>
                      <w:szCs w:val="21"/>
                    </w:rPr>
                  </w:pPr>
                </w:p>
              </w:tc>
              <w:tc>
                <w:tcPr>
                  <w:tcW w:w="577" w:type="pct"/>
                  <w:tcBorders>
                    <w:tl2br w:val="nil"/>
                    <w:tr2bl w:val="nil"/>
                  </w:tcBorders>
                  <w:vAlign w:val="center"/>
                </w:tcPr>
                <w:p w14:paraId="3DA793A1">
                  <w:pPr>
                    <w:adjustRightInd w:val="0"/>
                    <w:snapToGrid w:val="0"/>
                    <w:jc w:val="center"/>
                    <w:rPr>
                      <w:b/>
                      <w:bCs/>
                      <w:color w:val="auto"/>
                      <w:szCs w:val="21"/>
                    </w:rPr>
                  </w:pPr>
                  <w:r>
                    <w:rPr>
                      <w:rFonts w:hint="eastAsia"/>
                      <w:b/>
                      <w:bCs/>
                      <w:color w:val="auto"/>
                      <w:szCs w:val="21"/>
                    </w:rPr>
                    <w:t>数量（个）</w:t>
                  </w:r>
                </w:p>
              </w:tc>
              <w:tc>
                <w:tcPr>
                  <w:tcW w:w="467" w:type="pct"/>
                  <w:tcBorders>
                    <w:tl2br w:val="nil"/>
                    <w:tr2bl w:val="nil"/>
                  </w:tcBorders>
                  <w:vAlign w:val="center"/>
                </w:tcPr>
                <w:p w14:paraId="0778C026">
                  <w:pPr>
                    <w:adjustRightInd w:val="0"/>
                    <w:snapToGrid w:val="0"/>
                    <w:jc w:val="center"/>
                    <w:rPr>
                      <w:b/>
                      <w:bCs/>
                      <w:color w:val="auto"/>
                      <w:szCs w:val="21"/>
                    </w:rPr>
                  </w:pPr>
                  <w:r>
                    <w:rPr>
                      <w:rFonts w:hint="eastAsia"/>
                      <w:b/>
                      <w:bCs/>
                      <w:color w:val="auto"/>
                      <w:szCs w:val="21"/>
                    </w:rPr>
                    <w:t>P（m）</w:t>
                  </w:r>
                </w:p>
              </w:tc>
              <w:tc>
                <w:tcPr>
                  <w:tcW w:w="546" w:type="pct"/>
                  <w:vMerge w:val="continue"/>
                  <w:tcBorders>
                    <w:tl2br w:val="nil"/>
                    <w:tr2bl w:val="nil"/>
                  </w:tcBorders>
                  <w:vAlign w:val="center"/>
                </w:tcPr>
                <w:p w14:paraId="637AB2E8">
                  <w:pPr>
                    <w:adjustRightInd w:val="0"/>
                    <w:snapToGrid w:val="0"/>
                    <w:jc w:val="center"/>
                    <w:rPr>
                      <w:b/>
                      <w:bCs/>
                      <w:color w:val="auto"/>
                      <w:szCs w:val="21"/>
                    </w:rPr>
                  </w:pPr>
                </w:p>
              </w:tc>
              <w:tc>
                <w:tcPr>
                  <w:tcW w:w="641" w:type="pct"/>
                  <w:vMerge w:val="continue"/>
                  <w:tcBorders>
                    <w:tl2br w:val="nil"/>
                    <w:tr2bl w:val="nil"/>
                  </w:tcBorders>
                  <w:vAlign w:val="center"/>
                </w:tcPr>
                <w:p w14:paraId="6039CFE5">
                  <w:pPr>
                    <w:adjustRightInd w:val="0"/>
                    <w:snapToGrid w:val="0"/>
                    <w:jc w:val="center"/>
                    <w:rPr>
                      <w:b/>
                      <w:bCs/>
                      <w:color w:val="auto"/>
                      <w:szCs w:val="21"/>
                    </w:rPr>
                  </w:pPr>
                </w:p>
              </w:tc>
              <w:tc>
                <w:tcPr>
                  <w:tcW w:w="642" w:type="pct"/>
                  <w:vMerge w:val="continue"/>
                  <w:tcBorders>
                    <w:tl2br w:val="nil"/>
                    <w:tr2bl w:val="nil"/>
                  </w:tcBorders>
                  <w:vAlign w:val="center"/>
                </w:tcPr>
                <w:p w14:paraId="6E56E34F">
                  <w:pPr>
                    <w:adjustRightInd w:val="0"/>
                    <w:snapToGrid w:val="0"/>
                    <w:jc w:val="center"/>
                    <w:rPr>
                      <w:b/>
                      <w:bCs/>
                      <w:color w:val="auto"/>
                      <w:szCs w:val="21"/>
                    </w:rPr>
                  </w:pPr>
                </w:p>
              </w:tc>
            </w:tr>
            <w:tr w14:paraId="4CEA1E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pct"/>
                  <w:vMerge w:val="restart"/>
                  <w:tcBorders>
                    <w:tl2br w:val="nil"/>
                    <w:tr2bl w:val="nil"/>
                  </w:tcBorders>
                  <w:vAlign w:val="center"/>
                </w:tcPr>
                <w:p w14:paraId="077FC20E">
                  <w:pPr>
                    <w:adjustRightInd w:val="0"/>
                    <w:snapToGrid w:val="0"/>
                    <w:jc w:val="center"/>
                    <w:rPr>
                      <w:rFonts w:hint="eastAsia" w:ascii="宋体" w:hAnsi="宋体" w:eastAsia="宋体" w:cs="宋体"/>
                      <w:color w:val="auto"/>
                      <w:szCs w:val="21"/>
                      <w:lang w:val="en-US" w:eastAsia="zh-CN"/>
                    </w:rPr>
                  </w:pPr>
                  <w:r>
                    <w:rPr>
                      <w:rFonts w:hint="eastAsia"/>
                      <w:color w:val="auto"/>
                      <w:szCs w:val="21"/>
                    </w:rPr>
                    <w:t>DA00</w:t>
                  </w:r>
                  <w:r>
                    <w:rPr>
                      <w:rFonts w:hint="eastAsia"/>
                      <w:color w:val="auto"/>
                      <w:szCs w:val="21"/>
                      <w:lang w:val="en-US" w:eastAsia="zh-CN"/>
                    </w:rPr>
                    <w:t>1</w:t>
                  </w:r>
                </w:p>
              </w:tc>
              <w:tc>
                <w:tcPr>
                  <w:tcW w:w="1026" w:type="pct"/>
                  <w:tcBorders>
                    <w:tl2br w:val="nil"/>
                    <w:tr2bl w:val="nil"/>
                  </w:tcBorders>
                  <w:vAlign w:val="center"/>
                </w:tcPr>
                <w:p w14:paraId="65133372">
                  <w:pPr>
                    <w:adjustRightInd w:val="0"/>
                    <w:snapToGrid w:val="0"/>
                    <w:jc w:val="center"/>
                    <w:rPr>
                      <w:rFonts w:hint="default" w:ascii="宋体" w:hAnsi="宋体" w:eastAsia="宋体" w:cs="宋体"/>
                      <w:color w:val="auto"/>
                      <w:szCs w:val="21"/>
                      <w:lang w:val="en-US" w:eastAsia="zh-CN"/>
                    </w:rPr>
                  </w:pPr>
                  <w:r>
                    <w:rPr>
                      <w:rFonts w:hint="eastAsia" w:cs="Times New Roman"/>
                      <w:color w:val="auto"/>
                      <w:sz w:val="21"/>
                      <w:szCs w:val="21"/>
                      <w:lang w:val="en-US" w:eastAsia="zh-CN"/>
                    </w:rPr>
                    <w:t>挤出机</w:t>
                  </w:r>
                </w:p>
              </w:tc>
              <w:tc>
                <w:tcPr>
                  <w:tcW w:w="455" w:type="pct"/>
                  <w:tcBorders>
                    <w:tl2br w:val="nil"/>
                    <w:tr2bl w:val="nil"/>
                  </w:tcBorders>
                  <w:vAlign w:val="center"/>
                </w:tcPr>
                <w:p w14:paraId="39BFD844">
                  <w:pPr>
                    <w:adjustRightInd w:val="0"/>
                    <w:snapToGrid w:val="0"/>
                    <w:jc w:val="center"/>
                    <w:rPr>
                      <w:rFonts w:hint="default" w:eastAsia="宋体"/>
                      <w:color w:val="auto"/>
                      <w:szCs w:val="21"/>
                      <w:lang w:val="en-US" w:eastAsia="zh-CN"/>
                    </w:rPr>
                  </w:pPr>
                  <w:r>
                    <w:rPr>
                      <w:rFonts w:hint="eastAsia"/>
                      <w:color w:val="auto"/>
                      <w:szCs w:val="21"/>
                      <w:lang w:val="en-US" w:eastAsia="zh-CN"/>
                    </w:rPr>
                    <w:t>0.3</w:t>
                  </w:r>
                </w:p>
              </w:tc>
              <w:tc>
                <w:tcPr>
                  <w:tcW w:w="577" w:type="pct"/>
                  <w:tcBorders>
                    <w:tl2br w:val="nil"/>
                    <w:tr2bl w:val="nil"/>
                  </w:tcBorders>
                  <w:vAlign w:val="center"/>
                </w:tcPr>
                <w:p w14:paraId="3280176A">
                  <w:pPr>
                    <w:adjustRightInd w:val="0"/>
                    <w:snapToGrid w:val="0"/>
                    <w:jc w:val="center"/>
                    <w:rPr>
                      <w:rFonts w:hint="eastAsia" w:eastAsia="宋体"/>
                      <w:color w:val="auto"/>
                      <w:szCs w:val="21"/>
                      <w:lang w:val="en-US" w:eastAsia="zh-CN"/>
                    </w:rPr>
                  </w:pPr>
                  <w:r>
                    <w:rPr>
                      <w:rFonts w:hint="eastAsia"/>
                      <w:color w:val="auto"/>
                      <w:szCs w:val="21"/>
                      <w:lang w:val="en-US" w:eastAsia="zh-CN"/>
                    </w:rPr>
                    <w:t>2</w:t>
                  </w:r>
                </w:p>
              </w:tc>
              <w:tc>
                <w:tcPr>
                  <w:tcW w:w="467" w:type="pct"/>
                  <w:tcBorders>
                    <w:tl2br w:val="nil"/>
                    <w:tr2bl w:val="nil"/>
                  </w:tcBorders>
                  <w:vAlign w:val="center"/>
                </w:tcPr>
                <w:p w14:paraId="1ED35BBB">
                  <w:pPr>
                    <w:adjustRightInd w:val="0"/>
                    <w:snapToGrid w:val="0"/>
                    <w:jc w:val="center"/>
                    <w:rPr>
                      <w:rFonts w:hint="default" w:eastAsia="宋体"/>
                      <w:color w:val="auto"/>
                      <w:szCs w:val="21"/>
                      <w:lang w:val="en-US" w:eastAsia="zh-CN"/>
                    </w:rPr>
                  </w:pPr>
                  <w:r>
                    <w:rPr>
                      <w:rFonts w:hint="eastAsia"/>
                      <w:color w:val="auto"/>
                      <w:szCs w:val="21"/>
                      <w:lang w:val="en-US" w:eastAsia="zh-CN"/>
                    </w:rPr>
                    <w:t>2</w:t>
                  </w:r>
                </w:p>
              </w:tc>
              <w:tc>
                <w:tcPr>
                  <w:tcW w:w="546" w:type="pct"/>
                  <w:tcBorders>
                    <w:tl2br w:val="nil"/>
                    <w:tr2bl w:val="nil"/>
                  </w:tcBorders>
                  <w:vAlign w:val="center"/>
                </w:tcPr>
                <w:p w14:paraId="11FB23BC">
                  <w:pPr>
                    <w:adjustRightInd w:val="0"/>
                    <w:snapToGrid w:val="0"/>
                    <w:jc w:val="center"/>
                    <w:rPr>
                      <w:rFonts w:hint="default" w:eastAsia="宋体"/>
                      <w:color w:val="auto"/>
                      <w:szCs w:val="21"/>
                      <w:lang w:val="en-US" w:eastAsia="zh-CN"/>
                    </w:rPr>
                  </w:pPr>
                  <w:r>
                    <w:rPr>
                      <w:rFonts w:hint="eastAsia"/>
                      <w:color w:val="auto"/>
                      <w:szCs w:val="21"/>
                      <w:lang w:val="en-US" w:eastAsia="zh-CN"/>
                    </w:rPr>
                    <w:t>0.3</w:t>
                  </w:r>
                </w:p>
              </w:tc>
              <w:tc>
                <w:tcPr>
                  <w:tcW w:w="1033" w:type="dxa"/>
                  <w:tcBorders>
                    <w:tl2br w:val="nil"/>
                    <w:tr2bl w:val="nil"/>
                  </w:tcBorders>
                  <w:vAlign w:val="center"/>
                </w:tcPr>
                <w:p w14:paraId="14F3C2E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1814</w:t>
                  </w:r>
                </w:p>
              </w:tc>
              <w:tc>
                <w:tcPr>
                  <w:tcW w:w="642" w:type="pct"/>
                  <w:vMerge w:val="restart"/>
                  <w:tcBorders>
                    <w:tl2br w:val="nil"/>
                    <w:tr2bl w:val="nil"/>
                  </w:tcBorders>
                  <w:vAlign w:val="center"/>
                </w:tcPr>
                <w:p w14:paraId="2B7EF439">
                  <w:pPr>
                    <w:adjustRightInd w:val="0"/>
                    <w:snapToGrid w:val="0"/>
                    <w:jc w:val="center"/>
                    <w:rPr>
                      <w:rFonts w:hint="default" w:eastAsia="宋体"/>
                      <w:color w:val="auto"/>
                      <w:szCs w:val="21"/>
                      <w:lang w:val="en-US" w:eastAsia="zh-CN"/>
                    </w:rPr>
                  </w:pPr>
                  <w:r>
                    <w:rPr>
                      <w:rFonts w:hint="eastAsia"/>
                      <w:color w:val="auto"/>
                      <w:szCs w:val="21"/>
                      <w:lang w:val="en-US" w:eastAsia="zh-CN"/>
                    </w:rPr>
                    <w:t>12000</w:t>
                  </w:r>
                </w:p>
              </w:tc>
            </w:tr>
            <w:tr w14:paraId="2138A2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pct"/>
                  <w:vMerge w:val="continue"/>
                  <w:tcBorders>
                    <w:tl2br w:val="nil"/>
                    <w:tr2bl w:val="nil"/>
                  </w:tcBorders>
                  <w:vAlign w:val="center"/>
                </w:tcPr>
                <w:p w14:paraId="0CE0F927">
                  <w:pPr>
                    <w:adjustRightInd w:val="0"/>
                    <w:snapToGrid w:val="0"/>
                    <w:jc w:val="center"/>
                    <w:rPr>
                      <w:rFonts w:hint="eastAsia"/>
                      <w:color w:val="auto"/>
                      <w:szCs w:val="21"/>
                    </w:rPr>
                  </w:pPr>
                </w:p>
              </w:tc>
              <w:tc>
                <w:tcPr>
                  <w:tcW w:w="1026" w:type="pct"/>
                  <w:tcBorders>
                    <w:tl2br w:val="nil"/>
                    <w:tr2bl w:val="nil"/>
                  </w:tcBorders>
                  <w:vAlign w:val="center"/>
                </w:tcPr>
                <w:p w14:paraId="692F035C">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eastAsia" w:cs="Times New Roman"/>
                      <w:bCs/>
                      <w:color w:val="auto"/>
                      <w:sz w:val="21"/>
                      <w:szCs w:val="21"/>
                      <w:lang w:val="en-US" w:eastAsia="zh-CN"/>
                    </w:rPr>
                    <w:t>压塑机</w:t>
                  </w:r>
                </w:p>
              </w:tc>
              <w:tc>
                <w:tcPr>
                  <w:tcW w:w="455" w:type="pct"/>
                  <w:tcBorders>
                    <w:tl2br w:val="nil"/>
                    <w:tr2bl w:val="nil"/>
                  </w:tcBorders>
                  <w:vAlign w:val="center"/>
                </w:tcPr>
                <w:p w14:paraId="2DAC750C">
                  <w:pPr>
                    <w:adjustRightInd w:val="0"/>
                    <w:snapToGrid w:val="0"/>
                    <w:jc w:val="center"/>
                    <w:rPr>
                      <w:rFonts w:hint="default"/>
                      <w:color w:val="auto"/>
                      <w:szCs w:val="21"/>
                      <w:lang w:val="en-US" w:eastAsia="zh-CN"/>
                    </w:rPr>
                  </w:pPr>
                  <w:r>
                    <w:rPr>
                      <w:rFonts w:hint="eastAsia"/>
                      <w:color w:val="auto"/>
                      <w:szCs w:val="21"/>
                      <w:lang w:val="en-US" w:eastAsia="zh-CN"/>
                    </w:rPr>
                    <w:t>0.3</w:t>
                  </w:r>
                </w:p>
              </w:tc>
              <w:tc>
                <w:tcPr>
                  <w:tcW w:w="577" w:type="pct"/>
                  <w:tcBorders>
                    <w:tl2br w:val="nil"/>
                    <w:tr2bl w:val="nil"/>
                  </w:tcBorders>
                  <w:vAlign w:val="center"/>
                </w:tcPr>
                <w:p w14:paraId="0E56C1CE">
                  <w:pPr>
                    <w:adjustRightInd w:val="0"/>
                    <w:snapToGrid w:val="0"/>
                    <w:jc w:val="center"/>
                    <w:rPr>
                      <w:rFonts w:hint="default"/>
                      <w:color w:val="auto"/>
                      <w:szCs w:val="21"/>
                      <w:lang w:val="en-US" w:eastAsia="zh-CN"/>
                    </w:rPr>
                  </w:pPr>
                  <w:r>
                    <w:rPr>
                      <w:rFonts w:hint="eastAsia"/>
                      <w:color w:val="auto"/>
                      <w:szCs w:val="21"/>
                      <w:lang w:val="en-US" w:eastAsia="zh-CN"/>
                    </w:rPr>
                    <w:t>5</w:t>
                  </w:r>
                </w:p>
              </w:tc>
              <w:tc>
                <w:tcPr>
                  <w:tcW w:w="467" w:type="pct"/>
                  <w:tcBorders>
                    <w:tl2br w:val="nil"/>
                    <w:tr2bl w:val="nil"/>
                  </w:tcBorders>
                  <w:vAlign w:val="center"/>
                </w:tcPr>
                <w:p w14:paraId="467D7E98">
                  <w:pPr>
                    <w:adjustRightInd w:val="0"/>
                    <w:snapToGrid w:val="0"/>
                    <w:jc w:val="center"/>
                    <w:rPr>
                      <w:rFonts w:hint="default"/>
                      <w:color w:val="auto"/>
                      <w:szCs w:val="21"/>
                      <w:lang w:val="en-US" w:eastAsia="zh-CN"/>
                    </w:rPr>
                  </w:pPr>
                  <w:r>
                    <w:rPr>
                      <w:rFonts w:hint="eastAsia"/>
                      <w:color w:val="auto"/>
                      <w:szCs w:val="21"/>
                      <w:lang w:val="en-US" w:eastAsia="zh-CN"/>
                    </w:rPr>
                    <w:t>3</w:t>
                  </w:r>
                </w:p>
              </w:tc>
              <w:tc>
                <w:tcPr>
                  <w:tcW w:w="546" w:type="pct"/>
                  <w:tcBorders>
                    <w:tl2br w:val="nil"/>
                    <w:tr2bl w:val="nil"/>
                  </w:tcBorders>
                  <w:vAlign w:val="center"/>
                </w:tcPr>
                <w:p w14:paraId="04E0CF44">
                  <w:pPr>
                    <w:adjustRightInd w:val="0"/>
                    <w:snapToGrid w:val="0"/>
                    <w:jc w:val="center"/>
                    <w:rPr>
                      <w:rFonts w:hint="default"/>
                      <w:color w:val="auto"/>
                      <w:szCs w:val="21"/>
                      <w:lang w:val="en-US" w:eastAsia="zh-CN"/>
                    </w:rPr>
                  </w:pPr>
                  <w:r>
                    <w:rPr>
                      <w:rFonts w:hint="eastAsia"/>
                      <w:color w:val="auto"/>
                      <w:szCs w:val="21"/>
                      <w:lang w:val="en-US" w:eastAsia="zh-CN"/>
                    </w:rPr>
                    <w:t>0.3</w:t>
                  </w:r>
                </w:p>
              </w:tc>
              <w:tc>
                <w:tcPr>
                  <w:tcW w:w="1033" w:type="dxa"/>
                  <w:tcBorders>
                    <w:tl2br w:val="nil"/>
                    <w:tr2bl w:val="nil"/>
                  </w:tcBorders>
                  <w:vAlign w:val="center"/>
                </w:tcPr>
                <w:p w14:paraId="3365512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6804</w:t>
                  </w:r>
                </w:p>
              </w:tc>
              <w:tc>
                <w:tcPr>
                  <w:tcW w:w="642" w:type="pct"/>
                  <w:vMerge w:val="continue"/>
                  <w:tcBorders>
                    <w:tl2br w:val="nil"/>
                    <w:tr2bl w:val="nil"/>
                  </w:tcBorders>
                  <w:vAlign w:val="center"/>
                </w:tcPr>
                <w:p w14:paraId="34E10F6F">
                  <w:pPr>
                    <w:adjustRightInd w:val="0"/>
                    <w:snapToGrid w:val="0"/>
                    <w:jc w:val="center"/>
                    <w:rPr>
                      <w:rFonts w:hint="eastAsia"/>
                      <w:color w:val="auto"/>
                      <w:szCs w:val="21"/>
                      <w:lang w:val="en-US" w:eastAsia="zh-CN"/>
                    </w:rPr>
                  </w:pPr>
                </w:p>
              </w:tc>
            </w:tr>
            <w:tr w14:paraId="4B14AB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pct"/>
                  <w:vMerge w:val="continue"/>
                  <w:tcBorders>
                    <w:tl2br w:val="nil"/>
                    <w:tr2bl w:val="nil"/>
                  </w:tcBorders>
                  <w:vAlign w:val="center"/>
                </w:tcPr>
                <w:p w14:paraId="79494D01">
                  <w:pPr>
                    <w:adjustRightInd w:val="0"/>
                    <w:snapToGrid w:val="0"/>
                    <w:jc w:val="center"/>
                    <w:rPr>
                      <w:rFonts w:hint="eastAsia"/>
                      <w:color w:val="auto"/>
                      <w:szCs w:val="21"/>
                    </w:rPr>
                  </w:pPr>
                </w:p>
              </w:tc>
              <w:tc>
                <w:tcPr>
                  <w:tcW w:w="1026" w:type="pct"/>
                  <w:tcBorders>
                    <w:tl2br w:val="nil"/>
                    <w:tr2bl w:val="nil"/>
                  </w:tcBorders>
                  <w:vAlign w:val="center"/>
                </w:tcPr>
                <w:p w14:paraId="090CD98D">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吹塑机</w:t>
                  </w:r>
                </w:p>
              </w:tc>
              <w:tc>
                <w:tcPr>
                  <w:tcW w:w="455" w:type="pct"/>
                  <w:tcBorders>
                    <w:tl2br w:val="nil"/>
                    <w:tr2bl w:val="nil"/>
                  </w:tcBorders>
                  <w:vAlign w:val="center"/>
                </w:tcPr>
                <w:p w14:paraId="4DAD4017">
                  <w:pPr>
                    <w:adjustRightInd w:val="0"/>
                    <w:snapToGrid w:val="0"/>
                    <w:jc w:val="center"/>
                    <w:rPr>
                      <w:rFonts w:hint="default"/>
                      <w:color w:val="auto"/>
                      <w:szCs w:val="21"/>
                      <w:lang w:val="en-US" w:eastAsia="zh-CN"/>
                    </w:rPr>
                  </w:pPr>
                  <w:r>
                    <w:rPr>
                      <w:rFonts w:hint="eastAsia"/>
                      <w:color w:val="auto"/>
                      <w:szCs w:val="21"/>
                      <w:lang w:val="en-US" w:eastAsia="zh-CN"/>
                    </w:rPr>
                    <w:t>0.3</w:t>
                  </w:r>
                </w:p>
              </w:tc>
              <w:tc>
                <w:tcPr>
                  <w:tcW w:w="577" w:type="pct"/>
                  <w:tcBorders>
                    <w:tl2br w:val="nil"/>
                    <w:tr2bl w:val="nil"/>
                  </w:tcBorders>
                  <w:vAlign w:val="center"/>
                </w:tcPr>
                <w:p w14:paraId="2919B2DA">
                  <w:pPr>
                    <w:adjustRightInd w:val="0"/>
                    <w:snapToGrid w:val="0"/>
                    <w:jc w:val="center"/>
                    <w:rPr>
                      <w:rFonts w:hint="default"/>
                      <w:color w:val="auto"/>
                      <w:szCs w:val="21"/>
                      <w:lang w:val="en-US" w:eastAsia="zh-CN"/>
                    </w:rPr>
                  </w:pPr>
                  <w:r>
                    <w:rPr>
                      <w:rFonts w:hint="eastAsia"/>
                      <w:color w:val="auto"/>
                      <w:szCs w:val="21"/>
                      <w:lang w:val="en-US" w:eastAsia="zh-CN"/>
                    </w:rPr>
                    <w:t>1</w:t>
                  </w:r>
                </w:p>
              </w:tc>
              <w:tc>
                <w:tcPr>
                  <w:tcW w:w="467" w:type="pct"/>
                  <w:tcBorders>
                    <w:tl2br w:val="nil"/>
                    <w:tr2bl w:val="nil"/>
                  </w:tcBorders>
                  <w:vAlign w:val="center"/>
                </w:tcPr>
                <w:p w14:paraId="152C1B78">
                  <w:pPr>
                    <w:adjustRightInd w:val="0"/>
                    <w:snapToGrid w:val="0"/>
                    <w:jc w:val="center"/>
                    <w:rPr>
                      <w:rFonts w:hint="default"/>
                      <w:color w:val="auto"/>
                      <w:szCs w:val="21"/>
                      <w:lang w:val="en-US" w:eastAsia="zh-CN"/>
                    </w:rPr>
                  </w:pPr>
                  <w:r>
                    <w:rPr>
                      <w:rFonts w:hint="eastAsia"/>
                      <w:color w:val="auto"/>
                      <w:szCs w:val="21"/>
                      <w:lang w:val="en-US" w:eastAsia="zh-CN"/>
                    </w:rPr>
                    <w:t>3</w:t>
                  </w:r>
                </w:p>
              </w:tc>
              <w:tc>
                <w:tcPr>
                  <w:tcW w:w="546" w:type="pct"/>
                  <w:tcBorders>
                    <w:tl2br w:val="nil"/>
                    <w:tr2bl w:val="nil"/>
                  </w:tcBorders>
                  <w:vAlign w:val="center"/>
                </w:tcPr>
                <w:p w14:paraId="6002EA80">
                  <w:pPr>
                    <w:adjustRightInd w:val="0"/>
                    <w:snapToGrid w:val="0"/>
                    <w:jc w:val="center"/>
                    <w:rPr>
                      <w:rFonts w:hint="eastAsia"/>
                      <w:color w:val="auto"/>
                      <w:szCs w:val="21"/>
                      <w:lang w:val="en-US" w:eastAsia="zh-CN"/>
                    </w:rPr>
                  </w:pPr>
                  <w:r>
                    <w:rPr>
                      <w:rFonts w:hint="eastAsia"/>
                      <w:color w:val="auto"/>
                      <w:szCs w:val="21"/>
                      <w:lang w:val="en-US" w:eastAsia="zh-CN"/>
                    </w:rPr>
                    <w:t>0.3</w:t>
                  </w:r>
                </w:p>
              </w:tc>
              <w:tc>
                <w:tcPr>
                  <w:tcW w:w="1033" w:type="dxa"/>
                  <w:tcBorders>
                    <w:tl2br w:val="nil"/>
                    <w:tr2bl w:val="nil"/>
                  </w:tcBorders>
                  <w:vAlign w:val="center"/>
                </w:tcPr>
                <w:p w14:paraId="3D1B0290">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1360</w:t>
                  </w:r>
                </w:p>
              </w:tc>
              <w:tc>
                <w:tcPr>
                  <w:tcW w:w="642" w:type="pct"/>
                  <w:vMerge w:val="continue"/>
                  <w:tcBorders>
                    <w:tl2br w:val="nil"/>
                    <w:tr2bl w:val="nil"/>
                  </w:tcBorders>
                  <w:vAlign w:val="center"/>
                </w:tcPr>
                <w:p w14:paraId="4A7B4C41">
                  <w:pPr>
                    <w:adjustRightInd w:val="0"/>
                    <w:snapToGrid w:val="0"/>
                    <w:jc w:val="center"/>
                    <w:rPr>
                      <w:rFonts w:hint="eastAsia"/>
                      <w:color w:val="auto"/>
                      <w:szCs w:val="21"/>
                      <w:lang w:val="en-US" w:eastAsia="zh-CN"/>
                    </w:rPr>
                  </w:pPr>
                </w:p>
              </w:tc>
            </w:tr>
          </w:tbl>
          <w:p w14:paraId="5311AE6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auto"/>
                <w:sz w:val="24"/>
                <w:szCs w:val="24"/>
                <w:highlight w:val="none"/>
              </w:rPr>
              <w:t>由上表可知，本项目</w:t>
            </w:r>
            <w:r>
              <w:rPr>
                <w:rFonts w:hint="default" w:ascii="Times New Roman" w:hAnsi="Times New Roman" w:eastAsia="宋体" w:cs="Times New Roman"/>
                <w:color w:val="auto"/>
                <w:sz w:val="24"/>
                <w:szCs w:val="24"/>
                <w:highlight w:val="none"/>
              </w:rPr>
              <w:t>DA001</w:t>
            </w:r>
            <w:r>
              <w:rPr>
                <w:rFonts w:hint="default" w:ascii="Times New Roman" w:hAnsi="Times New Roman" w:eastAsia="宋体" w:cs="Times New Roman"/>
                <w:color w:val="auto"/>
                <w:sz w:val="24"/>
                <w:szCs w:val="24"/>
                <w:highlight w:val="none"/>
                <w:lang w:eastAsia="zh-CN"/>
              </w:rPr>
              <w:t>排气筒</w:t>
            </w:r>
            <w:r>
              <w:rPr>
                <w:rFonts w:hint="default" w:ascii="Times New Roman" w:hAnsi="Times New Roman" w:eastAsia="宋体" w:cs="Times New Roman"/>
                <w:bCs/>
                <w:color w:val="auto"/>
                <w:sz w:val="24"/>
                <w:szCs w:val="24"/>
                <w:highlight w:val="none"/>
              </w:rPr>
              <w:t>拟设计风量为</w:t>
            </w:r>
            <w:r>
              <w:rPr>
                <w:rFonts w:hint="eastAsia" w:cs="Times New Roman"/>
                <w:bCs/>
                <w:color w:val="auto"/>
                <w:sz w:val="24"/>
                <w:szCs w:val="24"/>
                <w:highlight w:val="none"/>
                <w:lang w:val="en-US" w:eastAsia="zh-CN"/>
              </w:rPr>
              <w:t>12000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/h</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满足设计要求</w:t>
            </w:r>
            <w:r>
              <w:rPr>
                <w:rFonts w:hint="default" w:ascii="Times New Roman" w:hAnsi="Times New Roman" w:eastAsia="宋体" w:cs="Times New Roman"/>
                <w:bCs/>
                <w:color w:val="auto"/>
                <w:sz w:val="24"/>
                <w:szCs w:val="24"/>
                <w:highlight w:val="none"/>
              </w:rPr>
              <w:t>。</w:t>
            </w:r>
          </w:p>
          <w:p w14:paraId="7AB35A8D">
            <w:pPr>
              <w:adjustRightInd w:val="0"/>
              <w:snapToGrid w:val="0"/>
              <w:spacing w:line="50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bCs/>
                <w:color w:val="auto"/>
                <w:sz w:val="24"/>
              </w:rPr>
              <w:t>②</w:t>
            </w:r>
            <w:r>
              <w:rPr>
                <w:rFonts w:hint="default" w:ascii="Times New Roman" w:hAnsi="Times New Roman" w:cs="Times New Roman"/>
                <w:color w:val="auto"/>
                <w:sz w:val="24"/>
                <w:highlight w:val="none"/>
                <w:lang w:val="en-US" w:eastAsia="zh-CN"/>
              </w:rPr>
              <w:t>废气污染防治措施概述</w:t>
            </w:r>
          </w:p>
          <w:p w14:paraId="05BF762D">
            <w:pPr>
              <w:adjustRightInd w:val="0"/>
              <w:snapToGrid w:val="0"/>
              <w:spacing w:line="500" w:lineRule="exact"/>
              <w:ind w:firstLine="480"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Cs/>
                <w:color w:val="auto"/>
                <w:sz w:val="24"/>
              </w:rPr>
              <w:t>本项目</w:t>
            </w:r>
            <w:r>
              <w:rPr>
                <w:rFonts w:hint="eastAsia"/>
                <w:bCs/>
                <w:color w:val="auto"/>
                <w:sz w:val="24"/>
                <w:lang w:val="en-US" w:eastAsia="zh-CN"/>
              </w:rPr>
              <w:t>挤出</w:t>
            </w:r>
            <w:r>
              <w:rPr>
                <w:rFonts w:hint="eastAsia" w:ascii="Times New Roman" w:hAnsi="Times New Roman"/>
                <w:bCs/>
                <w:color w:val="auto"/>
                <w:sz w:val="24"/>
                <w:lang w:val="en-US" w:eastAsia="zh-CN"/>
              </w:rPr>
              <w:t>、</w:t>
            </w:r>
            <w:r>
              <w:rPr>
                <w:rFonts w:hint="eastAsia"/>
                <w:bCs/>
                <w:color w:val="auto"/>
                <w:sz w:val="24"/>
                <w:lang w:val="en-US" w:eastAsia="zh-CN"/>
              </w:rPr>
              <w:t>压塑</w:t>
            </w:r>
            <w:r>
              <w:rPr>
                <w:rFonts w:hint="eastAsia" w:cs="Times New Roman"/>
                <w:color w:val="auto"/>
                <w:sz w:val="24"/>
                <w:lang w:val="en-US" w:eastAsia="zh-CN"/>
              </w:rPr>
              <w:t>和</w:t>
            </w:r>
            <w:r>
              <w:rPr>
                <w:rFonts w:hint="eastAsia"/>
                <w:bCs/>
                <w:color w:val="auto"/>
                <w:sz w:val="24"/>
                <w:lang w:val="en-US" w:eastAsia="zh-CN"/>
              </w:rPr>
              <w:t>吹塑</w:t>
            </w:r>
            <w:r>
              <w:rPr>
                <w:rFonts w:hint="eastAsia" w:cs="Times New Roman"/>
                <w:color w:val="auto"/>
                <w:sz w:val="24"/>
                <w:lang w:val="en-US" w:eastAsia="zh-CN"/>
              </w:rPr>
              <w:t>废气</w:t>
            </w:r>
            <w:r>
              <w:rPr>
                <w:rFonts w:hint="default" w:ascii="Times New Roman" w:hAnsi="Times New Roman" w:cs="Times New Roman"/>
                <w:bCs/>
                <w:color w:val="auto"/>
                <w:sz w:val="24"/>
              </w:rPr>
              <w:t>采用</w:t>
            </w:r>
            <w:r>
              <w:rPr>
                <w:rFonts w:hint="default" w:ascii="Times New Roman" w:hAnsi="Times New Roman" w:cs="Times New Roman"/>
                <w:bCs/>
                <w:color w:val="auto"/>
                <w:sz w:val="24"/>
                <w:lang w:val="en-US" w:eastAsia="zh-CN"/>
              </w:rPr>
              <w:t>集气罩收集</w:t>
            </w:r>
            <w:r>
              <w:rPr>
                <w:rFonts w:hint="default" w:ascii="Times New Roman" w:hAnsi="Times New Roman" w:eastAsia="宋体" w:cs="Times New Roman"/>
                <w:color w:val="auto"/>
                <w:sz w:val="24"/>
                <w:lang w:val="en-US" w:eastAsia="zh-CN"/>
              </w:rPr>
              <w:t>后</w:t>
            </w:r>
            <w:r>
              <w:rPr>
                <w:rFonts w:hint="eastAsia" w:cs="Times New Roman"/>
                <w:color w:val="auto"/>
                <w:sz w:val="24"/>
                <w:lang w:val="en-US" w:eastAsia="zh-CN"/>
              </w:rPr>
              <w:t>经</w:t>
            </w:r>
            <w:r>
              <w:rPr>
                <w:rFonts w:hint="eastAsia" w:ascii="Times New Roman" w:hAnsi="Times New Roman" w:eastAsia="宋体" w:cs="Times New Roman"/>
                <w:color w:val="auto"/>
                <w:sz w:val="24"/>
                <w:lang w:val="en-US" w:eastAsia="zh-CN"/>
              </w:rPr>
              <w:t>两级活性炭吸附装置处理，尾气</w:t>
            </w:r>
            <w:r>
              <w:rPr>
                <w:rFonts w:hint="eastAsia" w:cs="Times New Roman"/>
                <w:color w:val="auto"/>
                <w:sz w:val="24"/>
                <w:lang w:val="en-US" w:eastAsia="zh-CN"/>
              </w:rPr>
              <w:t>通过</w:t>
            </w:r>
            <w:r>
              <w:rPr>
                <w:rFonts w:hint="eastAsia" w:ascii="Times New Roman" w:hAnsi="Times New Roman" w:eastAsia="宋体" w:cs="Times New Roman"/>
                <w:color w:val="auto"/>
                <w:sz w:val="24"/>
                <w:lang w:val="en-US" w:eastAsia="zh-CN"/>
              </w:rPr>
              <w:t>1根15m高的排气筒排放，</w:t>
            </w:r>
            <w:r>
              <w:rPr>
                <w:rFonts w:hint="default" w:ascii="Times New Roman" w:hAnsi="Times New Roman" w:cs="Times New Roman"/>
                <w:color w:val="auto"/>
                <w:sz w:val="24"/>
                <w:highlight w:val="none"/>
              </w:rPr>
              <w:t>集气</w:t>
            </w:r>
            <w:r>
              <w:rPr>
                <w:rFonts w:hint="default" w:ascii="Times New Roman" w:hAnsi="Times New Roman" w:cs="Times New Roman"/>
                <w:color w:val="auto"/>
                <w:sz w:val="24"/>
                <w:highlight w:val="none"/>
                <w:lang w:val="en-US" w:eastAsia="zh-CN"/>
              </w:rPr>
              <w:t>罩</w:t>
            </w:r>
            <w:r>
              <w:rPr>
                <w:rFonts w:hint="default" w:ascii="Times New Roman" w:hAnsi="Times New Roman" w:cs="Times New Roman"/>
                <w:color w:val="auto"/>
                <w:sz w:val="24"/>
                <w:highlight w:val="none"/>
              </w:rPr>
              <w:t>收集效率为90%，</w:t>
            </w:r>
            <w:r>
              <w:rPr>
                <w:rFonts w:hint="default" w:ascii="Times New Roman" w:hAnsi="Times New Roman" w:cs="Times New Roman"/>
                <w:bCs/>
                <w:color w:val="auto"/>
                <w:sz w:val="24"/>
                <w:lang w:val="en-US" w:eastAsia="zh-CN"/>
              </w:rPr>
              <w:t>二级活性炭吸附设备</w:t>
            </w:r>
            <w:r>
              <w:rPr>
                <w:rFonts w:hint="eastAsia" w:cs="Times New Roman"/>
                <w:bCs/>
                <w:color w:val="auto"/>
                <w:sz w:val="24"/>
                <w:lang w:val="en-US" w:eastAsia="zh-CN"/>
              </w:rPr>
              <w:t>的</w:t>
            </w:r>
            <w:r>
              <w:rPr>
                <w:rFonts w:hint="default" w:ascii="Times New Roman" w:hAnsi="Times New Roman" w:cs="Times New Roman"/>
                <w:color w:val="auto"/>
                <w:sz w:val="24"/>
                <w:highlight w:val="none"/>
              </w:rPr>
              <w:t>处理效率</w:t>
            </w:r>
            <w:r>
              <w:rPr>
                <w:rFonts w:hint="default" w:ascii="Times New Roman" w:hAnsi="Times New Roman" w:cs="Times New Roman"/>
                <w:bCs/>
                <w:color w:val="auto"/>
                <w:sz w:val="24"/>
                <w:lang w:val="en-US" w:eastAsia="zh-CN"/>
              </w:rPr>
              <w:t>以</w:t>
            </w:r>
            <w:r>
              <w:rPr>
                <w:rFonts w:hint="eastAsia" w:cs="Times New Roman"/>
                <w:bCs/>
                <w:color w:val="auto"/>
                <w:sz w:val="24"/>
                <w:lang w:val="en-US" w:eastAsia="zh-CN"/>
              </w:rPr>
              <w:t>9</w:t>
            </w:r>
            <w:r>
              <w:rPr>
                <w:rFonts w:hint="default" w:ascii="Times New Roman" w:hAnsi="Times New Roman" w:cs="Times New Roman"/>
                <w:bCs/>
                <w:color w:val="auto"/>
                <w:sz w:val="24"/>
                <w:lang w:val="en-US" w:eastAsia="zh-CN"/>
              </w:rPr>
              <w:t>0%计</w:t>
            </w:r>
            <w:r>
              <w:rPr>
                <w:rFonts w:hint="default" w:ascii="Times New Roman" w:hAnsi="Times New Roman" w:cs="Times New Roman"/>
                <w:color w:val="auto"/>
                <w:sz w:val="24"/>
                <w:highlight w:val="none"/>
                <w:lang w:eastAsia="zh-CN"/>
              </w:rPr>
              <w:t>。</w:t>
            </w:r>
          </w:p>
          <w:p w14:paraId="3E8B27A4">
            <w:pPr>
              <w:keepNext w:val="0"/>
              <w:keepLines w:val="0"/>
              <w:pageBreakBefore w:val="0"/>
              <w:kinsoku/>
              <w:wordWrap/>
              <w:overflowPunct/>
              <w:topLinePunct w:val="0"/>
              <w:autoSpaceDE/>
              <w:autoSpaceDN/>
              <w:bidi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活性炭吸附装置工作原理：</w:t>
            </w:r>
          </w:p>
          <w:p w14:paraId="63075422">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活性炭是一种多孔性质的含炭物质，它具有高度发达的孔隙结构，活性炭的多孔结构为其提供了大量的表面积，能与气体（杂质）充分接触，从而赋予了活性炭所特有的吸附功能，使其非常容易达到吸收收集杂质的目的，就像磁力一样，所有的分子间都具有相互引力。正因为如此，活性炭孔壁上的大量的分子可以产生强大的引力，从而达到将有害的杂质吸引到孔径中的目的。</w:t>
            </w:r>
          </w:p>
          <w:p w14:paraId="7F1DBBBE">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活性炭具有微晶结构，微晶排列完全不规则，晶体中有微孔、过渡孔（半径20～1000）、大孔（半径1000～100000），使它具有很大的内表面，比表面积为500～1700m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g。这决定了活性炭具有良好的吸附性，可以吸附废水和废气中的金属离子、有害气体、有机污染物、色素等。工业上应用活性炭还要求机械强度大、耐磨性能好，它的结构力求稳定，吸附所需能量小，以有利于再生。</w:t>
            </w:r>
          </w:p>
          <w:p w14:paraId="45F2349A">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活性炭吸附法适用于大风量、低浓度、温度不高的有机废气治理，其能耗低、工艺成熟，效果可靠，是治理有机废气较为理想的方案。根据《大气中VOCs的污染现状及治理技术研究进展》（环境科学与管理，2012年第37卷第6期，曲茉莉）中数据，活性炭吸附对有机废气等的去除效率可达</w:t>
            </w:r>
            <w:r>
              <w:rPr>
                <w:rFonts w:hint="eastAsia" w:cs="Times New Roman"/>
                <w:color w:val="auto"/>
                <w:sz w:val="24"/>
                <w:lang w:val="en-US" w:eastAsia="zh-CN"/>
              </w:rPr>
              <w:t>80</w:t>
            </w:r>
            <w:r>
              <w:rPr>
                <w:rFonts w:hint="default" w:ascii="Times New Roman" w:hAnsi="Times New Roman" w:eastAsia="宋体" w:cs="Times New Roman"/>
                <w:color w:val="auto"/>
                <w:sz w:val="24"/>
                <w:lang w:val="en-US" w:eastAsia="zh-CN"/>
              </w:rPr>
              <w:t>%以上。</w:t>
            </w:r>
            <w:r>
              <w:rPr>
                <w:rFonts w:hint="default" w:ascii="Times New Roman" w:hAnsi="Times New Roman" w:cs="Times New Roman"/>
                <w:color w:val="auto"/>
                <w:sz w:val="24"/>
                <w:lang w:val="en-US" w:eastAsia="zh-CN"/>
              </w:rPr>
              <w:t>本项目采用二级活性炭，处理效率可达90%以上。</w:t>
            </w:r>
          </w:p>
          <w:p w14:paraId="64248CA3">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依据《省生态环境厅关于深入开展涉VOCs治理重点工作核查的通知》（苏环办</w:t>
            </w:r>
            <w:r>
              <w:rPr>
                <w:rFonts w:hint="default" w:ascii="Times New Roman" w:hAnsi="Times New Roman" w:eastAsia="宋体" w:cs="Times New Roman"/>
                <w:color w:val="auto"/>
                <w:sz w:val="24"/>
              </w:rPr>
              <w:t>〔202</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218号）文件，本项目使用的活性炭常规技术指标如下表所示：</w:t>
            </w:r>
          </w:p>
          <w:p w14:paraId="70715C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表4-</w:t>
            </w:r>
            <w:r>
              <w:rPr>
                <w:rFonts w:hint="default" w:ascii="Times New Roman" w:hAnsi="Times New Roman" w:cs="Times New Roman"/>
                <w:b/>
                <w:bCs/>
                <w:color w:val="auto"/>
                <w:szCs w:val="21"/>
                <w:lang w:val="en-US" w:eastAsia="zh-CN"/>
              </w:rPr>
              <w:t>2工业有机废气治理用活性炭常规技术指标</w:t>
            </w:r>
          </w:p>
          <w:tbl>
            <w:tblPr>
              <w:tblStyle w:val="27"/>
              <w:tblW w:w="485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92"/>
              <w:gridCol w:w="688"/>
              <w:gridCol w:w="1277"/>
              <w:gridCol w:w="1527"/>
              <w:gridCol w:w="1355"/>
            </w:tblGrid>
            <w:tr w14:paraId="028CB0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restart"/>
                  <w:noWrap w:val="0"/>
                  <w:vAlign w:val="center"/>
                </w:tcPr>
                <w:p w14:paraId="0A191E38">
                  <w:pPr>
                    <w:tabs>
                      <w:tab w:val="left" w:pos="1390"/>
                    </w:tabs>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编号</w:t>
                  </w:r>
                </w:p>
              </w:tc>
              <w:tc>
                <w:tcPr>
                  <w:tcW w:w="1904" w:type="pct"/>
                  <w:gridSpan w:val="2"/>
                  <w:vMerge w:val="restart"/>
                  <w:noWrap w:val="0"/>
                  <w:vAlign w:val="center"/>
                </w:tcPr>
                <w:p w14:paraId="0C5FCB5D">
                  <w:pPr>
                    <w:tabs>
                      <w:tab w:val="left" w:pos="1390"/>
                    </w:tabs>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w:t>
                  </w:r>
                </w:p>
              </w:tc>
              <w:tc>
                <w:tcPr>
                  <w:tcW w:w="2655" w:type="pct"/>
                  <w:gridSpan w:val="3"/>
                  <w:noWrap w:val="0"/>
                  <w:vAlign w:val="center"/>
                </w:tcPr>
                <w:p w14:paraId="0A8DD0A8">
                  <w:pPr>
                    <w:tabs>
                      <w:tab w:val="left" w:pos="1390"/>
                    </w:tabs>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指标</w:t>
                  </w:r>
                </w:p>
              </w:tc>
            </w:tr>
            <w:tr w14:paraId="75C3D3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41A57E22">
                  <w:pPr>
                    <w:jc w:val="center"/>
                    <w:rPr>
                      <w:rFonts w:hint="default" w:ascii="Times New Roman" w:hAnsi="Times New Roman" w:eastAsia="宋体" w:cs="Times New Roman"/>
                      <w:color w:val="auto"/>
                      <w:szCs w:val="21"/>
                    </w:rPr>
                  </w:pPr>
                </w:p>
              </w:tc>
              <w:tc>
                <w:tcPr>
                  <w:tcW w:w="1904" w:type="pct"/>
                  <w:gridSpan w:val="2"/>
                  <w:vMerge w:val="continue"/>
                  <w:noWrap w:val="0"/>
                  <w:vAlign w:val="center"/>
                </w:tcPr>
                <w:p w14:paraId="0EEBE9E8">
                  <w:pPr>
                    <w:jc w:val="center"/>
                    <w:rPr>
                      <w:rFonts w:hint="default" w:ascii="Times New Roman" w:hAnsi="Times New Roman" w:eastAsia="宋体" w:cs="Times New Roman"/>
                      <w:color w:val="auto"/>
                      <w:szCs w:val="21"/>
                    </w:rPr>
                  </w:pPr>
                </w:p>
              </w:tc>
              <w:tc>
                <w:tcPr>
                  <w:tcW w:w="815" w:type="pct"/>
                  <w:noWrap w:val="0"/>
                  <w:vAlign w:val="center"/>
                </w:tcPr>
                <w:p w14:paraId="07C57BF3">
                  <w:pPr>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颗粒活性炭</w:t>
                  </w:r>
                </w:p>
              </w:tc>
              <w:tc>
                <w:tcPr>
                  <w:tcW w:w="975" w:type="pct"/>
                  <w:noWrap w:val="0"/>
                  <w:vAlign w:val="center"/>
                </w:tcPr>
                <w:p w14:paraId="185EAE4C">
                  <w:pPr>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蜂窝活性炭</w:t>
                  </w:r>
                </w:p>
              </w:tc>
              <w:tc>
                <w:tcPr>
                  <w:tcW w:w="865" w:type="pct"/>
                  <w:noWrap w:val="0"/>
                  <w:vAlign w:val="center"/>
                </w:tcPr>
                <w:p w14:paraId="2F8E79D3">
                  <w:pPr>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活性炭纤维</w:t>
                  </w:r>
                </w:p>
              </w:tc>
            </w:tr>
            <w:tr w14:paraId="55806F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2F0914A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w:t>
                  </w:r>
                </w:p>
              </w:tc>
              <w:tc>
                <w:tcPr>
                  <w:tcW w:w="1464" w:type="pct"/>
                  <w:noWrap w:val="0"/>
                  <w:vAlign w:val="center"/>
                </w:tcPr>
                <w:p w14:paraId="2FE06A4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水分</w:t>
                  </w:r>
                  <w:r>
                    <w:rPr>
                      <w:rFonts w:hint="default" w:ascii="Times New Roman" w:hAnsi="Times New Roman" w:eastAsia="宋体" w:cs="Times New Roman"/>
                      <w:color w:val="auto"/>
                      <w:szCs w:val="21"/>
                      <w:lang w:val="en-US" w:eastAsia="zh-CN"/>
                    </w:rPr>
                    <w:t>含量/（%）</w:t>
                  </w:r>
                </w:p>
              </w:tc>
              <w:tc>
                <w:tcPr>
                  <w:tcW w:w="439" w:type="pct"/>
                  <w:noWrap w:val="0"/>
                  <w:vAlign w:val="center"/>
                </w:tcPr>
                <w:p w14:paraId="79B1B2B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15" w:type="pct"/>
                  <w:noWrap w:val="0"/>
                  <w:vAlign w:val="center"/>
                </w:tcPr>
                <w:p w14:paraId="485E0C5A">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w:t>
                  </w:r>
                </w:p>
              </w:tc>
              <w:tc>
                <w:tcPr>
                  <w:tcW w:w="975" w:type="pct"/>
                  <w:noWrap w:val="0"/>
                  <w:vAlign w:val="center"/>
                </w:tcPr>
                <w:p w14:paraId="571C086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w:t>
                  </w:r>
                </w:p>
              </w:tc>
              <w:tc>
                <w:tcPr>
                  <w:tcW w:w="865" w:type="pct"/>
                  <w:noWrap w:val="0"/>
                  <w:vAlign w:val="center"/>
                </w:tcPr>
                <w:p w14:paraId="61D95E94">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25</w:t>
                  </w:r>
                </w:p>
              </w:tc>
            </w:tr>
            <w:tr w14:paraId="3EB622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1AE6BED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2</w:t>
                  </w:r>
                </w:p>
              </w:tc>
              <w:tc>
                <w:tcPr>
                  <w:tcW w:w="1464" w:type="pct"/>
                  <w:noWrap w:val="0"/>
                  <w:vAlign w:val="center"/>
                </w:tcPr>
                <w:p w14:paraId="2B4BF3E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耐磨强度/（%）</w:t>
                  </w:r>
                </w:p>
              </w:tc>
              <w:tc>
                <w:tcPr>
                  <w:tcW w:w="439" w:type="pct"/>
                  <w:noWrap w:val="0"/>
                  <w:vAlign w:val="center"/>
                </w:tcPr>
                <w:p w14:paraId="5BD2C3E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15" w:type="pct"/>
                  <w:noWrap w:val="0"/>
                  <w:vAlign w:val="center"/>
                </w:tcPr>
                <w:p w14:paraId="3F5C779C">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90</w:t>
                  </w:r>
                </w:p>
              </w:tc>
              <w:tc>
                <w:tcPr>
                  <w:tcW w:w="975" w:type="pct"/>
                  <w:noWrap w:val="0"/>
                  <w:vAlign w:val="center"/>
                </w:tcPr>
                <w:p w14:paraId="0A779C0E">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865" w:type="pct"/>
                  <w:noWrap w:val="0"/>
                  <w:vAlign w:val="center"/>
                </w:tcPr>
                <w:p w14:paraId="5A893E8A">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66594C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4E70AF0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3</w:t>
                  </w:r>
                </w:p>
              </w:tc>
              <w:tc>
                <w:tcPr>
                  <w:tcW w:w="1464" w:type="pct"/>
                  <w:noWrap w:val="0"/>
                  <w:vAlign w:val="center"/>
                </w:tcPr>
                <w:p w14:paraId="05099B3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抗压强度/（MPa）</w:t>
                  </w:r>
                </w:p>
              </w:tc>
              <w:tc>
                <w:tcPr>
                  <w:tcW w:w="439" w:type="pct"/>
                  <w:noWrap w:val="0"/>
                  <w:vAlign w:val="center"/>
                </w:tcPr>
                <w:p w14:paraId="211AD5A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15" w:type="pct"/>
                  <w:noWrap w:val="0"/>
                  <w:vAlign w:val="center"/>
                </w:tcPr>
                <w:p w14:paraId="7B6B4594">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975" w:type="pct"/>
                  <w:noWrap w:val="0"/>
                  <w:vAlign w:val="center"/>
                </w:tcPr>
                <w:p w14:paraId="7980272D">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横向：0.9</w:t>
                  </w:r>
                </w:p>
                <w:p w14:paraId="1A718B58">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纵向：0.4</w:t>
                  </w:r>
                </w:p>
              </w:tc>
              <w:tc>
                <w:tcPr>
                  <w:tcW w:w="865" w:type="pct"/>
                  <w:noWrap w:val="0"/>
                  <w:vAlign w:val="center"/>
                </w:tcPr>
                <w:p w14:paraId="21FF820B">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36FB67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57E501E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4</w:t>
                  </w:r>
                </w:p>
              </w:tc>
              <w:tc>
                <w:tcPr>
                  <w:tcW w:w="1464" w:type="pct"/>
                  <w:noWrap w:val="0"/>
                  <w:vAlign w:val="center"/>
                </w:tcPr>
                <w:p w14:paraId="0CA93832">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断裂强力/（N）</w:t>
                  </w:r>
                </w:p>
              </w:tc>
              <w:tc>
                <w:tcPr>
                  <w:tcW w:w="439" w:type="pct"/>
                  <w:noWrap w:val="0"/>
                  <w:vAlign w:val="center"/>
                </w:tcPr>
                <w:p w14:paraId="0A98422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15" w:type="pct"/>
                  <w:noWrap w:val="0"/>
                  <w:vAlign w:val="center"/>
                </w:tcPr>
                <w:p w14:paraId="3D0C3EEC">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975" w:type="pct"/>
                  <w:noWrap w:val="0"/>
                  <w:vAlign w:val="center"/>
                </w:tcPr>
                <w:p w14:paraId="6662C29D">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865" w:type="pct"/>
                  <w:noWrap w:val="0"/>
                  <w:vAlign w:val="center"/>
                </w:tcPr>
                <w:p w14:paraId="0256F113">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w:t>
                  </w:r>
                </w:p>
              </w:tc>
            </w:tr>
            <w:tr w14:paraId="717C7F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restart"/>
                  <w:noWrap w:val="0"/>
                  <w:vAlign w:val="center"/>
                </w:tcPr>
                <w:p w14:paraId="08A75D5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5</w:t>
                  </w:r>
                </w:p>
              </w:tc>
              <w:tc>
                <w:tcPr>
                  <w:tcW w:w="1464" w:type="pct"/>
                  <w:vMerge w:val="restart"/>
                  <w:noWrap w:val="0"/>
                  <w:vAlign w:val="center"/>
                </w:tcPr>
                <w:p w14:paraId="58147FCD">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着火点/（℃）</w:t>
                  </w:r>
                </w:p>
              </w:tc>
              <w:tc>
                <w:tcPr>
                  <w:tcW w:w="439" w:type="pct"/>
                  <w:vMerge w:val="restart"/>
                  <w:noWrap w:val="0"/>
                  <w:vAlign w:val="center"/>
                </w:tcPr>
                <w:p w14:paraId="6C3538F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15" w:type="pct"/>
                  <w:noWrap w:val="0"/>
                  <w:vAlign w:val="center"/>
                </w:tcPr>
                <w:p w14:paraId="728471FA">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400</w:t>
                  </w:r>
                  <w:r>
                    <w:rPr>
                      <w:rFonts w:hint="default" w:ascii="Times New Roman" w:hAnsi="Times New Roman" w:eastAsia="宋体" w:cs="Times New Roman"/>
                      <w:color w:val="auto"/>
                      <w:szCs w:val="21"/>
                      <w:vertAlign w:val="superscript"/>
                      <w:lang w:val="en-US" w:eastAsia="zh-CN"/>
                    </w:rPr>
                    <w:t>①</w:t>
                  </w:r>
                </w:p>
              </w:tc>
              <w:tc>
                <w:tcPr>
                  <w:tcW w:w="975" w:type="pct"/>
                  <w:vMerge w:val="restart"/>
                  <w:noWrap w:val="0"/>
                  <w:vAlign w:val="center"/>
                </w:tcPr>
                <w:p w14:paraId="7754DF52">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400</w:t>
                  </w:r>
                </w:p>
              </w:tc>
              <w:tc>
                <w:tcPr>
                  <w:tcW w:w="865" w:type="pct"/>
                  <w:vMerge w:val="restart"/>
                  <w:noWrap w:val="0"/>
                  <w:vAlign w:val="center"/>
                </w:tcPr>
                <w:p w14:paraId="6F26A44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500</w:t>
                  </w:r>
                </w:p>
              </w:tc>
            </w:tr>
            <w:tr w14:paraId="152DDF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5B87A630">
                  <w:pPr>
                    <w:jc w:val="center"/>
                    <w:rPr>
                      <w:rFonts w:hint="default" w:ascii="Times New Roman" w:hAnsi="Times New Roman" w:eastAsia="宋体" w:cs="Times New Roman"/>
                      <w:color w:val="auto"/>
                      <w:kern w:val="2"/>
                      <w:sz w:val="21"/>
                      <w:szCs w:val="21"/>
                      <w:lang w:val="en-US" w:eastAsia="zh-CN" w:bidi="ar-SA"/>
                    </w:rPr>
                  </w:pPr>
                </w:p>
              </w:tc>
              <w:tc>
                <w:tcPr>
                  <w:tcW w:w="1464" w:type="pct"/>
                  <w:vMerge w:val="continue"/>
                  <w:noWrap w:val="0"/>
                  <w:vAlign w:val="center"/>
                </w:tcPr>
                <w:p w14:paraId="1C1ACCB3">
                  <w:pPr>
                    <w:jc w:val="center"/>
                    <w:rPr>
                      <w:rFonts w:hint="default" w:ascii="Times New Roman" w:hAnsi="Times New Roman" w:eastAsia="宋体" w:cs="Times New Roman"/>
                      <w:color w:val="auto"/>
                      <w:szCs w:val="21"/>
                    </w:rPr>
                  </w:pPr>
                </w:p>
              </w:tc>
              <w:tc>
                <w:tcPr>
                  <w:tcW w:w="439" w:type="pct"/>
                  <w:vMerge w:val="continue"/>
                  <w:noWrap w:val="0"/>
                  <w:vAlign w:val="center"/>
                </w:tcPr>
                <w:p w14:paraId="63DB5BD2">
                  <w:pPr>
                    <w:jc w:val="center"/>
                    <w:rPr>
                      <w:rFonts w:hint="default" w:ascii="Times New Roman" w:hAnsi="Times New Roman" w:eastAsia="宋体" w:cs="Times New Roman"/>
                      <w:color w:val="auto"/>
                      <w:szCs w:val="21"/>
                    </w:rPr>
                  </w:pPr>
                </w:p>
              </w:tc>
              <w:tc>
                <w:tcPr>
                  <w:tcW w:w="815" w:type="pct"/>
                  <w:noWrap w:val="0"/>
                  <w:vAlign w:val="center"/>
                </w:tcPr>
                <w:p w14:paraId="4B89C74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350</w:t>
                  </w:r>
                  <w:r>
                    <w:rPr>
                      <w:rFonts w:hint="default" w:ascii="Times New Roman" w:hAnsi="Times New Roman" w:eastAsia="宋体" w:cs="Times New Roman"/>
                      <w:color w:val="auto"/>
                      <w:szCs w:val="21"/>
                      <w:vertAlign w:val="superscript"/>
                      <w:lang w:val="en-US" w:eastAsia="zh-CN"/>
                    </w:rPr>
                    <w:t>②</w:t>
                  </w:r>
                </w:p>
              </w:tc>
              <w:tc>
                <w:tcPr>
                  <w:tcW w:w="975" w:type="pct"/>
                  <w:vMerge w:val="continue"/>
                  <w:noWrap w:val="0"/>
                  <w:vAlign w:val="center"/>
                </w:tcPr>
                <w:p w14:paraId="7C557B36">
                  <w:pPr>
                    <w:jc w:val="center"/>
                    <w:rPr>
                      <w:rFonts w:hint="default" w:ascii="Times New Roman" w:hAnsi="Times New Roman" w:eastAsia="宋体" w:cs="Times New Roman"/>
                      <w:color w:val="auto"/>
                      <w:szCs w:val="21"/>
                      <w:lang w:val="en-US" w:eastAsia="zh-CN"/>
                    </w:rPr>
                  </w:pPr>
                </w:p>
              </w:tc>
              <w:tc>
                <w:tcPr>
                  <w:tcW w:w="865" w:type="pct"/>
                  <w:vMerge w:val="continue"/>
                  <w:noWrap w:val="0"/>
                  <w:vAlign w:val="center"/>
                </w:tcPr>
                <w:p w14:paraId="3F13E424">
                  <w:pPr>
                    <w:jc w:val="center"/>
                    <w:rPr>
                      <w:rFonts w:hint="default" w:ascii="Times New Roman" w:hAnsi="Times New Roman" w:eastAsia="宋体" w:cs="Times New Roman"/>
                      <w:color w:val="auto"/>
                      <w:szCs w:val="21"/>
                      <w:lang w:val="en-US" w:eastAsia="zh-CN"/>
                    </w:rPr>
                  </w:pPr>
                </w:p>
              </w:tc>
            </w:tr>
            <w:tr w14:paraId="57F78D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70999D2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6</w:t>
                  </w:r>
                </w:p>
              </w:tc>
              <w:tc>
                <w:tcPr>
                  <w:tcW w:w="1464" w:type="pct"/>
                  <w:noWrap w:val="0"/>
                  <w:vAlign w:val="center"/>
                </w:tcPr>
                <w:p w14:paraId="220F642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碘吸附值/（mg/g）</w:t>
                  </w:r>
                </w:p>
              </w:tc>
              <w:tc>
                <w:tcPr>
                  <w:tcW w:w="439" w:type="pct"/>
                  <w:noWrap w:val="0"/>
                  <w:vAlign w:val="center"/>
                </w:tcPr>
                <w:p w14:paraId="492639B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15" w:type="pct"/>
                  <w:noWrap w:val="0"/>
                  <w:vAlign w:val="center"/>
                </w:tcPr>
                <w:p w14:paraId="5343DEE3">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800</w:t>
                  </w:r>
                </w:p>
              </w:tc>
              <w:tc>
                <w:tcPr>
                  <w:tcW w:w="975" w:type="pct"/>
                  <w:noWrap w:val="0"/>
                  <w:vAlign w:val="center"/>
                </w:tcPr>
                <w:p w14:paraId="04EB39F2">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650</w:t>
                  </w:r>
                </w:p>
              </w:tc>
              <w:tc>
                <w:tcPr>
                  <w:tcW w:w="865" w:type="pct"/>
                  <w:noWrap w:val="0"/>
                  <w:vAlign w:val="center"/>
                </w:tcPr>
                <w:p w14:paraId="71E78248">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1050</w:t>
                  </w:r>
                </w:p>
              </w:tc>
            </w:tr>
            <w:tr w14:paraId="288C75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64617E0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7</w:t>
                  </w:r>
                </w:p>
              </w:tc>
              <w:tc>
                <w:tcPr>
                  <w:tcW w:w="1464" w:type="pct"/>
                  <w:noWrap w:val="0"/>
                  <w:vAlign w:val="center"/>
                </w:tcPr>
                <w:p w14:paraId="05DF220A">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四氯化碳吸附率/（%）</w:t>
                  </w:r>
                </w:p>
              </w:tc>
              <w:tc>
                <w:tcPr>
                  <w:tcW w:w="439" w:type="pct"/>
                  <w:noWrap w:val="0"/>
                  <w:vAlign w:val="center"/>
                </w:tcPr>
                <w:p w14:paraId="647F1CE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15" w:type="pct"/>
                  <w:noWrap w:val="0"/>
                  <w:vAlign w:val="center"/>
                </w:tcPr>
                <w:p w14:paraId="09E14388">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45</w:t>
                  </w:r>
                </w:p>
              </w:tc>
              <w:tc>
                <w:tcPr>
                  <w:tcW w:w="975" w:type="pct"/>
                  <w:noWrap w:val="0"/>
                  <w:vAlign w:val="center"/>
                </w:tcPr>
                <w:p w14:paraId="6A4D8A1E">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25</w:t>
                  </w:r>
                </w:p>
              </w:tc>
              <w:tc>
                <w:tcPr>
                  <w:tcW w:w="865" w:type="pct"/>
                  <w:noWrap w:val="0"/>
                  <w:vAlign w:val="center"/>
                </w:tcPr>
                <w:p w14:paraId="54AEA105">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65</w:t>
                  </w:r>
                </w:p>
              </w:tc>
            </w:tr>
          </w:tbl>
          <w:p w14:paraId="13D9C545">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1"/>
                <w:szCs w:val="21"/>
                <w:lang w:val="en-US" w:eastAsia="zh-CN"/>
              </w:rPr>
              <w:t>注：①煤质活性炭执行该要求；②生物质活性炭执行该要求。</w:t>
            </w:r>
          </w:p>
          <w:p w14:paraId="1665F32C">
            <w:pPr>
              <w:pStyle w:val="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本项目使用</w:t>
            </w:r>
            <w:r>
              <w:rPr>
                <w:rFonts w:hint="eastAsia" w:ascii="Times New Roman" w:hAnsi="Times New Roman" w:cs="Times New Roman"/>
                <w:color w:val="auto"/>
                <w:sz w:val="24"/>
                <w:szCs w:val="24"/>
                <w:lang w:val="en-US" w:eastAsia="zh-CN"/>
              </w:rPr>
              <w:t>颗粒</w:t>
            </w:r>
            <w:r>
              <w:rPr>
                <w:rFonts w:hint="default" w:ascii="Times New Roman" w:hAnsi="Times New Roman" w:cs="Times New Roman"/>
                <w:color w:val="auto"/>
                <w:sz w:val="24"/>
                <w:szCs w:val="24"/>
                <w:highlight w:val="none"/>
              </w:rPr>
              <w:t>活性炭</w:t>
            </w:r>
            <w:r>
              <w:rPr>
                <w:rFonts w:hint="default" w:ascii="Times New Roman" w:hAnsi="Times New Roman" w:cs="Times New Roman"/>
                <w:color w:val="auto"/>
                <w:sz w:val="24"/>
                <w:szCs w:val="24"/>
              </w:rPr>
              <w:t>，经计算，活性炭吸附设备过风面积</w:t>
            </w:r>
            <w:r>
              <w:rPr>
                <w:rFonts w:hint="eastAsia" w:ascii="Times New Roman" w:hAnsi="Times New Roman" w:cs="Times New Roman"/>
                <w:color w:val="auto"/>
                <w:sz w:val="24"/>
                <w:szCs w:val="24"/>
                <w:lang w:val="en-US" w:eastAsia="zh-CN"/>
              </w:rPr>
              <w:t>约4.5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，过滤风速</w:t>
            </w:r>
            <w:r>
              <w:rPr>
                <w:rFonts w:hint="default" w:ascii="Times New Roman" w:hAnsi="Times New Roman" w:cs="Times New Roman"/>
                <w:color w:val="auto"/>
                <w:sz w:val="24"/>
                <w:szCs w:val="24"/>
                <w:lang w:val="en-US" w:eastAsia="zh-CN"/>
              </w:rPr>
              <w:t>约</w:t>
            </w:r>
            <w:r>
              <w:rPr>
                <w:rFonts w:hint="default" w:ascii="Times New Roman" w:hAnsi="Times New Roman" w:cs="Times New Roman"/>
                <w:color w:val="auto"/>
                <w:sz w:val="24"/>
                <w:szCs w:val="24"/>
              </w:rPr>
              <w:t>为</w:t>
            </w:r>
            <w:r>
              <w:rPr>
                <w:rFonts w:hint="eastAsia" w:ascii="Times New Roman" w:hAnsi="Times New Roman" w:cs="Times New Roman"/>
                <w:color w:val="auto"/>
                <w:sz w:val="24"/>
                <w:szCs w:val="24"/>
                <w:lang w:val="en-US" w:eastAsia="zh-CN"/>
              </w:rPr>
              <w:t>0.54</w:t>
            </w:r>
            <w:r>
              <w:rPr>
                <w:rFonts w:hint="default" w:ascii="Times New Roman" w:hAnsi="Times New Roman" w:cs="Times New Roman"/>
                <w:color w:val="auto"/>
                <w:sz w:val="24"/>
                <w:szCs w:val="24"/>
              </w:rPr>
              <w:t>m/s</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根据《省生态环境厅关于深入开展涉VOCs治理重点工作核查的通知》</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苏环办</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2022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218号</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，采用</w:t>
            </w:r>
            <w:r>
              <w:rPr>
                <w:rFonts w:hint="eastAsia" w:ascii="Times New Roman" w:hAnsi="Times New Roman" w:cs="Times New Roman"/>
                <w:color w:val="auto"/>
                <w:sz w:val="24"/>
                <w:szCs w:val="24"/>
                <w:lang w:val="en-US" w:eastAsia="zh-CN"/>
              </w:rPr>
              <w:t>颗粒</w:t>
            </w:r>
            <w:r>
              <w:rPr>
                <w:rFonts w:hint="default" w:ascii="Times New Roman" w:hAnsi="Times New Roman" w:cs="Times New Roman"/>
                <w:color w:val="auto"/>
                <w:sz w:val="24"/>
                <w:szCs w:val="24"/>
              </w:rPr>
              <w:t>活性炭时，气体流速宜低于</w:t>
            </w:r>
            <w:r>
              <w:rPr>
                <w:rFonts w:hint="eastAsia" w:ascii="Times New Roman" w:hAnsi="Times New Roman" w:cs="Times New Roman"/>
                <w:color w:val="auto"/>
                <w:sz w:val="24"/>
                <w:szCs w:val="24"/>
                <w:lang w:val="en-US" w:eastAsia="zh-CN"/>
              </w:rPr>
              <w:t>0.6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val="en-US" w:eastAsia="zh-CN"/>
              </w:rPr>
              <w:t>s。</w:t>
            </w:r>
            <w:r>
              <w:rPr>
                <w:rFonts w:hint="default" w:ascii="Times New Roman" w:hAnsi="Times New Roman" w:cs="Times New Roman"/>
                <w:color w:val="auto"/>
                <w:sz w:val="24"/>
                <w:szCs w:val="24"/>
              </w:rPr>
              <w:t>因此，本项目活性炭处理装置可以满足吸附要求。</w:t>
            </w:r>
          </w:p>
          <w:p w14:paraId="7123B3B2">
            <w:pPr>
              <w:adjustRightInd w:val="0"/>
              <w:snapToGrid w:val="0"/>
              <w:spacing w:line="500" w:lineRule="exact"/>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2）无组织废气</w:t>
            </w:r>
          </w:p>
          <w:p w14:paraId="7E39F2AD">
            <w:pPr>
              <w:adjustRightInd w:val="0"/>
              <w:snapToGrid w:val="0"/>
              <w:spacing w:line="5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未捕集废气：</w:t>
            </w:r>
            <w:r>
              <w:rPr>
                <w:rFonts w:hint="eastAsia" w:cs="Times New Roman"/>
                <w:color w:val="auto"/>
                <w:sz w:val="24"/>
                <w:highlight w:val="none"/>
                <w:lang w:val="en-US" w:eastAsia="zh-CN"/>
              </w:rPr>
              <w:t>未收集的</w:t>
            </w:r>
            <w:r>
              <w:rPr>
                <w:rFonts w:hint="eastAsia"/>
                <w:bCs/>
                <w:color w:val="auto"/>
                <w:sz w:val="24"/>
                <w:lang w:val="en-US" w:eastAsia="zh-CN"/>
              </w:rPr>
              <w:t>挤出</w:t>
            </w:r>
            <w:r>
              <w:rPr>
                <w:rFonts w:hint="eastAsia" w:ascii="Times New Roman" w:hAnsi="Times New Roman"/>
                <w:bCs/>
                <w:color w:val="auto"/>
                <w:sz w:val="24"/>
                <w:lang w:val="en-US" w:eastAsia="zh-CN"/>
              </w:rPr>
              <w:t>、</w:t>
            </w:r>
            <w:r>
              <w:rPr>
                <w:rFonts w:hint="eastAsia"/>
                <w:bCs/>
                <w:color w:val="auto"/>
                <w:sz w:val="24"/>
                <w:lang w:val="en-US" w:eastAsia="zh-CN"/>
              </w:rPr>
              <w:t>压塑</w:t>
            </w:r>
            <w:r>
              <w:rPr>
                <w:rFonts w:hint="eastAsia" w:cs="Times New Roman"/>
                <w:color w:val="auto"/>
                <w:sz w:val="24"/>
                <w:lang w:val="en-US" w:eastAsia="zh-CN"/>
              </w:rPr>
              <w:t>和</w:t>
            </w:r>
            <w:r>
              <w:rPr>
                <w:rFonts w:hint="eastAsia"/>
                <w:bCs/>
                <w:color w:val="auto"/>
                <w:sz w:val="24"/>
                <w:lang w:val="en-US" w:eastAsia="zh-CN"/>
              </w:rPr>
              <w:t>吹塑</w:t>
            </w:r>
            <w:r>
              <w:rPr>
                <w:rFonts w:hint="eastAsia" w:cs="Times New Roman"/>
                <w:color w:val="auto"/>
                <w:sz w:val="24"/>
                <w:lang w:val="en-US" w:eastAsia="zh-CN"/>
              </w:rPr>
              <w:t>废气</w:t>
            </w:r>
            <w:r>
              <w:rPr>
                <w:rFonts w:hint="eastAsia" w:cs="Times New Roman"/>
                <w:color w:val="auto"/>
                <w:sz w:val="24"/>
                <w:highlight w:val="none"/>
                <w:lang w:val="en-US" w:eastAsia="zh-CN"/>
              </w:rPr>
              <w:t>在车间无组织排放</w:t>
            </w:r>
            <w:r>
              <w:rPr>
                <w:rFonts w:hint="default" w:ascii="Times New Roman" w:hAnsi="Times New Roman" w:cs="Times New Roman"/>
                <w:color w:val="auto"/>
                <w:sz w:val="24"/>
                <w:highlight w:val="none"/>
              </w:rPr>
              <w:t>。</w:t>
            </w:r>
          </w:p>
          <w:p w14:paraId="1A56DE8A">
            <w:pPr>
              <w:adjustRightInd w:val="0"/>
              <w:snapToGrid w:val="0"/>
              <w:spacing w:line="5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通过采取以下措施减少废气无组织排放：尽量提高生产设施废气产生工段的密闭性，尽可能多</w:t>
            </w:r>
            <w:r>
              <w:rPr>
                <w:rFonts w:hint="eastAsia" w:cs="Times New Roman"/>
                <w:color w:val="FF0000"/>
                <w:sz w:val="24"/>
                <w:highlight w:val="none"/>
                <w:lang w:val="en-US" w:eastAsia="zh-CN"/>
              </w:rPr>
              <w:t>地</w:t>
            </w:r>
            <w:r>
              <w:rPr>
                <w:rFonts w:hint="default" w:ascii="Times New Roman" w:hAnsi="Times New Roman" w:cs="Times New Roman"/>
                <w:color w:val="auto"/>
                <w:sz w:val="24"/>
                <w:highlight w:val="none"/>
                <w:lang w:val="en-US" w:eastAsia="zh-CN"/>
              </w:rPr>
              <w:t>捕集产生的废气以减少无组织的产生量；选用高质量的设备和管件，提高安装质量，定期对设备进行检修维护，保证集气罩边缘控制点的控制风速达到设计要求。</w:t>
            </w:r>
          </w:p>
          <w:p w14:paraId="75905811">
            <w:pPr>
              <w:adjustRightInd w:val="0"/>
              <w:snapToGrid w:val="0"/>
              <w:spacing w:line="500" w:lineRule="exact"/>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3）技术可行性论证</w:t>
            </w:r>
          </w:p>
          <w:p w14:paraId="58C106DA">
            <w:pPr>
              <w:adjustRightInd w:val="0"/>
              <w:snapToGrid w:val="0"/>
              <w:spacing w:line="500" w:lineRule="exact"/>
              <w:ind w:firstLine="480" w:firstLineChars="200"/>
              <w:rPr>
                <w:rFonts w:hint="default" w:ascii="Times New Roman" w:hAnsi="Times New Roman" w:cs="Times New Roman"/>
                <w:bCs/>
                <w:color w:val="auto"/>
                <w:sz w:val="24"/>
                <w:szCs w:val="22"/>
              </w:rPr>
            </w:pPr>
            <w:r>
              <w:rPr>
                <w:rFonts w:hint="default" w:ascii="Times New Roman" w:hAnsi="Times New Roman" w:eastAsia="宋体" w:cs="Times New Roman"/>
                <w:color w:val="auto"/>
                <w:sz w:val="24"/>
                <w:szCs w:val="24"/>
                <w:lang w:val="en-US" w:eastAsia="zh-CN"/>
              </w:rPr>
              <w:t>参考《排污许可证申请与核发技术规范橡胶和塑料制品工业》（HJ1122—2020）中废气污染治理推荐可行技术清单，</w:t>
            </w:r>
            <w:r>
              <w:rPr>
                <w:rFonts w:hint="default" w:ascii="Times New Roman" w:hAnsi="Times New Roman" w:cs="Times New Roman"/>
                <w:color w:val="auto"/>
                <w:sz w:val="24"/>
                <w:highlight w:val="none"/>
                <w:lang w:val="en-US" w:eastAsia="zh-CN"/>
              </w:rPr>
              <w:t>挥发性有机物采用</w:t>
            </w:r>
            <w:r>
              <w:rPr>
                <w:rFonts w:hint="default" w:ascii="Times New Roman" w:hAnsi="Times New Roman" w:cs="Times New Roman"/>
                <w:color w:val="auto"/>
                <w:sz w:val="24"/>
                <w:lang w:val="en-US" w:eastAsia="zh-CN"/>
              </w:rPr>
              <w:t>活性炭吸附，为可行技术。因此</w:t>
            </w:r>
            <w:r>
              <w:rPr>
                <w:rFonts w:hint="default" w:ascii="Times New Roman" w:hAnsi="Times New Roman" w:cs="Times New Roman"/>
                <w:color w:val="auto"/>
                <w:sz w:val="24"/>
              </w:rPr>
              <w:t>，本项目拟采取的废气处理措施是可行的。</w:t>
            </w:r>
          </w:p>
        </w:tc>
      </w:tr>
    </w:tbl>
    <w:p w14:paraId="1BD8E5F3">
      <w:pPr>
        <w:pStyle w:val="22"/>
        <w:spacing w:before="0" w:beforeAutospacing="0" w:after="0" w:afterAutospacing="0"/>
        <w:jc w:val="center"/>
        <w:outlineLvl w:val="0"/>
        <w:rPr>
          <w:rFonts w:hint="default" w:ascii="Times New Roman" w:hAnsi="Times New Roman" w:eastAsia="黑体" w:cs="Times New Roman"/>
          <w:snapToGrid w:val="0"/>
          <w:color w:val="auto"/>
          <w:sz w:val="30"/>
          <w:szCs w:val="30"/>
        </w:rPr>
        <w:sectPr>
          <w:footerReference r:id="rId5"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bookmarkStart w:id="5" w:name="_Toc9211"/>
    </w:p>
    <w:tbl>
      <w:tblPr>
        <w:tblStyle w:val="28"/>
        <w:tblW w:w="13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175"/>
      </w:tblGrid>
      <w:tr w14:paraId="1C8B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8" w:hRule="atLeast"/>
          <w:jc w:val="center"/>
        </w:trPr>
        <w:tc>
          <w:tcPr>
            <w:tcW w:w="562" w:type="dxa"/>
            <w:vAlign w:val="center"/>
          </w:tcPr>
          <w:p w14:paraId="762C8494">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14:paraId="2BB6B070">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14:paraId="1BF76853">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14:paraId="18593C3E">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14:paraId="4C269AE0">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14:paraId="59D4E977">
            <w:pPr>
              <w:adjustRightInd w:val="0"/>
              <w:snapToGrid w:val="0"/>
              <w:jc w:val="center"/>
              <w:rPr>
                <w:rFonts w:hint="default" w:ascii="Times New Roman" w:hAnsi="Times New Roman" w:eastAsia="黑体" w:cs="Times New Roman"/>
                <w:snapToGrid w:val="0"/>
                <w:color w:val="auto"/>
                <w:sz w:val="30"/>
                <w:szCs w:val="30"/>
                <w:vertAlign w:val="baseline"/>
              </w:rPr>
            </w:pPr>
            <w:r>
              <w:rPr>
                <w:rFonts w:hint="default" w:ascii="Times New Roman" w:hAnsi="Times New Roman" w:cs="Times New Roman"/>
                <w:bCs/>
                <w:color w:val="auto"/>
                <w:sz w:val="24"/>
                <w:szCs w:val="24"/>
              </w:rPr>
              <w:t>措施</w:t>
            </w:r>
          </w:p>
        </w:tc>
        <w:tc>
          <w:tcPr>
            <w:tcW w:w="13175" w:type="dxa"/>
          </w:tcPr>
          <w:p w14:paraId="6733B8F2">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color w:val="auto"/>
                <w:sz w:val="24"/>
                <w:lang w:val="en-US"/>
              </w:rPr>
            </w:pPr>
            <w:r>
              <w:rPr>
                <w:rFonts w:hint="eastAsia" w:cs="Times New Roman"/>
                <w:b/>
                <w:bCs/>
                <w:color w:val="auto"/>
                <w:sz w:val="24"/>
                <w:lang w:val="en-US" w:eastAsia="zh-CN"/>
              </w:rPr>
              <w:t>3、</w:t>
            </w:r>
            <w:r>
              <w:rPr>
                <w:rFonts w:hint="default" w:ascii="Times New Roman" w:hAnsi="Times New Roman" w:eastAsia="宋体" w:cs="Times New Roman"/>
                <w:b/>
                <w:bCs/>
                <w:color w:val="auto"/>
                <w:sz w:val="24"/>
                <w:lang w:val="en-US" w:eastAsia="zh-CN"/>
              </w:rPr>
              <w:t>废气</w:t>
            </w:r>
            <w:r>
              <w:rPr>
                <w:rFonts w:hint="default" w:ascii="Times New Roman" w:hAnsi="Times New Roman" w:eastAsia="宋体" w:cs="Times New Roman"/>
                <w:b/>
                <w:bCs/>
                <w:color w:val="auto"/>
                <w:sz w:val="24"/>
              </w:rPr>
              <w:t>排放</w:t>
            </w:r>
            <w:r>
              <w:rPr>
                <w:rFonts w:hint="default" w:ascii="Times New Roman" w:hAnsi="Times New Roman" w:cs="Times New Roman"/>
                <w:b/>
                <w:bCs/>
                <w:color w:val="auto"/>
                <w:sz w:val="24"/>
                <w:lang w:val="en-US" w:eastAsia="zh-CN"/>
              </w:rPr>
              <w:t>情况及达标情况分析</w:t>
            </w:r>
          </w:p>
          <w:p w14:paraId="13C1C04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rPr>
              <w:t>表4-</w:t>
            </w:r>
            <w:r>
              <w:rPr>
                <w:rFonts w:hint="eastAsia" w:cs="Times New Roman"/>
                <w:b/>
                <w:bCs/>
                <w:color w:val="auto"/>
                <w:szCs w:val="21"/>
                <w:lang w:val="en-US" w:eastAsia="zh-CN"/>
              </w:rPr>
              <w:t>3</w:t>
            </w:r>
            <w:r>
              <w:rPr>
                <w:rFonts w:hint="eastAsia" w:cs="Times New Roman"/>
                <w:b/>
                <w:bCs/>
                <w:color w:val="auto"/>
                <w:szCs w:val="21"/>
                <w:lang w:eastAsia="zh-CN"/>
              </w:rPr>
              <w:t>本项目</w:t>
            </w:r>
            <w:r>
              <w:rPr>
                <w:rFonts w:hint="default" w:ascii="Times New Roman" w:hAnsi="Times New Roman" w:cs="Times New Roman"/>
                <w:b/>
                <w:bCs/>
                <w:color w:val="auto"/>
                <w:szCs w:val="21"/>
              </w:rPr>
              <w:t>有组织</w:t>
            </w:r>
            <w:r>
              <w:rPr>
                <w:rFonts w:hint="default" w:ascii="Times New Roman" w:hAnsi="Times New Roman" w:cs="Times New Roman"/>
                <w:b/>
                <w:bCs/>
                <w:color w:val="auto"/>
                <w:szCs w:val="21"/>
                <w:lang w:val="en-US" w:eastAsia="zh-CN"/>
              </w:rPr>
              <w:t>排放大气污染物源强</w:t>
            </w:r>
            <w:r>
              <w:rPr>
                <w:rFonts w:hint="default" w:ascii="Times New Roman" w:hAnsi="Times New Roman" w:cs="Times New Roman"/>
                <w:b/>
                <w:bCs/>
                <w:color w:val="auto"/>
                <w:szCs w:val="21"/>
              </w:rPr>
              <w:t>及排放</w:t>
            </w:r>
            <w:r>
              <w:rPr>
                <w:rFonts w:hint="default" w:ascii="Times New Roman" w:hAnsi="Times New Roman" w:cs="Times New Roman"/>
                <w:b/>
                <w:bCs/>
                <w:color w:val="auto"/>
                <w:szCs w:val="21"/>
                <w:lang w:val="en-US" w:eastAsia="zh-CN"/>
              </w:rPr>
              <w:t>状况表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902"/>
              <w:gridCol w:w="925"/>
              <w:gridCol w:w="866"/>
              <w:gridCol w:w="985"/>
              <w:gridCol w:w="938"/>
              <w:gridCol w:w="915"/>
              <w:gridCol w:w="993"/>
              <w:gridCol w:w="596"/>
              <w:gridCol w:w="736"/>
              <w:gridCol w:w="886"/>
              <w:gridCol w:w="1021"/>
              <w:gridCol w:w="1164"/>
              <w:gridCol w:w="1171"/>
              <w:gridCol w:w="856"/>
            </w:tblGrid>
            <w:tr w14:paraId="4DE6C0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48" w:type="pct"/>
                  <w:vMerge w:val="restart"/>
                  <w:vAlign w:val="center"/>
                </w:tcPr>
                <w:p w14:paraId="2DFD2556">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排气筒编号</w:t>
                  </w:r>
                </w:p>
              </w:tc>
              <w:tc>
                <w:tcPr>
                  <w:tcW w:w="357" w:type="pct"/>
                  <w:vMerge w:val="restart"/>
                  <w:vAlign w:val="center"/>
                </w:tcPr>
                <w:p w14:paraId="27DDB34C">
                  <w:pPr>
                    <w:pStyle w:val="21"/>
                    <w:spacing w:after="0" w:line="240" w:lineRule="auto"/>
                    <w:jc w:val="center"/>
                    <w:rPr>
                      <w:rFonts w:hint="default" w:ascii="Times New Roman" w:hAnsi="Times New Roman" w:cs="Times New Roman" w:eastAsiaTheme="minorEastAsia"/>
                      <w:b/>
                      <w:bCs/>
                      <w:color w:val="auto"/>
                      <w:szCs w:val="21"/>
                      <w:lang w:val="en-US" w:eastAsia="zh-CN"/>
                    </w:rPr>
                  </w:pPr>
                  <w:r>
                    <w:rPr>
                      <w:rFonts w:hint="default" w:ascii="Times New Roman" w:hAnsi="Times New Roman" w:cs="Times New Roman" w:eastAsiaTheme="minorEastAsia"/>
                      <w:b/>
                      <w:bCs/>
                      <w:color w:val="auto"/>
                      <w:szCs w:val="21"/>
                      <w:lang w:val="en-US" w:eastAsia="zh-CN"/>
                    </w:rPr>
                    <w:t>产污</w:t>
                  </w:r>
                </w:p>
                <w:p w14:paraId="4ED74535">
                  <w:pPr>
                    <w:pStyle w:val="21"/>
                    <w:spacing w:after="0" w:line="240" w:lineRule="auto"/>
                    <w:jc w:val="center"/>
                    <w:rPr>
                      <w:rFonts w:hint="default" w:ascii="Times New Roman" w:hAnsi="Times New Roman" w:cs="Times New Roman" w:eastAsiaTheme="minorEastAsia"/>
                      <w:b/>
                      <w:bCs/>
                      <w:color w:val="auto"/>
                      <w:szCs w:val="21"/>
                      <w:lang w:eastAsia="zh-CN"/>
                    </w:rPr>
                  </w:pPr>
                  <w:r>
                    <w:rPr>
                      <w:rFonts w:hint="default" w:ascii="Times New Roman" w:hAnsi="Times New Roman" w:cs="Times New Roman" w:eastAsiaTheme="minorEastAsia"/>
                      <w:b/>
                      <w:bCs/>
                      <w:color w:val="auto"/>
                      <w:szCs w:val="21"/>
                      <w:lang w:val="en-US" w:eastAsia="zh-CN"/>
                    </w:rPr>
                    <w:t>环节</w:t>
                  </w:r>
                </w:p>
              </w:tc>
              <w:tc>
                <w:tcPr>
                  <w:tcW w:w="334" w:type="pct"/>
                  <w:vMerge w:val="restart"/>
                  <w:vAlign w:val="center"/>
                </w:tcPr>
                <w:p w14:paraId="0C8EAF0A">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污染物名称</w:t>
                  </w:r>
                </w:p>
              </w:tc>
              <w:tc>
                <w:tcPr>
                  <w:tcW w:w="1095" w:type="pct"/>
                  <w:gridSpan w:val="3"/>
                  <w:vAlign w:val="center"/>
                </w:tcPr>
                <w:p w14:paraId="702BC2BB">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产生状况</w:t>
                  </w:r>
                </w:p>
              </w:tc>
              <w:tc>
                <w:tcPr>
                  <w:tcW w:w="1239" w:type="pct"/>
                  <w:gridSpan w:val="4"/>
                  <w:vAlign w:val="center"/>
                </w:tcPr>
                <w:p w14:paraId="742E11DC">
                  <w:pPr>
                    <w:pStyle w:val="21"/>
                    <w:spacing w:after="0" w:line="240" w:lineRule="auto"/>
                    <w:jc w:val="center"/>
                    <w:rPr>
                      <w:rFonts w:hint="default" w:ascii="Times New Roman" w:hAnsi="Times New Roman" w:cs="Times New Roman" w:eastAsiaTheme="minorEastAsia"/>
                      <w:b/>
                      <w:bCs/>
                      <w:color w:val="auto"/>
                      <w:szCs w:val="21"/>
                      <w:lang w:val="en-US" w:eastAsia="zh-CN"/>
                    </w:rPr>
                  </w:pPr>
                  <w:r>
                    <w:rPr>
                      <w:rFonts w:hint="default" w:ascii="Times New Roman" w:hAnsi="Times New Roman" w:cs="Times New Roman" w:eastAsiaTheme="minorEastAsia"/>
                      <w:b/>
                      <w:bCs/>
                      <w:color w:val="auto"/>
                      <w:szCs w:val="21"/>
                      <w:lang w:val="en-US" w:eastAsia="zh-CN"/>
                    </w:rPr>
                    <w:t>污染防治措施</w:t>
                  </w:r>
                </w:p>
              </w:tc>
              <w:tc>
                <w:tcPr>
                  <w:tcW w:w="1295" w:type="pct"/>
                  <w:gridSpan w:val="3"/>
                  <w:vAlign w:val="center"/>
                </w:tcPr>
                <w:p w14:paraId="26497F64">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排放状况</w:t>
                  </w:r>
                </w:p>
              </w:tc>
              <w:tc>
                <w:tcPr>
                  <w:tcW w:w="330" w:type="pct"/>
                  <w:vMerge w:val="restart"/>
                  <w:vAlign w:val="center"/>
                </w:tcPr>
                <w:p w14:paraId="3B5C1DCD">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排放</w:t>
                  </w:r>
                </w:p>
                <w:p w14:paraId="2E93BACF">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方式</w:t>
                  </w:r>
                </w:p>
              </w:tc>
            </w:tr>
            <w:tr w14:paraId="29F708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348" w:type="pct"/>
                  <w:vMerge w:val="continue"/>
                  <w:tcBorders>
                    <w:bottom w:val="single" w:color="auto" w:sz="4" w:space="0"/>
                  </w:tcBorders>
                  <w:vAlign w:val="center"/>
                </w:tcPr>
                <w:p w14:paraId="581EAA1A">
                  <w:pPr>
                    <w:pStyle w:val="21"/>
                    <w:spacing w:after="0" w:line="240" w:lineRule="auto"/>
                    <w:jc w:val="center"/>
                    <w:rPr>
                      <w:rFonts w:hint="default" w:ascii="Times New Roman" w:hAnsi="Times New Roman" w:cs="Times New Roman" w:eastAsiaTheme="minorEastAsia"/>
                      <w:color w:val="auto"/>
                      <w:szCs w:val="21"/>
                    </w:rPr>
                  </w:pPr>
                </w:p>
              </w:tc>
              <w:tc>
                <w:tcPr>
                  <w:tcW w:w="357" w:type="pct"/>
                  <w:vMerge w:val="continue"/>
                  <w:tcBorders>
                    <w:bottom w:val="single" w:color="auto" w:sz="4" w:space="0"/>
                  </w:tcBorders>
                  <w:vAlign w:val="center"/>
                </w:tcPr>
                <w:p w14:paraId="4B7A83C6">
                  <w:pPr>
                    <w:pStyle w:val="21"/>
                    <w:spacing w:after="0" w:line="240" w:lineRule="auto"/>
                    <w:jc w:val="center"/>
                    <w:rPr>
                      <w:rFonts w:hint="default" w:ascii="Times New Roman" w:hAnsi="Times New Roman" w:cs="Times New Roman" w:eastAsiaTheme="minorEastAsia"/>
                      <w:color w:val="auto"/>
                      <w:szCs w:val="21"/>
                    </w:rPr>
                  </w:pPr>
                </w:p>
              </w:tc>
              <w:tc>
                <w:tcPr>
                  <w:tcW w:w="334" w:type="pct"/>
                  <w:vMerge w:val="continue"/>
                  <w:tcBorders>
                    <w:bottom w:val="single" w:color="auto" w:sz="4" w:space="0"/>
                  </w:tcBorders>
                  <w:vAlign w:val="center"/>
                </w:tcPr>
                <w:p w14:paraId="5718FD89">
                  <w:pPr>
                    <w:pStyle w:val="21"/>
                    <w:spacing w:after="0" w:line="240" w:lineRule="auto"/>
                    <w:jc w:val="center"/>
                    <w:rPr>
                      <w:rFonts w:hint="default" w:ascii="Times New Roman" w:hAnsi="Times New Roman" w:cs="Times New Roman" w:eastAsiaTheme="minorEastAsia"/>
                      <w:color w:val="auto"/>
                      <w:szCs w:val="21"/>
                    </w:rPr>
                  </w:pPr>
                </w:p>
              </w:tc>
              <w:tc>
                <w:tcPr>
                  <w:tcW w:w="380" w:type="pct"/>
                  <w:tcBorders>
                    <w:bottom w:val="single" w:color="auto" w:sz="4" w:space="0"/>
                  </w:tcBorders>
                  <w:vAlign w:val="center"/>
                </w:tcPr>
                <w:p w14:paraId="6CEF94FC">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浓度</w:t>
                  </w:r>
                </w:p>
                <w:p w14:paraId="6D48FC11">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(mg/m</w:t>
                  </w:r>
                  <w:r>
                    <w:rPr>
                      <w:rFonts w:hint="default" w:ascii="Times New Roman" w:hAnsi="Times New Roman" w:cs="Times New Roman" w:eastAsiaTheme="minorEastAsia"/>
                      <w:b/>
                      <w:bCs/>
                      <w:color w:val="auto"/>
                      <w:szCs w:val="21"/>
                      <w:vertAlign w:val="superscript"/>
                    </w:rPr>
                    <w:t>3</w:t>
                  </w:r>
                  <w:r>
                    <w:rPr>
                      <w:rFonts w:hint="default" w:ascii="Times New Roman" w:hAnsi="Times New Roman" w:cs="Times New Roman" w:eastAsiaTheme="minorEastAsia"/>
                      <w:b/>
                      <w:bCs/>
                      <w:color w:val="auto"/>
                      <w:szCs w:val="21"/>
                    </w:rPr>
                    <w:t>)</w:t>
                  </w:r>
                </w:p>
              </w:tc>
              <w:tc>
                <w:tcPr>
                  <w:tcW w:w="362" w:type="pct"/>
                  <w:tcBorders>
                    <w:bottom w:val="single" w:color="auto" w:sz="4" w:space="0"/>
                  </w:tcBorders>
                  <w:vAlign w:val="center"/>
                </w:tcPr>
                <w:p w14:paraId="27C4BC7A">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速率</w:t>
                  </w:r>
                </w:p>
                <w:p w14:paraId="7F479272">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(kg/h)</w:t>
                  </w:r>
                </w:p>
              </w:tc>
              <w:tc>
                <w:tcPr>
                  <w:tcW w:w="353" w:type="pct"/>
                  <w:tcBorders>
                    <w:bottom w:val="single" w:color="auto" w:sz="4" w:space="0"/>
                  </w:tcBorders>
                  <w:vAlign w:val="center"/>
                </w:tcPr>
                <w:p w14:paraId="2723EBB8">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产生量</w:t>
                  </w:r>
                </w:p>
                <w:p w14:paraId="440530AE">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(t/a)</w:t>
                  </w:r>
                </w:p>
              </w:tc>
              <w:tc>
                <w:tcPr>
                  <w:tcW w:w="383" w:type="pct"/>
                  <w:tcBorders>
                    <w:bottom w:val="single" w:color="auto" w:sz="4" w:space="0"/>
                  </w:tcBorders>
                  <w:vAlign w:val="center"/>
                </w:tcPr>
                <w:p w14:paraId="3045762D">
                  <w:pPr>
                    <w:pStyle w:val="21"/>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Cs w:val="21"/>
                      <w:lang w:val="en-US" w:eastAsia="zh-CN"/>
                    </w:rPr>
                    <w:t>设施工艺</w:t>
                  </w:r>
                </w:p>
              </w:tc>
              <w:tc>
                <w:tcPr>
                  <w:tcW w:w="230" w:type="pct"/>
                  <w:tcBorders>
                    <w:bottom w:val="single" w:color="auto" w:sz="4" w:space="0"/>
                  </w:tcBorders>
                  <w:vAlign w:val="center"/>
                </w:tcPr>
                <w:p w14:paraId="5139BDD8">
                  <w:pPr>
                    <w:pStyle w:val="21"/>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Cs w:val="21"/>
                    </w:rPr>
                    <w:t>去除</w:t>
                  </w:r>
                  <w:r>
                    <w:rPr>
                      <w:rFonts w:hint="default" w:ascii="Times New Roman" w:hAnsi="Times New Roman" w:cs="Times New Roman" w:eastAsiaTheme="minorEastAsia"/>
                      <w:b/>
                      <w:bCs/>
                      <w:color w:val="auto"/>
                      <w:szCs w:val="21"/>
                      <w:lang w:val="en-US" w:eastAsia="zh-CN"/>
                    </w:rPr>
                    <w:t>效</w:t>
                  </w:r>
                  <w:r>
                    <w:rPr>
                      <w:rFonts w:hint="default" w:ascii="Times New Roman" w:hAnsi="Times New Roman" w:cs="Times New Roman" w:eastAsiaTheme="minorEastAsia"/>
                      <w:b/>
                      <w:bCs/>
                      <w:color w:val="auto"/>
                      <w:szCs w:val="21"/>
                    </w:rPr>
                    <w:t>率(%)</w:t>
                  </w:r>
                </w:p>
              </w:tc>
              <w:tc>
                <w:tcPr>
                  <w:tcW w:w="284" w:type="pct"/>
                  <w:tcBorders>
                    <w:bottom w:val="single" w:color="auto" w:sz="4" w:space="0"/>
                  </w:tcBorders>
                  <w:vAlign w:val="center"/>
                </w:tcPr>
                <w:p w14:paraId="0E409D51">
                  <w:pPr>
                    <w:pStyle w:val="21"/>
                    <w:spacing w:after="0" w:line="240" w:lineRule="auto"/>
                    <w:jc w:val="center"/>
                    <w:rPr>
                      <w:rFonts w:hint="default" w:ascii="Times New Roman" w:hAnsi="Times New Roman" w:cs="Times New Roman" w:eastAsiaTheme="minorEastAsia"/>
                      <w:b/>
                      <w:bCs/>
                      <w:color w:val="auto"/>
                      <w:szCs w:val="21"/>
                      <w:lang w:val="en-US" w:eastAsia="zh-CN"/>
                    </w:rPr>
                  </w:pPr>
                  <w:r>
                    <w:rPr>
                      <w:rFonts w:hint="default" w:ascii="Times New Roman" w:hAnsi="Times New Roman" w:cs="Times New Roman" w:eastAsiaTheme="minorEastAsia"/>
                      <w:b/>
                      <w:bCs/>
                      <w:color w:val="auto"/>
                      <w:szCs w:val="21"/>
                      <w:lang w:val="en-US" w:eastAsia="zh-CN"/>
                    </w:rPr>
                    <w:t>处理</w:t>
                  </w:r>
                </w:p>
                <w:p w14:paraId="39954ACC">
                  <w:pPr>
                    <w:pStyle w:val="21"/>
                    <w:spacing w:after="0" w:line="240" w:lineRule="auto"/>
                    <w:jc w:val="center"/>
                    <w:rPr>
                      <w:rFonts w:hint="default" w:ascii="Times New Roman" w:hAnsi="Times New Roman" w:cs="Times New Roman" w:eastAsiaTheme="minorEastAsia"/>
                      <w:b/>
                      <w:bCs/>
                      <w:color w:val="auto"/>
                      <w:szCs w:val="21"/>
                      <w:lang w:eastAsia="zh-CN"/>
                    </w:rPr>
                  </w:pPr>
                  <w:r>
                    <w:rPr>
                      <w:rFonts w:hint="default" w:ascii="Times New Roman" w:hAnsi="Times New Roman" w:cs="Times New Roman" w:eastAsiaTheme="minorEastAsia"/>
                      <w:b/>
                      <w:bCs/>
                      <w:color w:val="auto"/>
                      <w:szCs w:val="21"/>
                      <w:lang w:val="en-US" w:eastAsia="zh-CN"/>
                    </w:rPr>
                    <w:t>能力</w:t>
                  </w:r>
                </w:p>
                <w:p w14:paraId="4A18A2A7">
                  <w:pPr>
                    <w:pStyle w:val="21"/>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Cs w:val="21"/>
                    </w:rPr>
                    <w:t>(m</w:t>
                  </w:r>
                  <w:r>
                    <w:rPr>
                      <w:rFonts w:hint="default" w:ascii="Times New Roman" w:hAnsi="Times New Roman" w:cs="Times New Roman" w:eastAsiaTheme="minorEastAsia"/>
                      <w:b/>
                      <w:bCs/>
                      <w:color w:val="auto"/>
                      <w:szCs w:val="21"/>
                      <w:vertAlign w:val="superscript"/>
                    </w:rPr>
                    <w:t>3</w:t>
                  </w:r>
                  <w:r>
                    <w:rPr>
                      <w:rFonts w:hint="default" w:ascii="Times New Roman" w:hAnsi="Times New Roman" w:cs="Times New Roman" w:eastAsiaTheme="minorEastAsia"/>
                      <w:b/>
                      <w:bCs/>
                      <w:color w:val="auto"/>
                      <w:szCs w:val="21"/>
                    </w:rPr>
                    <w:t>/h)</w:t>
                  </w:r>
                </w:p>
              </w:tc>
              <w:tc>
                <w:tcPr>
                  <w:tcW w:w="341" w:type="pct"/>
                  <w:tcBorders>
                    <w:bottom w:val="single" w:color="auto" w:sz="4" w:space="0"/>
                  </w:tcBorders>
                  <w:vAlign w:val="center"/>
                </w:tcPr>
                <w:p w14:paraId="6905BE48">
                  <w:pPr>
                    <w:pStyle w:val="21"/>
                    <w:spacing w:after="0" w:line="240" w:lineRule="auto"/>
                    <w:jc w:val="center"/>
                    <w:rPr>
                      <w:rFonts w:hint="default" w:ascii="Times New Roman" w:hAnsi="Times New Roman" w:cs="Times New Roman" w:eastAsiaTheme="minorEastAsia"/>
                      <w:b/>
                      <w:bCs/>
                      <w:color w:val="auto"/>
                      <w:szCs w:val="21"/>
                      <w:lang w:val="en-US" w:eastAsia="zh-CN"/>
                    </w:rPr>
                  </w:pPr>
                  <w:r>
                    <w:rPr>
                      <w:rFonts w:hint="default" w:ascii="Times New Roman" w:hAnsi="Times New Roman" w:cs="Times New Roman" w:eastAsiaTheme="minorEastAsia"/>
                      <w:b/>
                      <w:bCs/>
                      <w:color w:val="auto"/>
                      <w:szCs w:val="21"/>
                      <w:lang w:val="en-US" w:eastAsia="zh-CN"/>
                    </w:rPr>
                    <w:t>是否为可行技术</w:t>
                  </w:r>
                </w:p>
              </w:tc>
              <w:tc>
                <w:tcPr>
                  <w:tcW w:w="394" w:type="pct"/>
                  <w:tcBorders>
                    <w:bottom w:val="single" w:color="auto" w:sz="4" w:space="0"/>
                  </w:tcBorders>
                  <w:vAlign w:val="center"/>
                </w:tcPr>
                <w:p w14:paraId="7016EF4D">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浓度</w:t>
                  </w:r>
                </w:p>
                <w:p w14:paraId="1B6AC713">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(mg/m</w:t>
                  </w:r>
                  <w:r>
                    <w:rPr>
                      <w:rFonts w:hint="default" w:ascii="Times New Roman" w:hAnsi="Times New Roman" w:cs="Times New Roman" w:eastAsiaTheme="minorEastAsia"/>
                      <w:b/>
                      <w:bCs/>
                      <w:color w:val="auto"/>
                      <w:szCs w:val="21"/>
                      <w:vertAlign w:val="superscript"/>
                    </w:rPr>
                    <w:t>3</w:t>
                  </w:r>
                  <w:r>
                    <w:rPr>
                      <w:rFonts w:hint="default" w:ascii="Times New Roman" w:hAnsi="Times New Roman" w:cs="Times New Roman" w:eastAsiaTheme="minorEastAsia"/>
                      <w:b/>
                      <w:bCs/>
                      <w:color w:val="auto"/>
                      <w:szCs w:val="21"/>
                    </w:rPr>
                    <w:t>)</w:t>
                  </w:r>
                </w:p>
              </w:tc>
              <w:tc>
                <w:tcPr>
                  <w:tcW w:w="449" w:type="pct"/>
                  <w:tcBorders>
                    <w:bottom w:val="single" w:color="auto" w:sz="4" w:space="0"/>
                  </w:tcBorders>
                  <w:vAlign w:val="center"/>
                </w:tcPr>
                <w:p w14:paraId="59E94B37">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速率</w:t>
                  </w:r>
                </w:p>
                <w:p w14:paraId="1262060A">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(kg/h)</w:t>
                  </w:r>
                </w:p>
              </w:tc>
              <w:tc>
                <w:tcPr>
                  <w:tcW w:w="451" w:type="pct"/>
                  <w:tcBorders>
                    <w:bottom w:val="single" w:color="auto" w:sz="4" w:space="0"/>
                  </w:tcBorders>
                  <w:vAlign w:val="center"/>
                </w:tcPr>
                <w:p w14:paraId="4F74E7BB">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排放量</w:t>
                  </w:r>
                </w:p>
                <w:p w14:paraId="10ADFB64">
                  <w:pPr>
                    <w:pStyle w:val="21"/>
                    <w:spacing w:after="0" w:line="240" w:lineRule="auto"/>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(t/a)</w:t>
                  </w:r>
                </w:p>
              </w:tc>
              <w:tc>
                <w:tcPr>
                  <w:tcW w:w="330" w:type="pct"/>
                  <w:vMerge w:val="continue"/>
                  <w:tcBorders>
                    <w:bottom w:val="single" w:color="auto" w:sz="4" w:space="0"/>
                  </w:tcBorders>
                  <w:vAlign w:val="center"/>
                </w:tcPr>
                <w:p w14:paraId="7BEBB06A">
                  <w:pPr>
                    <w:pStyle w:val="21"/>
                    <w:spacing w:after="0" w:line="240" w:lineRule="auto"/>
                    <w:jc w:val="center"/>
                    <w:rPr>
                      <w:rFonts w:hint="default" w:ascii="Times New Roman" w:hAnsi="Times New Roman" w:cs="Times New Roman" w:eastAsiaTheme="minorEastAsia"/>
                      <w:color w:val="auto"/>
                      <w:szCs w:val="21"/>
                    </w:rPr>
                  </w:pPr>
                </w:p>
              </w:tc>
            </w:tr>
            <w:tr w14:paraId="7B6BFE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48" w:type="pct"/>
                  <w:vAlign w:val="center"/>
                </w:tcPr>
                <w:p w14:paraId="28BF3C7A">
                  <w:pPr>
                    <w:pStyle w:val="21"/>
                    <w:spacing w:after="0" w:line="240" w:lineRule="auto"/>
                    <w:jc w:val="center"/>
                    <w:rPr>
                      <w:rFonts w:hint="default" w:ascii="Times New Roman" w:hAnsi="Times New Roman" w:cs="Times New Roman" w:eastAsiaTheme="minorEastAsia"/>
                      <w:bCs/>
                      <w:color w:val="auto"/>
                      <w:szCs w:val="22"/>
                      <w:lang w:val="en-US" w:eastAsia="zh-CN"/>
                    </w:rPr>
                  </w:pPr>
                  <w:r>
                    <w:rPr>
                      <w:rFonts w:hint="default" w:ascii="Times New Roman" w:hAnsi="Times New Roman" w:cs="Times New Roman" w:eastAsiaTheme="minorEastAsia"/>
                      <w:bCs/>
                      <w:color w:val="auto"/>
                      <w:szCs w:val="22"/>
                      <w:lang w:val="en-US" w:eastAsia="zh-CN"/>
                    </w:rPr>
                    <w:t>DA00</w:t>
                  </w:r>
                  <w:r>
                    <w:rPr>
                      <w:rFonts w:hint="eastAsia" w:cs="Times New Roman" w:eastAsiaTheme="minorEastAsia"/>
                      <w:bCs/>
                      <w:color w:val="auto"/>
                      <w:szCs w:val="22"/>
                      <w:lang w:val="en-US" w:eastAsia="zh-CN"/>
                    </w:rPr>
                    <w:t>1</w:t>
                  </w:r>
                </w:p>
              </w:tc>
              <w:tc>
                <w:tcPr>
                  <w:tcW w:w="357" w:type="pct"/>
                  <w:vAlign w:val="center"/>
                </w:tcPr>
                <w:p w14:paraId="79380EBA">
                  <w:pPr>
                    <w:pStyle w:val="21"/>
                    <w:spacing w:after="0" w:line="240" w:lineRule="auto"/>
                    <w:jc w:val="center"/>
                    <w:rPr>
                      <w:rFonts w:hint="eastAsia" w:cs="Times New Roman" w:eastAsiaTheme="minorEastAsia"/>
                      <w:bCs/>
                      <w:color w:val="auto"/>
                      <w:sz w:val="21"/>
                      <w:szCs w:val="21"/>
                      <w:lang w:val="en-US" w:eastAsia="zh-CN"/>
                    </w:rPr>
                  </w:pPr>
                  <w:r>
                    <w:rPr>
                      <w:rFonts w:hint="eastAsia"/>
                      <w:bCs/>
                      <w:color w:val="auto"/>
                      <w:sz w:val="21"/>
                      <w:szCs w:val="21"/>
                      <w:lang w:val="en-US" w:eastAsia="zh-CN"/>
                    </w:rPr>
                    <w:t>挤出</w:t>
                  </w:r>
                  <w:r>
                    <w:rPr>
                      <w:rFonts w:hint="eastAsia" w:ascii="Times New Roman" w:hAnsi="Times New Roman"/>
                      <w:bCs/>
                      <w:color w:val="auto"/>
                      <w:sz w:val="21"/>
                      <w:szCs w:val="21"/>
                      <w:lang w:val="en-US" w:eastAsia="zh-CN"/>
                    </w:rPr>
                    <w:t>、</w:t>
                  </w:r>
                  <w:r>
                    <w:rPr>
                      <w:rFonts w:hint="eastAsia"/>
                      <w:bCs/>
                      <w:color w:val="auto"/>
                      <w:sz w:val="21"/>
                      <w:szCs w:val="21"/>
                      <w:lang w:val="en-US" w:eastAsia="zh-CN"/>
                    </w:rPr>
                    <w:t>压塑</w:t>
                  </w:r>
                  <w:r>
                    <w:rPr>
                      <w:rFonts w:hint="eastAsia" w:cs="Times New Roman"/>
                      <w:color w:val="auto"/>
                      <w:sz w:val="21"/>
                      <w:szCs w:val="21"/>
                      <w:lang w:val="en-US" w:eastAsia="zh-CN"/>
                    </w:rPr>
                    <w:t>和</w:t>
                  </w:r>
                  <w:r>
                    <w:rPr>
                      <w:rFonts w:hint="eastAsia"/>
                      <w:bCs/>
                      <w:color w:val="auto"/>
                      <w:sz w:val="21"/>
                      <w:szCs w:val="21"/>
                      <w:lang w:val="en-US" w:eastAsia="zh-CN"/>
                    </w:rPr>
                    <w:t>吹塑</w:t>
                  </w:r>
                </w:p>
              </w:tc>
              <w:tc>
                <w:tcPr>
                  <w:tcW w:w="334" w:type="pct"/>
                  <w:vAlign w:val="center"/>
                </w:tcPr>
                <w:p w14:paraId="2634D39F">
                  <w:pPr>
                    <w:pStyle w:val="21"/>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非甲烷总烃</w:t>
                  </w:r>
                </w:p>
              </w:tc>
              <w:tc>
                <w:tcPr>
                  <w:tcW w:w="380" w:type="pct"/>
                  <w:vAlign w:val="center"/>
                </w:tcPr>
                <w:p w14:paraId="64A67C25">
                  <w:pPr>
                    <w:pStyle w:val="21"/>
                    <w:spacing w:after="0" w:line="240" w:lineRule="auto"/>
                    <w:jc w:val="center"/>
                    <w:rPr>
                      <w:rFonts w:hint="default" w:cs="Times New Roman" w:eastAsiaTheme="minorEastAsia"/>
                      <w:bCs/>
                      <w:color w:val="auto"/>
                      <w:szCs w:val="22"/>
                      <w:lang w:val="en-US" w:eastAsia="zh-CN"/>
                    </w:rPr>
                  </w:pPr>
                  <w:r>
                    <w:rPr>
                      <w:rFonts w:hint="eastAsia" w:cs="Times New Roman" w:eastAsiaTheme="minorEastAsia"/>
                      <w:bCs/>
                      <w:color w:val="auto"/>
                      <w:szCs w:val="22"/>
                      <w:lang w:val="en-US" w:eastAsia="zh-CN"/>
                    </w:rPr>
                    <w:t>14.51</w:t>
                  </w:r>
                </w:p>
              </w:tc>
              <w:tc>
                <w:tcPr>
                  <w:tcW w:w="362" w:type="pct"/>
                  <w:vAlign w:val="center"/>
                </w:tcPr>
                <w:p w14:paraId="4091EA74">
                  <w:pPr>
                    <w:pStyle w:val="21"/>
                    <w:spacing w:after="0" w:line="240" w:lineRule="auto"/>
                    <w:jc w:val="center"/>
                    <w:rPr>
                      <w:rFonts w:hint="default" w:cs="Times New Roman" w:eastAsiaTheme="minorEastAsia"/>
                      <w:bCs/>
                      <w:color w:val="auto"/>
                      <w:kern w:val="2"/>
                      <w:sz w:val="21"/>
                      <w:szCs w:val="22"/>
                      <w:lang w:val="en-US" w:eastAsia="zh-CN" w:bidi="ar-SA"/>
                    </w:rPr>
                  </w:pPr>
                  <w:r>
                    <w:rPr>
                      <w:rFonts w:hint="eastAsia" w:cs="Times New Roman" w:eastAsiaTheme="minorEastAsia"/>
                      <w:bCs/>
                      <w:color w:val="auto"/>
                      <w:kern w:val="2"/>
                      <w:sz w:val="21"/>
                      <w:szCs w:val="22"/>
                      <w:lang w:val="en-US" w:eastAsia="zh-CN" w:bidi="ar-SA"/>
                    </w:rPr>
                    <w:t>0.174</w:t>
                  </w:r>
                </w:p>
              </w:tc>
              <w:tc>
                <w:tcPr>
                  <w:tcW w:w="353" w:type="pct"/>
                  <w:vAlign w:val="center"/>
                </w:tcPr>
                <w:p w14:paraId="44FD02DF">
                  <w:pPr>
                    <w:pStyle w:val="21"/>
                    <w:spacing w:after="0" w:line="240" w:lineRule="auto"/>
                    <w:jc w:val="center"/>
                    <w:rPr>
                      <w:rFonts w:hint="default" w:cs="Times New Roman" w:eastAsiaTheme="minorEastAsia"/>
                      <w:bCs/>
                      <w:color w:val="auto"/>
                      <w:kern w:val="2"/>
                      <w:sz w:val="21"/>
                      <w:szCs w:val="22"/>
                      <w:lang w:val="en-US" w:eastAsia="zh-CN" w:bidi="ar-SA"/>
                    </w:rPr>
                  </w:pPr>
                  <w:r>
                    <w:rPr>
                      <w:rFonts w:hint="eastAsia" w:cs="Times New Roman" w:eastAsiaTheme="minorEastAsia"/>
                      <w:bCs/>
                      <w:color w:val="auto"/>
                      <w:kern w:val="2"/>
                      <w:sz w:val="21"/>
                      <w:szCs w:val="22"/>
                      <w:lang w:val="en-US" w:eastAsia="zh-CN" w:bidi="ar-SA"/>
                    </w:rPr>
                    <w:t>0.418</w:t>
                  </w:r>
                </w:p>
              </w:tc>
              <w:tc>
                <w:tcPr>
                  <w:tcW w:w="383" w:type="pct"/>
                  <w:vAlign w:val="center"/>
                </w:tcPr>
                <w:p w14:paraId="39A53D62">
                  <w:pPr>
                    <w:pStyle w:val="21"/>
                    <w:spacing w:after="0" w:line="240" w:lineRule="auto"/>
                    <w:jc w:val="center"/>
                    <w:rPr>
                      <w:rFonts w:hint="default" w:ascii="Times New Roman" w:hAnsi="Times New Roman" w:cs="Times New Roman" w:eastAsiaTheme="minorEastAsia"/>
                      <w:bCs/>
                      <w:color w:val="auto"/>
                      <w:szCs w:val="22"/>
                      <w:lang w:val="en-US" w:eastAsia="zh-CN"/>
                    </w:rPr>
                  </w:pPr>
                  <w:r>
                    <w:rPr>
                      <w:rFonts w:hint="default" w:ascii="Times New Roman" w:hAnsi="Times New Roman" w:cs="Times New Roman" w:eastAsiaTheme="minorEastAsia"/>
                      <w:bCs/>
                      <w:color w:val="auto"/>
                      <w:szCs w:val="22"/>
                      <w:lang w:val="en-US" w:eastAsia="zh-CN"/>
                    </w:rPr>
                    <w:t>二级活性炭吸附</w:t>
                  </w:r>
                </w:p>
              </w:tc>
              <w:tc>
                <w:tcPr>
                  <w:tcW w:w="230" w:type="pct"/>
                  <w:vAlign w:val="center"/>
                </w:tcPr>
                <w:p w14:paraId="1DB3D168">
                  <w:pPr>
                    <w:pStyle w:val="21"/>
                    <w:spacing w:after="0" w:line="240" w:lineRule="auto"/>
                    <w:jc w:val="center"/>
                    <w:rPr>
                      <w:rFonts w:hint="default" w:cs="Times New Roman" w:eastAsiaTheme="minorEastAsia"/>
                      <w:bCs/>
                      <w:color w:val="auto"/>
                      <w:szCs w:val="22"/>
                      <w:lang w:val="en-US" w:eastAsia="zh-CN"/>
                    </w:rPr>
                  </w:pPr>
                  <w:r>
                    <w:rPr>
                      <w:rFonts w:hint="eastAsia" w:cs="Times New Roman" w:eastAsiaTheme="minorEastAsia"/>
                      <w:bCs/>
                      <w:color w:val="auto"/>
                      <w:szCs w:val="22"/>
                      <w:lang w:val="en-US" w:eastAsia="zh-CN"/>
                    </w:rPr>
                    <w:t>90</w:t>
                  </w:r>
                </w:p>
              </w:tc>
              <w:tc>
                <w:tcPr>
                  <w:tcW w:w="284" w:type="pct"/>
                  <w:vAlign w:val="center"/>
                </w:tcPr>
                <w:p w14:paraId="0B777B23">
                  <w:pPr>
                    <w:pStyle w:val="21"/>
                    <w:spacing w:after="0" w:line="240" w:lineRule="auto"/>
                    <w:jc w:val="center"/>
                    <w:rPr>
                      <w:rFonts w:hint="default" w:cs="Times New Roman" w:eastAsiaTheme="minorEastAsia"/>
                      <w:bCs/>
                      <w:color w:val="auto"/>
                      <w:szCs w:val="22"/>
                      <w:lang w:val="en-US" w:eastAsia="zh-CN"/>
                    </w:rPr>
                  </w:pPr>
                  <w:r>
                    <w:rPr>
                      <w:rFonts w:hint="eastAsia" w:cs="Times New Roman" w:eastAsiaTheme="minorEastAsia"/>
                      <w:bCs/>
                      <w:color w:val="auto"/>
                      <w:szCs w:val="22"/>
                      <w:lang w:val="en-US" w:eastAsia="zh-CN"/>
                    </w:rPr>
                    <w:t>12000</w:t>
                  </w:r>
                </w:p>
              </w:tc>
              <w:tc>
                <w:tcPr>
                  <w:tcW w:w="341" w:type="pct"/>
                  <w:vAlign w:val="center"/>
                </w:tcPr>
                <w:p w14:paraId="138C076A">
                  <w:pPr>
                    <w:pStyle w:val="21"/>
                    <w:spacing w:after="0" w:line="240" w:lineRule="auto"/>
                    <w:jc w:val="center"/>
                    <w:rPr>
                      <w:rFonts w:hint="default" w:ascii="Times New Roman" w:hAnsi="Times New Roman" w:cs="Times New Roman" w:eastAsiaTheme="minorEastAsia"/>
                      <w:bCs/>
                      <w:color w:val="auto"/>
                      <w:szCs w:val="22"/>
                      <w:lang w:val="en-US" w:eastAsia="zh-CN"/>
                    </w:rPr>
                  </w:pPr>
                  <w:r>
                    <w:rPr>
                      <w:rFonts w:hint="default" w:ascii="Times New Roman" w:hAnsi="Times New Roman" w:cs="Times New Roman" w:eastAsiaTheme="minorEastAsia"/>
                      <w:bCs/>
                      <w:color w:val="auto"/>
                      <w:szCs w:val="22"/>
                      <w:lang w:val="en-US" w:eastAsia="zh-CN"/>
                    </w:rPr>
                    <w:t>是</w:t>
                  </w:r>
                </w:p>
              </w:tc>
              <w:tc>
                <w:tcPr>
                  <w:tcW w:w="394" w:type="pct"/>
                  <w:vAlign w:val="center"/>
                </w:tcPr>
                <w:p w14:paraId="278F62E9">
                  <w:pPr>
                    <w:pStyle w:val="21"/>
                    <w:spacing w:after="0" w:line="240" w:lineRule="auto"/>
                    <w:jc w:val="center"/>
                    <w:rPr>
                      <w:rFonts w:hint="default" w:cs="Times New Roman" w:eastAsiaTheme="minorEastAsia"/>
                      <w:bCs/>
                      <w:color w:val="auto"/>
                      <w:kern w:val="2"/>
                      <w:sz w:val="21"/>
                      <w:szCs w:val="22"/>
                      <w:lang w:val="en-US" w:eastAsia="zh-CN" w:bidi="ar-SA"/>
                    </w:rPr>
                  </w:pPr>
                  <w:r>
                    <w:rPr>
                      <w:rFonts w:hint="eastAsia" w:cs="Times New Roman" w:eastAsiaTheme="minorEastAsia"/>
                      <w:bCs/>
                      <w:color w:val="auto"/>
                      <w:kern w:val="2"/>
                      <w:sz w:val="21"/>
                      <w:szCs w:val="22"/>
                      <w:lang w:val="en-US" w:eastAsia="zh-CN" w:bidi="ar-SA"/>
                    </w:rPr>
                    <w:t>1.45</w:t>
                  </w:r>
                </w:p>
              </w:tc>
              <w:tc>
                <w:tcPr>
                  <w:tcW w:w="449" w:type="pct"/>
                  <w:vAlign w:val="center"/>
                </w:tcPr>
                <w:p w14:paraId="70A36216">
                  <w:pPr>
                    <w:pStyle w:val="21"/>
                    <w:spacing w:after="0" w:line="240" w:lineRule="auto"/>
                    <w:jc w:val="center"/>
                    <w:rPr>
                      <w:rFonts w:hint="default" w:cs="Times New Roman" w:eastAsiaTheme="minorEastAsia"/>
                      <w:bCs/>
                      <w:color w:val="auto"/>
                      <w:kern w:val="2"/>
                      <w:sz w:val="21"/>
                      <w:szCs w:val="22"/>
                      <w:lang w:val="en-US" w:eastAsia="zh-CN" w:bidi="ar-SA"/>
                    </w:rPr>
                  </w:pPr>
                  <w:r>
                    <w:rPr>
                      <w:rFonts w:hint="eastAsia" w:cs="Times New Roman" w:eastAsiaTheme="minorEastAsia"/>
                      <w:bCs/>
                      <w:color w:val="auto"/>
                      <w:kern w:val="2"/>
                      <w:sz w:val="21"/>
                      <w:szCs w:val="22"/>
                      <w:lang w:val="en-US" w:eastAsia="zh-CN" w:bidi="ar-SA"/>
                    </w:rPr>
                    <w:t>0.017</w:t>
                  </w:r>
                </w:p>
              </w:tc>
              <w:tc>
                <w:tcPr>
                  <w:tcW w:w="451" w:type="pct"/>
                  <w:vAlign w:val="center"/>
                </w:tcPr>
                <w:p w14:paraId="08552448">
                  <w:pPr>
                    <w:pStyle w:val="21"/>
                    <w:spacing w:after="0" w:line="240" w:lineRule="auto"/>
                    <w:jc w:val="center"/>
                    <w:rPr>
                      <w:rFonts w:hint="default" w:cs="Times New Roman" w:eastAsiaTheme="minorEastAsia"/>
                      <w:bCs/>
                      <w:color w:val="auto"/>
                      <w:kern w:val="2"/>
                      <w:sz w:val="21"/>
                      <w:szCs w:val="22"/>
                      <w:lang w:val="en-US" w:eastAsia="zh-CN" w:bidi="ar-SA"/>
                    </w:rPr>
                  </w:pPr>
                  <w:r>
                    <w:rPr>
                      <w:rFonts w:hint="eastAsia" w:cs="Times New Roman" w:eastAsiaTheme="minorEastAsia"/>
                      <w:bCs/>
                      <w:color w:val="auto"/>
                      <w:kern w:val="2"/>
                      <w:sz w:val="21"/>
                      <w:szCs w:val="22"/>
                      <w:lang w:val="en-US" w:eastAsia="zh-CN" w:bidi="ar-SA"/>
                    </w:rPr>
                    <w:t>0.042</w:t>
                  </w:r>
                </w:p>
              </w:tc>
              <w:tc>
                <w:tcPr>
                  <w:tcW w:w="330" w:type="pct"/>
                  <w:vAlign w:val="center"/>
                </w:tcPr>
                <w:p w14:paraId="0D431F4F">
                  <w:pPr>
                    <w:pStyle w:val="21"/>
                    <w:spacing w:after="0" w:line="240" w:lineRule="auto"/>
                    <w:jc w:val="center"/>
                    <w:rPr>
                      <w:rFonts w:hint="default" w:ascii="Times New Roman" w:hAnsi="Times New Roman" w:cs="Times New Roman" w:eastAsiaTheme="minorEastAsia"/>
                      <w:bCs/>
                      <w:color w:val="auto"/>
                      <w:szCs w:val="22"/>
                      <w:lang w:val="en-US" w:eastAsia="zh-CN"/>
                    </w:rPr>
                  </w:pPr>
                  <w:r>
                    <w:rPr>
                      <w:rFonts w:hint="default" w:ascii="Times New Roman" w:hAnsi="Times New Roman" w:cs="Times New Roman" w:eastAsiaTheme="minorEastAsia"/>
                      <w:bCs/>
                      <w:color w:val="auto"/>
                      <w:szCs w:val="22"/>
                      <w:lang w:val="en-US" w:eastAsia="zh-CN"/>
                    </w:rPr>
                    <w:t>间歇</w:t>
                  </w:r>
                </w:p>
                <w:p w14:paraId="06065556">
                  <w:pPr>
                    <w:pStyle w:val="21"/>
                    <w:spacing w:after="0" w:line="240" w:lineRule="auto"/>
                    <w:jc w:val="center"/>
                    <w:rPr>
                      <w:rFonts w:hint="eastAsia" w:cs="Times New Roman" w:eastAsiaTheme="minorEastAsia"/>
                      <w:bCs/>
                      <w:color w:val="auto"/>
                      <w:szCs w:val="22"/>
                      <w:lang w:val="en-US" w:eastAsia="zh-CN"/>
                    </w:rPr>
                  </w:pPr>
                  <w:r>
                    <w:rPr>
                      <w:rFonts w:hint="eastAsia" w:cs="Times New Roman" w:eastAsiaTheme="minorEastAsia"/>
                      <w:bCs/>
                      <w:color w:val="auto"/>
                      <w:szCs w:val="22"/>
                      <w:lang w:val="en-US" w:eastAsia="zh-CN"/>
                    </w:rPr>
                    <w:t>24</w:t>
                  </w:r>
                  <w:r>
                    <w:rPr>
                      <w:rFonts w:hint="default" w:ascii="Times New Roman" w:hAnsi="Times New Roman" w:cs="Times New Roman" w:eastAsiaTheme="minorEastAsia"/>
                      <w:bCs/>
                      <w:color w:val="auto"/>
                      <w:szCs w:val="22"/>
                      <w:lang w:val="en-US" w:eastAsia="zh-CN"/>
                    </w:rPr>
                    <w:t>00h</w:t>
                  </w:r>
                </w:p>
              </w:tc>
            </w:tr>
          </w:tbl>
          <w:p w14:paraId="00EFDD3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表4-</w:t>
            </w:r>
            <w:r>
              <w:rPr>
                <w:rFonts w:hint="eastAsia" w:cs="Times New Roman"/>
                <w:b/>
                <w:bCs/>
                <w:color w:val="auto"/>
                <w:szCs w:val="21"/>
                <w:lang w:val="en-US" w:eastAsia="zh-CN"/>
              </w:rPr>
              <w:t>4本项目</w:t>
            </w:r>
            <w:r>
              <w:rPr>
                <w:rFonts w:hint="default" w:ascii="Times New Roman" w:hAnsi="Times New Roman" w:cs="Times New Roman"/>
                <w:b/>
                <w:bCs/>
                <w:color w:val="auto"/>
                <w:szCs w:val="21"/>
                <w:lang w:val="en-US" w:eastAsia="zh-CN"/>
              </w:rPr>
              <w:t>无组织废气产生及排放源强表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876"/>
              <w:gridCol w:w="2789"/>
              <w:gridCol w:w="2348"/>
              <w:gridCol w:w="1864"/>
              <w:gridCol w:w="2167"/>
              <w:gridCol w:w="1910"/>
            </w:tblGrid>
            <w:tr w14:paraId="45B273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24" w:type="pct"/>
                  <w:vAlign w:val="center"/>
                </w:tcPr>
                <w:p w14:paraId="34A6D07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工作车间</w:t>
                  </w:r>
                </w:p>
              </w:tc>
              <w:tc>
                <w:tcPr>
                  <w:tcW w:w="1076" w:type="pct"/>
                  <w:vAlign w:val="center"/>
                </w:tcPr>
                <w:p w14:paraId="2B93E6B4">
                  <w:pPr>
                    <w:adjustRightInd w:val="0"/>
                    <w:snapToGrid w:val="0"/>
                    <w:jc w:val="center"/>
                    <w:rPr>
                      <w:rFonts w:hint="default" w:ascii="Times New Roman" w:hAnsi="Times New Roman" w:cs="Times New Roman"/>
                      <w:color w:val="auto"/>
                    </w:rPr>
                  </w:pPr>
                  <w:r>
                    <w:rPr>
                      <w:rFonts w:hint="default" w:ascii="Times New Roman" w:hAnsi="Times New Roman" w:cs="Times New Roman"/>
                      <w:b/>
                      <w:bCs/>
                      <w:color w:val="auto"/>
                      <w:szCs w:val="21"/>
                    </w:rPr>
                    <w:t>产生环节</w:t>
                  </w:r>
                </w:p>
              </w:tc>
              <w:tc>
                <w:tcPr>
                  <w:tcW w:w="906" w:type="pct"/>
                  <w:vAlign w:val="center"/>
                </w:tcPr>
                <w:p w14:paraId="2835E595">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污染物名称</w:t>
                  </w:r>
                </w:p>
              </w:tc>
              <w:tc>
                <w:tcPr>
                  <w:tcW w:w="719" w:type="pct"/>
                  <w:vAlign w:val="center"/>
                </w:tcPr>
                <w:p w14:paraId="1A4C9F1D">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排放量t/a</w:t>
                  </w:r>
                </w:p>
              </w:tc>
              <w:tc>
                <w:tcPr>
                  <w:tcW w:w="836" w:type="pct"/>
                  <w:vAlign w:val="center"/>
                </w:tcPr>
                <w:p w14:paraId="5B3AB70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面源面积m</w:t>
                  </w:r>
                  <w:r>
                    <w:rPr>
                      <w:rFonts w:hint="default" w:ascii="Times New Roman" w:hAnsi="Times New Roman" w:cs="Times New Roman"/>
                      <w:b/>
                      <w:bCs/>
                      <w:color w:val="auto"/>
                      <w:szCs w:val="21"/>
                      <w:vertAlign w:val="superscript"/>
                    </w:rPr>
                    <w:t>2</w:t>
                  </w:r>
                </w:p>
              </w:tc>
              <w:tc>
                <w:tcPr>
                  <w:tcW w:w="737" w:type="pct"/>
                  <w:vAlign w:val="center"/>
                </w:tcPr>
                <w:p w14:paraId="1E651B8B">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面源高度m</w:t>
                  </w:r>
                </w:p>
              </w:tc>
            </w:tr>
            <w:tr w14:paraId="763658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24" w:type="pct"/>
                  <w:vAlign w:val="center"/>
                </w:tcPr>
                <w:p w14:paraId="0D40FBDF">
                  <w:pPr>
                    <w:adjustRightInd w:val="0"/>
                    <w:snapToGrid w:val="0"/>
                    <w:jc w:val="center"/>
                    <w:rPr>
                      <w:rFonts w:hint="default" w:ascii="Times New Roman" w:hAnsi="Times New Roman" w:eastAsia="宋体" w:cs="Times New Roman"/>
                      <w:color w:val="auto"/>
                      <w:kern w:val="44"/>
                      <w:szCs w:val="21"/>
                      <w:lang w:val="en-US" w:eastAsia="zh-CN"/>
                    </w:rPr>
                  </w:pPr>
                  <w:r>
                    <w:rPr>
                      <w:rFonts w:hint="eastAsia" w:cs="Times New Roman"/>
                      <w:color w:val="auto"/>
                      <w:kern w:val="44"/>
                      <w:szCs w:val="21"/>
                      <w:lang w:val="en-US" w:eastAsia="zh-CN"/>
                    </w:rPr>
                    <w:t>车间</w:t>
                  </w:r>
                </w:p>
              </w:tc>
              <w:tc>
                <w:tcPr>
                  <w:tcW w:w="1076" w:type="pct"/>
                  <w:vAlign w:val="center"/>
                </w:tcPr>
                <w:p w14:paraId="77EE1027">
                  <w:pPr>
                    <w:adjustRightInd w:val="0"/>
                    <w:snapToGrid w:val="0"/>
                    <w:jc w:val="center"/>
                    <w:rPr>
                      <w:rFonts w:hint="default" w:ascii="Times New Roman" w:hAnsi="Times New Roman" w:eastAsia="宋体" w:cs="Times New Roman"/>
                      <w:color w:val="auto"/>
                      <w:kern w:val="44"/>
                      <w:szCs w:val="21"/>
                      <w:lang w:val="en-US" w:eastAsia="zh-CN"/>
                    </w:rPr>
                  </w:pPr>
                  <w:r>
                    <w:rPr>
                      <w:rFonts w:hint="eastAsia"/>
                      <w:bCs/>
                      <w:color w:val="auto"/>
                      <w:sz w:val="21"/>
                      <w:szCs w:val="21"/>
                      <w:lang w:val="en-US" w:eastAsia="zh-CN"/>
                    </w:rPr>
                    <w:t>挤出</w:t>
                  </w:r>
                  <w:r>
                    <w:rPr>
                      <w:rFonts w:hint="eastAsia" w:ascii="Times New Roman" w:hAnsi="Times New Roman"/>
                      <w:bCs/>
                      <w:color w:val="auto"/>
                      <w:sz w:val="21"/>
                      <w:szCs w:val="21"/>
                      <w:lang w:val="en-US" w:eastAsia="zh-CN"/>
                    </w:rPr>
                    <w:t>、</w:t>
                  </w:r>
                  <w:r>
                    <w:rPr>
                      <w:rFonts w:hint="eastAsia"/>
                      <w:bCs/>
                      <w:color w:val="auto"/>
                      <w:sz w:val="21"/>
                      <w:szCs w:val="21"/>
                      <w:lang w:val="en-US" w:eastAsia="zh-CN"/>
                    </w:rPr>
                    <w:t>压塑</w:t>
                  </w:r>
                  <w:r>
                    <w:rPr>
                      <w:rFonts w:hint="eastAsia" w:cs="Times New Roman"/>
                      <w:color w:val="auto"/>
                      <w:sz w:val="21"/>
                      <w:szCs w:val="21"/>
                      <w:lang w:val="en-US" w:eastAsia="zh-CN"/>
                    </w:rPr>
                    <w:t>和</w:t>
                  </w:r>
                  <w:r>
                    <w:rPr>
                      <w:rFonts w:hint="eastAsia"/>
                      <w:bCs/>
                      <w:color w:val="auto"/>
                      <w:sz w:val="21"/>
                      <w:szCs w:val="21"/>
                      <w:lang w:val="en-US" w:eastAsia="zh-CN"/>
                    </w:rPr>
                    <w:t>吹塑</w:t>
                  </w:r>
                </w:p>
              </w:tc>
              <w:tc>
                <w:tcPr>
                  <w:tcW w:w="906" w:type="pct"/>
                  <w:vAlign w:val="center"/>
                </w:tcPr>
                <w:p w14:paraId="37185F8E">
                  <w:pPr>
                    <w:pStyle w:val="21"/>
                    <w:spacing w:after="0" w:line="240" w:lineRule="auto"/>
                    <w:jc w:val="center"/>
                    <w:rPr>
                      <w:rFonts w:hint="default" w:ascii="Times New Roman" w:hAnsi="Times New Roman" w:cs="Times New Roman"/>
                      <w:color w:val="auto"/>
                      <w:kern w:val="44"/>
                      <w:sz w:val="21"/>
                      <w:szCs w:val="21"/>
                      <w:lang w:val="en-US" w:eastAsia="zh-CN"/>
                    </w:rPr>
                  </w:pPr>
                  <w:r>
                    <w:rPr>
                      <w:rFonts w:hint="default" w:ascii="Times New Roman" w:hAnsi="Times New Roman" w:cs="Times New Roman" w:eastAsiaTheme="minorEastAsia"/>
                      <w:bCs/>
                      <w:color w:val="auto"/>
                      <w:szCs w:val="22"/>
                      <w:lang w:val="en-US" w:eastAsia="zh-CN"/>
                    </w:rPr>
                    <w:t>非甲烷总烃</w:t>
                  </w:r>
                </w:p>
              </w:tc>
              <w:tc>
                <w:tcPr>
                  <w:tcW w:w="719" w:type="pct"/>
                  <w:vAlign w:val="center"/>
                </w:tcPr>
                <w:p w14:paraId="54B810B1">
                  <w:pPr>
                    <w:adjustRightInd w:val="0"/>
                    <w:snapToGrid w:val="0"/>
                    <w:jc w:val="center"/>
                    <w:rPr>
                      <w:rFonts w:hint="default" w:ascii="Times New Roman" w:hAnsi="Times New Roman" w:eastAsia="宋体" w:cs="Times New Roman"/>
                      <w:color w:val="FF0000"/>
                      <w:kern w:val="44"/>
                      <w:sz w:val="21"/>
                      <w:szCs w:val="21"/>
                      <w:lang w:val="en-US" w:eastAsia="zh-CN"/>
                    </w:rPr>
                  </w:pPr>
                  <w:r>
                    <w:rPr>
                      <w:rFonts w:hint="eastAsia" w:cs="Times New Roman"/>
                      <w:color w:val="auto"/>
                      <w:kern w:val="44"/>
                      <w:sz w:val="21"/>
                      <w:szCs w:val="21"/>
                      <w:lang w:val="en-US" w:eastAsia="zh-CN"/>
                    </w:rPr>
                    <w:t>0.047</w:t>
                  </w:r>
                </w:p>
              </w:tc>
              <w:tc>
                <w:tcPr>
                  <w:tcW w:w="836" w:type="pct"/>
                  <w:vAlign w:val="center"/>
                </w:tcPr>
                <w:p w14:paraId="6B30CAC6">
                  <w:pPr>
                    <w:adjustRightInd w:val="0"/>
                    <w:snapToGrid w:val="0"/>
                    <w:jc w:val="center"/>
                    <w:rPr>
                      <w:rFonts w:hint="default" w:ascii="Times New Roman" w:hAnsi="Times New Roman" w:eastAsia="宋体" w:cs="Times New Roman"/>
                      <w:color w:val="auto"/>
                      <w:kern w:val="44"/>
                      <w:sz w:val="21"/>
                      <w:szCs w:val="21"/>
                      <w:lang w:val="en-US" w:eastAsia="zh-CN" w:bidi="ar-SA"/>
                    </w:rPr>
                  </w:pPr>
                  <w:r>
                    <w:rPr>
                      <w:rFonts w:hint="eastAsia" w:cs="Times New Roman"/>
                      <w:color w:val="auto"/>
                      <w:kern w:val="0"/>
                      <w:lang w:val="en-US" w:eastAsia="zh-CN"/>
                    </w:rPr>
                    <w:t>3300</w:t>
                  </w:r>
                </w:p>
              </w:tc>
              <w:tc>
                <w:tcPr>
                  <w:tcW w:w="737" w:type="pct"/>
                  <w:vAlign w:val="center"/>
                </w:tcPr>
                <w:p w14:paraId="70B4E0A9">
                  <w:pPr>
                    <w:adjustRightInd w:val="0"/>
                    <w:snapToGrid w:val="0"/>
                    <w:jc w:val="center"/>
                    <w:rPr>
                      <w:rFonts w:hint="default" w:ascii="Times New Roman" w:hAnsi="Times New Roman" w:eastAsia="宋体" w:cs="Times New Roman"/>
                      <w:color w:val="auto"/>
                      <w:kern w:val="44"/>
                      <w:szCs w:val="21"/>
                      <w:lang w:val="en-US" w:eastAsia="zh-CN"/>
                    </w:rPr>
                  </w:pPr>
                  <w:r>
                    <w:rPr>
                      <w:rFonts w:hint="eastAsia" w:cs="Times New Roman"/>
                      <w:color w:val="auto"/>
                      <w:kern w:val="44"/>
                      <w:szCs w:val="21"/>
                      <w:lang w:val="en-US" w:eastAsia="zh-CN"/>
                    </w:rPr>
                    <w:t>10</w:t>
                  </w:r>
                </w:p>
              </w:tc>
            </w:tr>
          </w:tbl>
          <w:p w14:paraId="77F0C148">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rPr>
            </w:pPr>
          </w:p>
        </w:tc>
      </w:tr>
    </w:tbl>
    <w:p w14:paraId="5A7323A7">
      <w:pPr>
        <w:pStyle w:val="22"/>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6"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27"/>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425"/>
      </w:tblGrid>
      <w:tr w14:paraId="69FC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1" w:hRule="atLeast"/>
        </w:trPr>
        <w:tc>
          <w:tcPr>
            <w:tcW w:w="724" w:type="dxa"/>
            <w:tcMar>
              <w:left w:w="28" w:type="dxa"/>
              <w:right w:w="28" w:type="dxa"/>
            </w:tcMar>
            <w:vAlign w:val="center"/>
          </w:tcPr>
          <w:p w14:paraId="5FFBCA5C">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运营</w:t>
            </w:r>
          </w:p>
          <w:p w14:paraId="3257A86A">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期环</w:t>
            </w:r>
          </w:p>
          <w:p w14:paraId="53B6AEA1">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境影</w:t>
            </w:r>
          </w:p>
          <w:p w14:paraId="2F7726C0">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响和</w:t>
            </w:r>
          </w:p>
          <w:p w14:paraId="74674179">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保护</w:t>
            </w:r>
          </w:p>
          <w:p w14:paraId="6C19A51A">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措施</w:t>
            </w:r>
          </w:p>
        </w:tc>
        <w:tc>
          <w:tcPr>
            <w:tcW w:w="8425" w:type="dxa"/>
            <w:vAlign w:val="center"/>
          </w:tcPr>
          <w:p w14:paraId="1F8DB448">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4、</w:t>
            </w:r>
            <w:r>
              <w:rPr>
                <w:rFonts w:hint="default" w:ascii="Times New Roman" w:hAnsi="Times New Roman" w:eastAsia="宋体" w:cs="Times New Roman"/>
                <w:b/>
                <w:bCs/>
                <w:color w:val="auto"/>
                <w:sz w:val="24"/>
              </w:rPr>
              <w:t>非正常工况</w:t>
            </w:r>
          </w:p>
          <w:p w14:paraId="4C54B4E1">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建设项目非正常工况是指生产运行阶段的开、停工及维修或环保设施达不到设计规定指标等工况。</w:t>
            </w:r>
          </w:p>
          <w:p w14:paraId="5F2CCD29">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设定有开停工管理制度，每班作业开始或结束时严格按照操作规程，基本无废气产生。不正常操作及设备故障的具体原因有意外负荷跳闸，仪表失灵导致操作失控、误操作等，也可因突然断电等引起。发生不正常操作及设备故障时，将视情况及时停产。</w:t>
            </w:r>
          </w:p>
          <w:p w14:paraId="512EB927">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本项目考虑最大风险情况下，废气治理设备出现非正常工况导致有组织废气未经处理直接排放</w:t>
            </w:r>
            <w:r>
              <w:rPr>
                <w:rFonts w:hint="default" w:ascii="Times New Roman" w:hAnsi="Times New Roman" w:cs="Times New Roman"/>
                <w:color w:val="auto"/>
                <w:sz w:val="24"/>
                <w:lang w:val="en-US" w:eastAsia="zh-CN"/>
              </w:rPr>
              <w:t>的</w:t>
            </w:r>
            <w:r>
              <w:rPr>
                <w:rFonts w:hint="default" w:ascii="Times New Roman" w:hAnsi="Times New Roman" w:cs="Times New Roman"/>
                <w:color w:val="auto"/>
                <w:sz w:val="24"/>
              </w:rPr>
              <w:t>情况进行分析</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本项目非正常工况时废气源强</w:t>
            </w:r>
            <w:r>
              <w:rPr>
                <w:rFonts w:hint="default" w:ascii="Times New Roman" w:hAnsi="Times New Roman" w:cs="Times New Roman"/>
                <w:color w:val="auto"/>
                <w:sz w:val="24"/>
                <w:lang w:val="en-US" w:eastAsia="zh-CN"/>
              </w:rPr>
              <w:t>如下表</w:t>
            </w:r>
            <w:r>
              <w:rPr>
                <w:rFonts w:hint="default" w:ascii="Times New Roman" w:hAnsi="Times New Roman" w:cs="Times New Roman"/>
                <w:color w:val="auto"/>
                <w:sz w:val="24"/>
              </w:rPr>
              <w:t>所示。</w:t>
            </w:r>
          </w:p>
          <w:p w14:paraId="580D1B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表4-</w:t>
            </w:r>
            <w:r>
              <w:rPr>
                <w:rFonts w:hint="eastAsia" w:cs="Times New Roman"/>
                <w:b/>
                <w:bCs/>
                <w:color w:val="auto"/>
                <w:szCs w:val="21"/>
                <w:lang w:val="en-US" w:eastAsia="zh-CN"/>
              </w:rPr>
              <w:t>5</w:t>
            </w:r>
            <w:r>
              <w:rPr>
                <w:rFonts w:hint="default" w:ascii="Times New Roman" w:hAnsi="Times New Roman" w:cs="Times New Roman"/>
                <w:b/>
                <w:bCs/>
                <w:color w:val="auto"/>
                <w:szCs w:val="21"/>
                <w:lang w:val="en-US" w:eastAsia="zh-CN"/>
              </w:rPr>
              <w:t>非正常工况时废气排放情况表</w:t>
            </w:r>
          </w:p>
          <w:tbl>
            <w:tblPr>
              <w:tblStyle w:val="28"/>
              <w:tblW w:w="496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721"/>
              <w:gridCol w:w="672"/>
              <w:gridCol w:w="618"/>
              <w:gridCol w:w="942"/>
              <w:gridCol w:w="728"/>
              <w:gridCol w:w="1105"/>
              <w:gridCol w:w="922"/>
              <w:gridCol w:w="620"/>
              <w:gridCol w:w="675"/>
              <w:gridCol w:w="1147"/>
            </w:tblGrid>
            <w:tr w14:paraId="18BFBB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Merge w:val="restart"/>
                  <w:vAlign w:val="center"/>
                </w:tcPr>
                <w:p w14:paraId="51343E48">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排气筒编号</w:t>
                  </w:r>
                </w:p>
              </w:tc>
              <w:tc>
                <w:tcPr>
                  <w:tcW w:w="412" w:type="pct"/>
                  <w:vMerge w:val="restart"/>
                  <w:vAlign w:val="center"/>
                </w:tcPr>
                <w:p w14:paraId="6E0C7B53">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排放工序</w:t>
                  </w:r>
                </w:p>
              </w:tc>
              <w:tc>
                <w:tcPr>
                  <w:tcW w:w="379" w:type="pct"/>
                  <w:vMerge w:val="restart"/>
                  <w:vAlign w:val="center"/>
                </w:tcPr>
                <w:p w14:paraId="164AC40A">
                  <w:pPr>
                    <w:widowControl/>
                    <w:jc w:val="center"/>
                    <w:rPr>
                      <w:rFonts w:hint="default" w:ascii="Times New Roman" w:hAnsi="Times New Roman" w:cs="Times New Roman"/>
                      <w:b/>
                      <w:color w:val="auto"/>
                      <w:szCs w:val="21"/>
                    </w:rPr>
                  </w:pPr>
                  <w:r>
                    <w:rPr>
                      <w:rFonts w:hint="default" w:ascii="Times New Roman" w:hAnsi="Times New Roman" w:eastAsia="CIDFont" w:cs="Times New Roman"/>
                      <w:b/>
                      <w:bCs/>
                      <w:color w:val="auto"/>
                      <w:kern w:val="0"/>
                      <w:szCs w:val="21"/>
                      <w:lang w:bidi="ar"/>
                    </w:rPr>
                    <w:t>非正常排放原因</w:t>
                  </w:r>
                </w:p>
              </w:tc>
              <w:tc>
                <w:tcPr>
                  <w:tcW w:w="577" w:type="pct"/>
                  <w:vMerge w:val="restart"/>
                  <w:vAlign w:val="center"/>
                </w:tcPr>
                <w:p w14:paraId="3D04DB3B">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排气量（m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/h）</w:t>
                  </w:r>
                </w:p>
              </w:tc>
              <w:tc>
                <w:tcPr>
                  <w:tcW w:w="446" w:type="pct"/>
                  <w:vMerge w:val="restart"/>
                  <w:vAlign w:val="center"/>
                </w:tcPr>
                <w:p w14:paraId="34AD47B9">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产污及污染物名称</w:t>
                  </w:r>
                </w:p>
              </w:tc>
              <w:tc>
                <w:tcPr>
                  <w:tcW w:w="1242" w:type="pct"/>
                  <w:gridSpan w:val="2"/>
                  <w:vAlign w:val="center"/>
                </w:tcPr>
                <w:p w14:paraId="44C88B35">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排放情况</w:t>
                  </w:r>
                </w:p>
              </w:tc>
              <w:tc>
                <w:tcPr>
                  <w:tcW w:w="380" w:type="pct"/>
                  <w:vMerge w:val="restart"/>
                  <w:vAlign w:val="center"/>
                </w:tcPr>
                <w:p w14:paraId="57D5EC31">
                  <w:pPr>
                    <w:widowControl/>
                    <w:jc w:val="center"/>
                    <w:rPr>
                      <w:rFonts w:hint="default" w:ascii="Times New Roman" w:hAnsi="Times New Roman" w:cs="Times New Roman"/>
                      <w:color w:val="auto"/>
                    </w:rPr>
                  </w:pPr>
                  <w:r>
                    <w:rPr>
                      <w:rFonts w:hint="default" w:ascii="Times New Roman" w:hAnsi="Times New Roman" w:eastAsia="CIDFont" w:cs="Times New Roman"/>
                      <w:b/>
                      <w:bCs/>
                      <w:color w:val="auto"/>
                      <w:kern w:val="0"/>
                      <w:szCs w:val="21"/>
                      <w:lang w:bidi="ar"/>
                    </w:rPr>
                    <w:t>单次持续</w:t>
                  </w:r>
                </w:p>
                <w:p w14:paraId="1870F2E6">
                  <w:pPr>
                    <w:widowControl/>
                    <w:jc w:val="center"/>
                    <w:rPr>
                      <w:rFonts w:hint="default" w:ascii="Times New Roman" w:hAnsi="Times New Roman" w:cs="Times New Roman"/>
                      <w:b/>
                      <w:color w:val="auto"/>
                      <w:szCs w:val="21"/>
                    </w:rPr>
                  </w:pPr>
                  <w:r>
                    <w:rPr>
                      <w:rFonts w:hint="default" w:ascii="Times New Roman" w:hAnsi="Times New Roman" w:eastAsia="CIDFont" w:cs="Times New Roman"/>
                      <w:b/>
                      <w:bCs/>
                      <w:color w:val="auto"/>
                      <w:kern w:val="0"/>
                      <w:szCs w:val="21"/>
                      <w:lang w:bidi="ar"/>
                    </w:rPr>
                    <w:t>时间/h</w:t>
                  </w:r>
                </w:p>
              </w:tc>
              <w:tc>
                <w:tcPr>
                  <w:tcW w:w="414" w:type="pct"/>
                  <w:vMerge w:val="restart"/>
                  <w:vAlign w:val="center"/>
                </w:tcPr>
                <w:p w14:paraId="67BA72BE">
                  <w:pPr>
                    <w:widowControl/>
                    <w:jc w:val="center"/>
                    <w:rPr>
                      <w:rFonts w:hint="default" w:ascii="Times New Roman" w:hAnsi="Times New Roman" w:cs="Times New Roman"/>
                      <w:color w:val="auto"/>
                    </w:rPr>
                  </w:pPr>
                  <w:r>
                    <w:rPr>
                      <w:rFonts w:hint="default" w:ascii="Times New Roman" w:hAnsi="Times New Roman" w:eastAsia="CIDFont" w:cs="Times New Roman"/>
                      <w:b/>
                      <w:bCs/>
                      <w:color w:val="auto"/>
                      <w:kern w:val="0"/>
                      <w:szCs w:val="21"/>
                      <w:lang w:bidi="ar"/>
                    </w:rPr>
                    <w:t>年发生频</w:t>
                  </w:r>
                </w:p>
                <w:p w14:paraId="1A189FF6">
                  <w:pPr>
                    <w:widowControl/>
                    <w:jc w:val="center"/>
                    <w:rPr>
                      <w:rFonts w:hint="default" w:ascii="Times New Roman" w:hAnsi="Times New Roman" w:cs="Times New Roman"/>
                      <w:b/>
                      <w:color w:val="auto"/>
                      <w:szCs w:val="21"/>
                    </w:rPr>
                  </w:pPr>
                  <w:r>
                    <w:rPr>
                      <w:rFonts w:hint="default" w:ascii="Times New Roman" w:hAnsi="Times New Roman" w:eastAsia="CIDFont" w:cs="Times New Roman"/>
                      <w:b/>
                      <w:bCs/>
                      <w:color w:val="auto"/>
                      <w:kern w:val="0"/>
                      <w:szCs w:val="21"/>
                      <w:lang w:bidi="ar"/>
                    </w:rPr>
                    <w:t>次/次</w:t>
                  </w:r>
                </w:p>
              </w:tc>
              <w:tc>
                <w:tcPr>
                  <w:tcW w:w="703" w:type="pct"/>
                  <w:vMerge w:val="restart"/>
                  <w:vAlign w:val="center"/>
                </w:tcPr>
                <w:p w14:paraId="542393A9">
                  <w:pPr>
                    <w:widowControl/>
                    <w:jc w:val="center"/>
                    <w:rPr>
                      <w:rFonts w:hint="default" w:ascii="Times New Roman" w:hAnsi="Times New Roman" w:cs="Times New Roman"/>
                      <w:b/>
                      <w:color w:val="auto"/>
                      <w:szCs w:val="21"/>
                    </w:rPr>
                  </w:pPr>
                  <w:r>
                    <w:rPr>
                      <w:rFonts w:hint="default" w:ascii="Times New Roman" w:hAnsi="Times New Roman" w:eastAsia="CIDFont" w:cs="Times New Roman"/>
                      <w:b/>
                      <w:bCs/>
                      <w:color w:val="auto"/>
                      <w:kern w:val="0"/>
                      <w:szCs w:val="21"/>
                      <w:lang w:bidi="ar"/>
                    </w:rPr>
                    <w:t>应对措施</w:t>
                  </w:r>
                </w:p>
              </w:tc>
            </w:tr>
            <w:tr w14:paraId="767C5E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Merge w:val="continue"/>
                  <w:vAlign w:val="center"/>
                </w:tcPr>
                <w:p w14:paraId="7FEB5613">
                  <w:pPr>
                    <w:adjustRightInd w:val="0"/>
                    <w:snapToGrid w:val="0"/>
                    <w:jc w:val="center"/>
                    <w:rPr>
                      <w:rFonts w:hint="default" w:ascii="Times New Roman" w:hAnsi="Times New Roman" w:cs="Times New Roman"/>
                      <w:b/>
                      <w:color w:val="auto"/>
                      <w:szCs w:val="21"/>
                    </w:rPr>
                  </w:pPr>
                </w:p>
              </w:tc>
              <w:tc>
                <w:tcPr>
                  <w:tcW w:w="412" w:type="pct"/>
                  <w:vMerge w:val="continue"/>
                  <w:vAlign w:val="center"/>
                </w:tcPr>
                <w:p w14:paraId="6B6274F9">
                  <w:pPr>
                    <w:adjustRightInd w:val="0"/>
                    <w:snapToGrid w:val="0"/>
                    <w:jc w:val="center"/>
                    <w:rPr>
                      <w:rFonts w:hint="default" w:ascii="Times New Roman" w:hAnsi="Times New Roman" w:cs="Times New Roman"/>
                      <w:b/>
                      <w:color w:val="auto"/>
                      <w:szCs w:val="21"/>
                    </w:rPr>
                  </w:pPr>
                </w:p>
              </w:tc>
              <w:tc>
                <w:tcPr>
                  <w:tcW w:w="379" w:type="pct"/>
                  <w:vMerge w:val="continue"/>
                  <w:vAlign w:val="center"/>
                </w:tcPr>
                <w:p w14:paraId="74919119">
                  <w:pPr>
                    <w:widowControl/>
                    <w:jc w:val="center"/>
                    <w:rPr>
                      <w:rFonts w:hint="default" w:ascii="Times New Roman" w:hAnsi="Times New Roman" w:eastAsia="CIDFont" w:cs="Times New Roman"/>
                      <w:b/>
                      <w:bCs/>
                      <w:color w:val="auto"/>
                      <w:kern w:val="0"/>
                      <w:szCs w:val="21"/>
                      <w:lang w:bidi="ar"/>
                    </w:rPr>
                  </w:pPr>
                </w:p>
              </w:tc>
              <w:tc>
                <w:tcPr>
                  <w:tcW w:w="577" w:type="pct"/>
                  <w:vMerge w:val="continue"/>
                  <w:vAlign w:val="center"/>
                </w:tcPr>
                <w:p w14:paraId="4E3272B0">
                  <w:pPr>
                    <w:adjustRightInd w:val="0"/>
                    <w:snapToGrid w:val="0"/>
                    <w:jc w:val="center"/>
                    <w:rPr>
                      <w:rFonts w:hint="default" w:ascii="Times New Roman" w:hAnsi="Times New Roman" w:cs="Times New Roman"/>
                      <w:b/>
                      <w:color w:val="auto"/>
                      <w:szCs w:val="21"/>
                    </w:rPr>
                  </w:pPr>
                </w:p>
              </w:tc>
              <w:tc>
                <w:tcPr>
                  <w:tcW w:w="446" w:type="pct"/>
                  <w:vMerge w:val="continue"/>
                  <w:vAlign w:val="center"/>
                </w:tcPr>
                <w:p w14:paraId="1A3860DF">
                  <w:pPr>
                    <w:adjustRightInd w:val="0"/>
                    <w:snapToGrid w:val="0"/>
                    <w:jc w:val="center"/>
                    <w:rPr>
                      <w:rFonts w:hint="default" w:ascii="Times New Roman" w:hAnsi="Times New Roman" w:cs="Times New Roman"/>
                      <w:b/>
                      <w:color w:val="auto"/>
                      <w:szCs w:val="21"/>
                    </w:rPr>
                  </w:pPr>
                </w:p>
              </w:tc>
              <w:tc>
                <w:tcPr>
                  <w:tcW w:w="677" w:type="pct"/>
                  <w:vAlign w:val="center"/>
                </w:tcPr>
                <w:p w14:paraId="32C782E2">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浓度（mg/m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w:t>
                  </w:r>
                </w:p>
              </w:tc>
              <w:tc>
                <w:tcPr>
                  <w:tcW w:w="565" w:type="pct"/>
                  <w:vAlign w:val="center"/>
                </w:tcPr>
                <w:p w14:paraId="3D3CD7FC">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速率（kg/h）</w:t>
                  </w:r>
                </w:p>
              </w:tc>
              <w:tc>
                <w:tcPr>
                  <w:tcW w:w="380" w:type="pct"/>
                  <w:vMerge w:val="continue"/>
                  <w:vAlign w:val="center"/>
                </w:tcPr>
                <w:p w14:paraId="5D0EA0C9">
                  <w:pPr>
                    <w:adjustRightInd w:val="0"/>
                    <w:snapToGrid w:val="0"/>
                    <w:jc w:val="center"/>
                    <w:rPr>
                      <w:rFonts w:hint="default" w:ascii="Times New Roman" w:hAnsi="Times New Roman" w:cs="Times New Roman"/>
                      <w:b/>
                      <w:color w:val="auto"/>
                      <w:szCs w:val="21"/>
                    </w:rPr>
                  </w:pPr>
                </w:p>
              </w:tc>
              <w:tc>
                <w:tcPr>
                  <w:tcW w:w="414" w:type="pct"/>
                  <w:vMerge w:val="continue"/>
                  <w:vAlign w:val="center"/>
                </w:tcPr>
                <w:p w14:paraId="2038E5F8">
                  <w:pPr>
                    <w:adjustRightInd w:val="0"/>
                    <w:snapToGrid w:val="0"/>
                    <w:jc w:val="center"/>
                    <w:rPr>
                      <w:rFonts w:hint="default" w:ascii="Times New Roman" w:hAnsi="Times New Roman" w:cs="Times New Roman"/>
                      <w:b/>
                      <w:color w:val="auto"/>
                      <w:szCs w:val="21"/>
                    </w:rPr>
                  </w:pPr>
                </w:p>
              </w:tc>
              <w:tc>
                <w:tcPr>
                  <w:tcW w:w="703" w:type="pct"/>
                  <w:vMerge w:val="continue"/>
                  <w:vAlign w:val="center"/>
                </w:tcPr>
                <w:p w14:paraId="24AF6767">
                  <w:pPr>
                    <w:adjustRightInd w:val="0"/>
                    <w:snapToGrid w:val="0"/>
                    <w:jc w:val="center"/>
                    <w:rPr>
                      <w:rFonts w:hint="default" w:ascii="Times New Roman" w:hAnsi="Times New Roman" w:cs="Times New Roman"/>
                      <w:b/>
                      <w:color w:val="auto"/>
                      <w:szCs w:val="21"/>
                    </w:rPr>
                  </w:pPr>
                </w:p>
              </w:tc>
            </w:tr>
            <w:tr w14:paraId="34B9F2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Align w:val="center"/>
                </w:tcPr>
                <w:p w14:paraId="3A52FD38">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DA00</w:t>
                  </w:r>
                  <w:r>
                    <w:rPr>
                      <w:rFonts w:hint="eastAsia" w:cs="Times New Roman"/>
                      <w:color w:val="auto"/>
                      <w:szCs w:val="21"/>
                      <w:lang w:val="en-US" w:eastAsia="zh-CN"/>
                    </w:rPr>
                    <w:t>1</w:t>
                  </w:r>
                </w:p>
              </w:tc>
              <w:tc>
                <w:tcPr>
                  <w:tcW w:w="412" w:type="pct"/>
                  <w:vAlign w:val="center"/>
                </w:tcPr>
                <w:p w14:paraId="0FD8182D">
                  <w:pPr>
                    <w:pStyle w:val="21"/>
                    <w:spacing w:after="0" w:line="240" w:lineRule="auto"/>
                    <w:jc w:val="center"/>
                    <w:rPr>
                      <w:rFonts w:hint="default" w:ascii="Times New Roman" w:hAnsi="Times New Roman" w:eastAsia="宋体" w:cs="Times New Roman"/>
                      <w:color w:val="auto"/>
                      <w:szCs w:val="21"/>
                      <w:lang w:val="en-US" w:eastAsia="zh-CN"/>
                    </w:rPr>
                  </w:pPr>
                  <w:r>
                    <w:rPr>
                      <w:rFonts w:hint="eastAsia"/>
                      <w:bCs/>
                      <w:color w:val="auto"/>
                      <w:sz w:val="21"/>
                      <w:szCs w:val="21"/>
                      <w:lang w:val="en-US" w:eastAsia="zh-CN"/>
                    </w:rPr>
                    <w:t>挤出</w:t>
                  </w:r>
                  <w:r>
                    <w:rPr>
                      <w:rFonts w:hint="eastAsia" w:ascii="Times New Roman" w:hAnsi="Times New Roman"/>
                      <w:bCs/>
                      <w:color w:val="auto"/>
                      <w:sz w:val="21"/>
                      <w:szCs w:val="21"/>
                      <w:lang w:val="en-US" w:eastAsia="zh-CN"/>
                    </w:rPr>
                    <w:t>、</w:t>
                  </w:r>
                  <w:r>
                    <w:rPr>
                      <w:rFonts w:hint="eastAsia"/>
                      <w:bCs/>
                      <w:color w:val="auto"/>
                      <w:sz w:val="21"/>
                      <w:szCs w:val="21"/>
                      <w:lang w:val="en-US" w:eastAsia="zh-CN"/>
                    </w:rPr>
                    <w:t>压塑</w:t>
                  </w:r>
                  <w:r>
                    <w:rPr>
                      <w:rFonts w:hint="eastAsia" w:cs="Times New Roman"/>
                      <w:color w:val="auto"/>
                      <w:sz w:val="21"/>
                      <w:szCs w:val="21"/>
                      <w:lang w:val="en-US" w:eastAsia="zh-CN"/>
                    </w:rPr>
                    <w:t>和</w:t>
                  </w:r>
                  <w:r>
                    <w:rPr>
                      <w:rFonts w:hint="eastAsia"/>
                      <w:bCs/>
                      <w:color w:val="auto"/>
                      <w:sz w:val="21"/>
                      <w:szCs w:val="21"/>
                      <w:lang w:val="en-US" w:eastAsia="zh-CN"/>
                    </w:rPr>
                    <w:t>吹塑</w:t>
                  </w:r>
                </w:p>
              </w:tc>
              <w:tc>
                <w:tcPr>
                  <w:tcW w:w="379" w:type="pct"/>
                  <w:vAlign w:val="center"/>
                </w:tcPr>
                <w:p w14:paraId="7383C0DA">
                  <w:pPr>
                    <w:pStyle w:val="21"/>
                    <w:spacing w:after="0" w:line="240" w:lineRule="auto"/>
                    <w:jc w:val="center"/>
                    <w:rPr>
                      <w:rFonts w:hint="default" w:ascii="Times New Roman" w:hAnsi="Times New Roman" w:cs="Times New Roman"/>
                      <w:color w:val="auto"/>
                      <w:szCs w:val="21"/>
                    </w:rPr>
                  </w:pPr>
                  <w:r>
                    <w:rPr>
                      <w:rFonts w:hint="default" w:ascii="Times New Roman" w:hAnsi="Times New Roman" w:cs="Times New Roman" w:eastAsiaTheme="minorEastAsia"/>
                      <w:bCs/>
                      <w:color w:val="auto"/>
                      <w:sz w:val="21"/>
                      <w:szCs w:val="21"/>
                      <w:lang w:val="en-US" w:eastAsia="zh-CN"/>
                    </w:rPr>
                    <w:t>非甲烷总烃</w:t>
                  </w:r>
                </w:p>
              </w:tc>
              <w:tc>
                <w:tcPr>
                  <w:tcW w:w="577" w:type="pct"/>
                  <w:vAlign w:val="center"/>
                </w:tcPr>
                <w:p w14:paraId="54BAE674">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12000</w:t>
                  </w:r>
                </w:p>
              </w:tc>
              <w:tc>
                <w:tcPr>
                  <w:tcW w:w="446" w:type="pct"/>
                  <w:vAlign w:val="center"/>
                </w:tcPr>
                <w:p w14:paraId="1DDEB020">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非甲烷总烃</w:t>
                  </w:r>
                </w:p>
              </w:tc>
              <w:tc>
                <w:tcPr>
                  <w:tcW w:w="1105" w:type="dxa"/>
                  <w:vAlign w:val="center"/>
                </w:tcPr>
                <w:p w14:paraId="6A241BD3">
                  <w:pPr>
                    <w:pStyle w:val="21"/>
                    <w:spacing w:after="0" w:line="240" w:lineRule="auto"/>
                    <w:jc w:val="center"/>
                    <w:rPr>
                      <w:rFonts w:hint="eastAsia" w:cs="Times New Roman" w:eastAsiaTheme="minorEastAsia"/>
                      <w:bCs/>
                      <w:color w:val="auto"/>
                      <w:szCs w:val="22"/>
                      <w:lang w:val="en-US" w:eastAsia="zh-CN"/>
                    </w:rPr>
                  </w:pPr>
                  <w:r>
                    <w:rPr>
                      <w:rFonts w:hint="eastAsia" w:cs="Times New Roman" w:eastAsiaTheme="minorEastAsia"/>
                      <w:bCs/>
                      <w:color w:val="auto"/>
                      <w:szCs w:val="22"/>
                      <w:lang w:val="en-US" w:eastAsia="zh-CN"/>
                    </w:rPr>
                    <w:t>14.51</w:t>
                  </w:r>
                </w:p>
              </w:tc>
              <w:tc>
                <w:tcPr>
                  <w:tcW w:w="921" w:type="dxa"/>
                  <w:vAlign w:val="center"/>
                </w:tcPr>
                <w:p w14:paraId="547C02EF">
                  <w:pPr>
                    <w:pStyle w:val="21"/>
                    <w:spacing w:after="0" w:line="240" w:lineRule="auto"/>
                    <w:jc w:val="center"/>
                    <w:rPr>
                      <w:rFonts w:hint="eastAsia" w:cs="Times New Roman" w:eastAsiaTheme="minorEastAsia"/>
                      <w:bCs/>
                      <w:color w:val="auto"/>
                      <w:kern w:val="2"/>
                      <w:sz w:val="21"/>
                      <w:szCs w:val="22"/>
                      <w:lang w:val="en-US" w:eastAsia="zh-CN" w:bidi="ar-SA"/>
                    </w:rPr>
                  </w:pPr>
                  <w:r>
                    <w:rPr>
                      <w:rFonts w:hint="eastAsia" w:cs="Times New Roman" w:eastAsiaTheme="minorEastAsia"/>
                      <w:bCs/>
                      <w:color w:val="auto"/>
                      <w:kern w:val="2"/>
                      <w:sz w:val="21"/>
                      <w:szCs w:val="22"/>
                      <w:lang w:val="en-US" w:eastAsia="zh-CN" w:bidi="ar-SA"/>
                    </w:rPr>
                    <w:t>0.174</w:t>
                  </w:r>
                </w:p>
              </w:tc>
              <w:tc>
                <w:tcPr>
                  <w:tcW w:w="380" w:type="pct"/>
                  <w:vAlign w:val="center"/>
                </w:tcPr>
                <w:p w14:paraId="075651ED">
                  <w:pPr>
                    <w:widowControl/>
                    <w:jc w:val="center"/>
                    <w:rPr>
                      <w:rFonts w:hint="default" w:ascii="Times New Roman" w:hAnsi="Times New Roman" w:eastAsia="CIDFont" w:cs="Times New Roman"/>
                      <w:color w:val="auto"/>
                      <w:kern w:val="0"/>
                      <w:szCs w:val="21"/>
                      <w:lang w:bidi="ar"/>
                    </w:rPr>
                  </w:pPr>
                  <w:r>
                    <w:rPr>
                      <w:rFonts w:hint="default" w:ascii="Times New Roman" w:hAnsi="Times New Roman" w:eastAsia="CIDFont" w:cs="Times New Roman"/>
                      <w:color w:val="auto"/>
                      <w:kern w:val="0"/>
                      <w:szCs w:val="21"/>
                      <w:lang w:bidi="ar"/>
                    </w:rPr>
                    <w:t>≤1</w:t>
                  </w:r>
                </w:p>
              </w:tc>
              <w:tc>
                <w:tcPr>
                  <w:tcW w:w="414" w:type="pct"/>
                  <w:vAlign w:val="center"/>
                </w:tcPr>
                <w:p w14:paraId="3DD6E9FB">
                  <w:pPr>
                    <w:widowControl/>
                    <w:jc w:val="center"/>
                    <w:rPr>
                      <w:rFonts w:hint="default" w:ascii="Times New Roman" w:hAnsi="Times New Roman" w:eastAsia="CIDFont" w:cs="Times New Roman"/>
                      <w:color w:val="auto"/>
                      <w:kern w:val="0"/>
                      <w:szCs w:val="21"/>
                      <w:lang w:bidi="ar"/>
                    </w:rPr>
                  </w:pPr>
                  <w:r>
                    <w:rPr>
                      <w:rFonts w:hint="default" w:ascii="Times New Roman" w:hAnsi="Times New Roman" w:eastAsia="CIDFont" w:cs="Times New Roman"/>
                      <w:color w:val="auto"/>
                      <w:kern w:val="0"/>
                      <w:szCs w:val="21"/>
                      <w:lang w:bidi="ar"/>
                    </w:rPr>
                    <w:t>≤1</w:t>
                  </w:r>
                </w:p>
              </w:tc>
              <w:tc>
                <w:tcPr>
                  <w:tcW w:w="703" w:type="pct"/>
                  <w:vAlign w:val="center"/>
                </w:tcPr>
                <w:p w14:paraId="42C3BDAF">
                  <w:pPr>
                    <w:widowControl/>
                    <w:jc w:val="center"/>
                    <w:rPr>
                      <w:rFonts w:hint="default" w:ascii="Times New Roman" w:hAnsi="Times New Roman" w:cs="Times New Roman"/>
                      <w:color w:val="auto"/>
                      <w:szCs w:val="21"/>
                    </w:rPr>
                  </w:pPr>
                  <w:r>
                    <w:rPr>
                      <w:rFonts w:hint="default" w:ascii="Times New Roman" w:hAnsi="Times New Roman" w:eastAsia="CIDFont" w:cs="Times New Roman"/>
                      <w:color w:val="auto"/>
                      <w:kern w:val="0"/>
                      <w:szCs w:val="21"/>
                      <w:lang w:bidi="ar"/>
                    </w:rPr>
                    <w:t>加强维护、选用可靠设备，加强管理</w:t>
                  </w:r>
                </w:p>
              </w:tc>
            </w:tr>
          </w:tbl>
          <w:p w14:paraId="5D6EFF19">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5、</w:t>
            </w:r>
            <w:r>
              <w:rPr>
                <w:rFonts w:hint="default" w:ascii="Times New Roman" w:hAnsi="Times New Roman" w:eastAsia="宋体" w:cs="Times New Roman"/>
                <w:b/>
                <w:bCs/>
                <w:color w:val="auto"/>
                <w:sz w:val="24"/>
                <w:lang w:val="en-US" w:eastAsia="zh-CN"/>
              </w:rPr>
              <w:t>废气</w:t>
            </w:r>
            <w:r>
              <w:rPr>
                <w:rFonts w:hint="default" w:ascii="Times New Roman" w:hAnsi="Times New Roman" w:eastAsia="宋体" w:cs="Times New Roman"/>
                <w:b/>
                <w:bCs/>
                <w:color w:val="auto"/>
                <w:sz w:val="24"/>
              </w:rPr>
              <w:t>排放口基本情况</w:t>
            </w:r>
            <w:r>
              <w:rPr>
                <w:rFonts w:hint="default" w:ascii="Times New Roman" w:hAnsi="Times New Roman" w:eastAsia="宋体" w:cs="Times New Roman"/>
                <w:b/>
                <w:bCs/>
                <w:color w:val="auto"/>
                <w:sz w:val="24"/>
                <w:lang w:val="en-US" w:eastAsia="zh-CN"/>
              </w:rPr>
              <w:t>及监测方案</w:t>
            </w:r>
          </w:p>
          <w:p w14:paraId="2C0C2D3F">
            <w:pPr>
              <w:adjustRightInd w:val="0"/>
              <w:snapToGrid w:val="0"/>
              <w:spacing w:line="50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本项目废气排放口基本情况见表4-</w:t>
            </w:r>
            <w:r>
              <w:rPr>
                <w:rFonts w:hint="eastAsia" w:cs="Times New Roman"/>
                <w:color w:val="auto"/>
                <w:sz w:val="24"/>
                <w:lang w:val="en-US" w:eastAsia="zh-CN"/>
              </w:rPr>
              <w:t>6</w:t>
            </w:r>
            <w:r>
              <w:rPr>
                <w:rFonts w:hint="default" w:ascii="Times New Roman" w:hAnsi="Times New Roman" w:eastAsia="宋体" w:cs="Times New Roman"/>
                <w:color w:val="auto"/>
                <w:sz w:val="24"/>
                <w:lang w:val="en-US" w:eastAsia="zh-CN"/>
              </w:rPr>
              <w:t>，监测方案见表4-</w:t>
            </w:r>
            <w:r>
              <w:rPr>
                <w:rFonts w:hint="eastAsia" w:cs="Times New Roman"/>
                <w:color w:val="auto"/>
                <w:sz w:val="24"/>
                <w:lang w:val="en-US" w:eastAsia="zh-CN"/>
              </w:rPr>
              <w:t>7</w:t>
            </w:r>
            <w:r>
              <w:rPr>
                <w:rFonts w:hint="default" w:ascii="Times New Roman" w:hAnsi="Times New Roman" w:eastAsia="宋体" w:cs="Times New Roman"/>
                <w:color w:val="auto"/>
                <w:sz w:val="24"/>
                <w:lang w:val="en-US" w:eastAsia="zh-CN"/>
              </w:rPr>
              <w:t>。</w:t>
            </w:r>
          </w:p>
          <w:p w14:paraId="1852E72E">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cs="Times New Roman"/>
                <w:b/>
                <w:color w:val="auto"/>
                <w:sz w:val="24"/>
              </w:rPr>
            </w:pPr>
            <w:r>
              <w:rPr>
                <w:rFonts w:hint="default" w:ascii="Times New Roman" w:hAnsi="Times New Roman" w:cs="Times New Roman"/>
                <w:b/>
                <w:color w:val="auto"/>
                <w:szCs w:val="21"/>
              </w:rPr>
              <w:t>表4-</w:t>
            </w:r>
            <w:r>
              <w:rPr>
                <w:rFonts w:hint="eastAsia" w:cs="Times New Roman"/>
                <w:b/>
                <w:color w:val="auto"/>
                <w:szCs w:val="21"/>
                <w:lang w:val="en-US" w:eastAsia="zh-CN"/>
              </w:rPr>
              <w:t>6</w:t>
            </w:r>
            <w:r>
              <w:rPr>
                <w:rFonts w:hint="default" w:ascii="Times New Roman" w:hAnsi="Times New Roman" w:cs="Times New Roman"/>
                <w:b/>
                <w:color w:val="auto"/>
                <w:szCs w:val="21"/>
              </w:rPr>
              <w:t>排放口基本情况表</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75"/>
              <w:gridCol w:w="267"/>
              <w:gridCol w:w="1054"/>
              <w:gridCol w:w="950"/>
              <w:gridCol w:w="653"/>
              <w:gridCol w:w="653"/>
              <w:gridCol w:w="704"/>
              <w:gridCol w:w="556"/>
              <w:gridCol w:w="1363"/>
              <w:gridCol w:w="1334"/>
            </w:tblGrid>
            <w:tr w14:paraId="7AB4BE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11" w:type="pct"/>
                  <w:vMerge w:val="restart"/>
                  <w:vAlign w:val="center"/>
                </w:tcPr>
                <w:p w14:paraId="36DA8B99">
                  <w:pPr>
                    <w:pStyle w:val="7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排气筒编号</w:t>
                  </w:r>
                </w:p>
              </w:tc>
              <w:tc>
                <w:tcPr>
                  <w:tcW w:w="162" w:type="pct"/>
                  <w:vMerge w:val="restart"/>
                  <w:vAlign w:val="center"/>
                </w:tcPr>
                <w:p w14:paraId="7788FF11">
                  <w:pPr>
                    <w:pStyle w:val="7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1220" w:type="pct"/>
                  <w:gridSpan w:val="2"/>
                  <w:vAlign w:val="center"/>
                </w:tcPr>
                <w:p w14:paraId="0A070337">
                  <w:pPr>
                    <w:pStyle w:val="7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地理坐标</w:t>
                  </w:r>
                </w:p>
              </w:tc>
              <w:tc>
                <w:tcPr>
                  <w:tcW w:w="397" w:type="pct"/>
                  <w:vMerge w:val="restart"/>
                  <w:vAlign w:val="center"/>
                </w:tcPr>
                <w:p w14:paraId="5E421602">
                  <w:pPr>
                    <w:pStyle w:val="7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排气筒高度（m）</w:t>
                  </w:r>
                </w:p>
              </w:tc>
              <w:tc>
                <w:tcPr>
                  <w:tcW w:w="397" w:type="pct"/>
                  <w:vMerge w:val="restart"/>
                  <w:vAlign w:val="center"/>
                </w:tcPr>
                <w:p w14:paraId="0464BC5A">
                  <w:pPr>
                    <w:pStyle w:val="7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出口内径（m）</w:t>
                  </w:r>
                </w:p>
              </w:tc>
              <w:tc>
                <w:tcPr>
                  <w:tcW w:w="429" w:type="pct"/>
                  <w:vMerge w:val="restart"/>
                  <w:vAlign w:val="center"/>
                </w:tcPr>
                <w:p w14:paraId="2B21926E">
                  <w:pPr>
                    <w:pStyle w:val="7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排气温度（℃）</w:t>
                  </w:r>
                </w:p>
              </w:tc>
              <w:tc>
                <w:tcPr>
                  <w:tcW w:w="339" w:type="pct"/>
                  <w:vMerge w:val="restart"/>
                  <w:vAlign w:val="center"/>
                </w:tcPr>
                <w:p w14:paraId="5EEE17FA">
                  <w:pPr>
                    <w:jc w:val="center"/>
                    <w:rPr>
                      <w:rFonts w:hint="default" w:ascii="Times New Roman" w:hAnsi="Times New Roman" w:cs="Times New Roman"/>
                      <w:b/>
                      <w:color w:val="auto"/>
                      <w:szCs w:val="21"/>
                    </w:rPr>
                  </w:pPr>
                  <w:r>
                    <w:rPr>
                      <w:rFonts w:hint="default" w:ascii="Times New Roman" w:hAnsi="Times New Roman" w:cs="Times New Roman"/>
                      <w:b/>
                      <w:bCs/>
                      <w:color w:val="auto"/>
                      <w:szCs w:val="21"/>
                    </w:rPr>
                    <w:t>污染物类型</w:t>
                  </w:r>
                </w:p>
              </w:tc>
              <w:tc>
                <w:tcPr>
                  <w:tcW w:w="1642" w:type="pct"/>
                  <w:gridSpan w:val="2"/>
                  <w:vAlign w:val="center"/>
                </w:tcPr>
                <w:p w14:paraId="63548AA3">
                  <w:pPr>
                    <w:pStyle w:val="7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排放标准</w:t>
                  </w:r>
                </w:p>
              </w:tc>
            </w:tr>
            <w:tr w14:paraId="37B384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11" w:type="pct"/>
                  <w:vMerge w:val="continue"/>
                  <w:vAlign w:val="center"/>
                </w:tcPr>
                <w:p w14:paraId="6217994A">
                  <w:pPr>
                    <w:pStyle w:val="70"/>
                    <w:rPr>
                      <w:rFonts w:hint="default" w:ascii="Times New Roman" w:hAnsi="Times New Roman" w:eastAsia="宋体" w:cs="Times New Roman"/>
                      <w:b/>
                      <w:color w:val="auto"/>
                      <w:sz w:val="21"/>
                      <w:szCs w:val="21"/>
                    </w:rPr>
                  </w:pPr>
                </w:p>
              </w:tc>
              <w:tc>
                <w:tcPr>
                  <w:tcW w:w="162" w:type="pct"/>
                  <w:vMerge w:val="continue"/>
                  <w:vAlign w:val="center"/>
                </w:tcPr>
                <w:p w14:paraId="7A376F51">
                  <w:pPr>
                    <w:pStyle w:val="70"/>
                    <w:rPr>
                      <w:rFonts w:hint="default" w:ascii="Times New Roman" w:hAnsi="Times New Roman" w:eastAsia="宋体" w:cs="Times New Roman"/>
                      <w:b/>
                      <w:color w:val="auto"/>
                      <w:sz w:val="21"/>
                      <w:szCs w:val="21"/>
                    </w:rPr>
                  </w:pPr>
                </w:p>
              </w:tc>
              <w:tc>
                <w:tcPr>
                  <w:tcW w:w="641" w:type="pct"/>
                  <w:vAlign w:val="center"/>
                </w:tcPr>
                <w:p w14:paraId="67520D9D">
                  <w:pPr>
                    <w:pStyle w:val="7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经度</w:t>
                  </w:r>
                </w:p>
              </w:tc>
              <w:tc>
                <w:tcPr>
                  <w:tcW w:w="578" w:type="pct"/>
                  <w:vAlign w:val="center"/>
                </w:tcPr>
                <w:p w14:paraId="24F2FF45">
                  <w:pPr>
                    <w:pStyle w:val="7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纬度</w:t>
                  </w:r>
                </w:p>
              </w:tc>
              <w:tc>
                <w:tcPr>
                  <w:tcW w:w="397" w:type="pct"/>
                  <w:vMerge w:val="continue"/>
                  <w:vAlign w:val="center"/>
                </w:tcPr>
                <w:p w14:paraId="6B740E79">
                  <w:pPr>
                    <w:pStyle w:val="70"/>
                    <w:rPr>
                      <w:rFonts w:hint="default" w:ascii="Times New Roman" w:hAnsi="Times New Roman" w:eastAsia="宋体" w:cs="Times New Roman"/>
                      <w:b/>
                      <w:color w:val="auto"/>
                      <w:sz w:val="21"/>
                      <w:szCs w:val="21"/>
                    </w:rPr>
                  </w:pPr>
                </w:p>
              </w:tc>
              <w:tc>
                <w:tcPr>
                  <w:tcW w:w="397" w:type="pct"/>
                  <w:vMerge w:val="continue"/>
                  <w:vAlign w:val="center"/>
                </w:tcPr>
                <w:p w14:paraId="5C371D0D">
                  <w:pPr>
                    <w:pStyle w:val="70"/>
                    <w:rPr>
                      <w:rFonts w:hint="default" w:ascii="Times New Roman" w:hAnsi="Times New Roman" w:eastAsia="宋体" w:cs="Times New Roman"/>
                      <w:b/>
                      <w:color w:val="auto"/>
                      <w:sz w:val="21"/>
                      <w:szCs w:val="21"/>
                    </w:rPr>
                  </w:pPr>
                </w:p>
              </w:tc>
              <w:tc>
                <w:tcPr>
                  <w:tcW w:w="429" w:type="pct"/>
                  <w:vMerge w:val="continue"/>
                  <w:vAlign w:val="center"/>
                </w:tcPr>
                <w:p w14:paraId="7464EC5E">
                  <w:pPr>
                    <w:pStyle w:val="70"/>
                    <w:rPr>
                      <w:rFonts w:hint="default" w:ascii="Times New Roman" w:hAnsi="Times New Roman" w:eastAsia="宋体" w:cs="Times New Roman"/>
                      <w:b/>
                      <w:color w:val="auto"/>
                      <w:sz w:val="21"/>
                      <w:szCs w:val="21"/>
                    </w:rPr>
                  </w:pPr>
                </w:p>
              </w:tc>
              <w:tc>
                <w:tcPr>
                  <w:tcW w:w="339" w:type="pct"/>
                  <w:vMerge w:val="continue"/>
                  <w:vAlign w:val="center"/>
                </w:tcPr>
                <w:p w14:paraId="06E9AFC8">
                  <w:pPr>
                    <w:pStyle w:val="70"/>
                    <w:rPr>
                      <w:rFonts w:hint="default" w:ascii="Times New Roman" w:hAnsi="Times New Roman" w:cs="Times New Roman"/>
                      <w:b/>
                      <w:color w:val="auto"/>
                      <w:szCs w:val="21"/>
                    </w:rPr>
                  </w:pPr>
                </w:p>
              </w:tc>
              <w:tc>
                <w:tcPr>
                  <w:tcW w:w="830" w:type="pct"/>
                  <w:vAlign w:val="center"/>
                </w:tcPr>
                <w:p w14:paraId="55476271">
                  <w:pPr>
                    <w:tabs>
                      <w:tab w:val="left" w:pos="1418"/>
                    </w:tabs>
                    <w:jc w:val="center"/>
                    <w:rPr>
                      <w:rFonts w:hint="default" w:ascii="Times New Roman" w:hAnsi="Times New Roman" w:cs="Times New Roman"/>
                      <w:b/>
                      <w:color w:val="auto"/>
                    </w:rPr>
                  </w:pPr>
                  <w:r>
                    <w:rPr>
                      <w:rFonts w:hint="default" w:ascii="Times New Roman" w:hAnsi="Times New Roman" w:cs="Times New Roman"/>
                      <w:b/>
                      <w:color w:val="auto"/>
                    </w:rPr>
                    <w:t>标准名称</w:t>
                  </w:r>
                </w:p>
              </w:tc>
              <w:tc>
                <w:tcPr>
                  <w:tcW w:w="811" w:type="pct"/>
                  <w:vAlign w:val="center"/>
                </w:tcPr>
                <w:p w14:paraId="4B12357A">
                  <w:pPr>
                    <w:tabs>
                      <w:tab w:val="left" w:pos="1418"/>
                    </w:tabs>
                    <w:jc w:val="center"/>
                    <w:rPr>
                      <w:rFonts w:hint="default" w:ascii="Times New Roman" w:hAnsi="Times New Roman" w:cs="Times New Roman"/>
                      <w:b/>
                      <w:color w:val="auto"/>
                    </w:rPr>
                  </w:pPr>
                  <w:r>
                    <w:rPr>
                      <w:rFonts w:hint="default" w:ascii="Times New Roman" w:hAnsi="Times New Roman" w:cs="Times New Roman"/>
                      <w:b/>
                      <w:color w:val="auto"/>
                    </w:rPr>
                    <w:t>浓度限值</w:t>
                  </w:r>
                  <w:r>
                    <w:rPr>
                      <w:rFonts w:hint="default" w:ascii="Times New Roman" w:hAnsi="Times New Roman" w:cs="Times New Roman"/>
                      <w:b/>
                      <w:color w:val="auto"/>
                      <w:lang w:val="en-US" w:eastAsia="zh-CN"/>
                    </w:rPr>
                    <w:t>(</w:t>
                  </w:r>
                  <w:r>
                    <w:rPr>
                      <w:rFonts w:hint="default" w:ascii="Times New Roman" w:hAnsi="Times New Roman" w:cs="Times New Roman"/>
                      <w:b/>
                      <w:color w:val="auto"/>
                    </w:rPr>
                    <w:t>mg/m</w:t>
                  </w:r>
                  <w:r>
                    <w:rPr>
                      <w:rFonts w:hint="default" w:ascii="Times New Roman" w:hAnsi="Times New Roman" w:cs="Times New Roman"/>
                      <w:b/>
                      <w:color w:val="auto"/>
                      <w:vertAlign w:val="superscript"/>
                    </w:rPr>
                    <w:t>3</w:t>
                  </w:r>
                  <w:r>
                    <w:rPr>
                      <w:rFonts w:hint="default" w:ascii="Times New Roman" w:hAnsi="Times New Roman" w:cs="Times New Roman"/>
                      <w:b/>
                      <w:color w:val="auto"/>
                      <w:lang w:val="en-US" w:eastAsia="zh-CN"/>
                    </w:rPr>
                    <w:t>)</w:t>
                  </w:r>
                </w:p>
              </w:tc>
            </w:tr>
            <w:tr w14:paraId="71041B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75" w:hRule="atLeast"/>
                <w:jc w:val="center"/>
              </w:trPr>
              <w:tc>
                <w:tcPr>
                  <w:tcW w:w="411" w:type="pct"/>
                  <w:vAlign w:val="center"/>
                </w:tcPr>
                <w:p w14:paraId="097DAE3A">
                  <w:pPr>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DA00</w:t>
                  </w:r>
                  <w:r>
                    <w:rPr>
                      <w:rFonts w:hint="eastAsia" w:cs="Times New Roman"/>
                      <w:color w:val="auto"/>
                      <w:szCs w:val="21"/>
                      <w:lang w:val="en-US" w:eastAsia="zh-CN"/>
                    </w:rPr>
                    <w:t>1</w:t>
                  </w:r>
                </w:p>
              </w:tc>
              <w:tc>
                <w:tcPr>
                  <w:tcW w:w="162" w:type="pct"/>
                  <w:vAlign w:val="center"/>
                </w:tcPr>
                <w:p w14:paraId="0A34C0F4">
                  <w:pPr>
                    <w:pStyle w:val="7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c>
                <w:tcPr>
                  <w:tcW w:w="641" w:type="pct"/>
                  <w:vAlign w:val="center"/>
                </w:tcPr>
                <w:p w14:paraId="70A1BCBA">
                  <w:pPr>
                    <w:pStyle w:val="7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119.560476</w:t>
                  </w:r>
                </w:p>
              </w:tc>
              <w:tc>
                <w:tcPr>
                  <w:tcW w:w="578" w:type="pct"/>
                  <w:vAlign w:val="center"/>
                </w:tcPr>
                <w:p w14:paraId="798C2AE3">
                  <w:pPr>
                    <w:pStyle w:val="7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31.762960</w:t>
                  </w:r>
                </w:p>
              </w:tc>
              <w:tc>
                <w:tcPr>
                  <w:tcW w:w="397" w:type="pct"/>
                  <w:vAlign w:val="center"/>
                </w:tcPr>
                <w:p w14:paraId="2691D039">
                  <w:pPr>
                    <w:pStyle w:val="7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97" w:type="pct"/>
                  <w:vAlign w:val="center"/>
                </w:tcPr>
                <w:p w14:paraId="03984F4B">
                  <w:pPr>
                    <w:snapToGrid w:val="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0.</w:t>
                  </w:r>
                  <w:r>
                    <w:rPr>
                      <w:rFonts w:hint="eastAsia" w:cs="Times New Roman"/>
                      <w:color w:val="auto"/>
                      <w:szCs w:val="21"/>
                      <w:lang w:val="en-US" w:eastAsia="zh-CN"/>
                    </w:rPr>
                    <w:t>6</w:t>
                  </w:r>
                </w:p>
              </w:tc>
              <w:tc>
                <w:tcPr>
                  <w:tcW w:w="429" w:type="pct"/>
                  <w:vAlign w:val="center"/>
                </w:tcPr>
                <w:p w14:paraId="64613B38">
                  <w:pPr>
                    <w:pStyle w:val="7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339" w:type="pct"/>
                  <w:vAlign w:val="center"/>
                </w:tcPr>
                <w:p w14:paraId="53B6837F">
                  <w:pPr>
                    <w:pStyle w:val="7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830" w:type="pct"/>
                  <w:vAlign w:val="center"/>
                </w:tcPr>
                <w:p w14:paraId="2F0CFF00">
                  <w:pPr>
                    <w:pStyle w:val="6"/>
                    <w:adjustRightInd w:val="0"/>
                    <w:snapToGrid w:val="0"/>
                    <w:ind w:firstLine="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rPr>
                    <w:t>GB31572-2015</w:t>
                  </w:r>
                  <w:r>
                    <w:rPr>
                      <w:rFonts w:hint="default" w:ascii="Times New Roman" w:hAnsi="Times New Roman" w:eastAsia="宋体" w:cs="Times New Roman"/>
                      <w:color w:val="auto"/>
                      <w:sz w:val="21"/>
                      <w:szCs w:val="21"/>
                    </w:rPr>
                    <w:t>表</w:t>
                  </w:r>
                  <w:r>
                    <w:rPr>
                      <w:rFonts w:hint="eastAsia" w:ascii="Times New Roman" w:hAnsi="Times New Roman" w:cs="Times New Roman"/>
                      <w:color w:val="auto"/>
                      <w:sz w:val="21"/>
                      <w:szCs w:val="21"/>
                      <w:lang w:val="en-US" w:eastAsia="zh-CN"/>
                    </w:rPr>
                    <w:t>5</w:t>
                  </w:r>
                </w:p>
              </w:tc>
              <w:tc>
                <w:tcPr>
                  <w:tcW w:w="811" w:type="pct"/>
                  <w:vAlign w:val="center"/>
                </w:tcPr>
                <w:p w14:paraId="6ACF14CD">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r>
          </w:tbl>
          <w:p w14:paraId="2689FBE6">
            <w:pPr>
              <w:adjustRightInd w:val="0"/>
              <w:snapToGrid w:val="0"/>
              <w:spacing w:line="50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参</w:t>
            </w:r>
            <w:r>
              <w:rPr>
                <w:rFonts w:hint="default" w:ascii="Times New Roman" w:hAnsi="Times New Roman" w:eastAsia="宋体" w:cs="Times New Roman"/>
                <w:color w:val="auto"/>
                <w:sz w:val="24"/>
                <w:highlight w:val="none"/>
                <w:lang w:val="en-US" w:eastAsia="zh-CN"/>
              </w:rPr>
              <w:t>照</w:t>
            </w:r>
            <w:r>
              <w:rPr>
                <w:rFonts w:hint="eastAsia" w:ascii="Times New Roman" w:hAnsi="Times New Roman" w:eastAsia="宋体" w:cs="Times New Roman"/>
                <w:color w:val="auto"/>
                <w:sz w:val="24"/>
                <w:highlight w:val="none"/>
                <w:lang w:val="en-US" w:eastAsia="zh-CN"/>
              </w:rPr>
              <w:t>《排污单位自行监测技术指南总则》（HJ819-2017）</w:t>
            </w:r>
            <w:r>
              <w:rPr>
                <w:rFonts w:hint="default" w:ascii="Times New Roman" w:hAnsi="Times New Roman" w:eastAsia="宋体" w:cs="Times New Roman"/>
                <w:color w:val="auto"/>
                <w:sz w:val="24"/>
                <w:szCs w:val="24"/>
                <w:lang w:val="en-US" w:eastAsia="zh-CN"/>
              </w:rPr>
              <w:t>、《排污许可证申请与核发技术规范橡胶和塑料制品工业》（HJ1122—2020）</w:t>
            </w:r>
            <w:r>
              <w:rPr>
                <w:rFonts w:hint="default" w:ascii="Times New Roman" w:hAnsi="Times New Roman" w:eastAsia="宋体" w:cs="Times New Roman"/>
                <w:color w:val="auto"/>
                <w:sz w:val="24"/>
                <w:highlight w:val="none"/>
                <w:lang w:val="en-US" w:eastAsia="zh-CN"/>
              </w:rPr>
              <w:t>中相关要求</w:t>
            </w:r>
            <w:r>
              <w:rPr>
                <w:rFonts w:hint="eastAsia" w:cs="Times New Roman"/>
                <w:color w:val="auto"/>
                <w:sz w:val="24"/>
                <w:highlight w:val="none"/>
                <w:lang w:val="en-US" w:eastAsia="zh-CN"/>
              </w:rPr>
              <w:t>，项目废气自行监测方案见下表</w:t>
            </w:r>
            <w:r>
              <w:rPr>
                <w:rFonts w:hint="default" w:ascii="Times New Roman" w:hAnsi="Times New Roman" w:eastAsia="宋体" w:cs="Times New Roman"/>
                <w:color w:val="auto"/>
                <w:sz w:val="24"/>
                <w:highlight w:val="none"/>
                <w:lang w:val="en-US" w:eastAsia="zh-CN"/>
              </w:rPr>
              <w:t>。</w:t>
            </w:r>
          </w:p>
          <w:p w14:paraId="2CC28E0A">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cs="Times New Roman"/>
                <w:b/>
                <w:color w:val="auto"/>
                <w:sz w:val="21"/>
                <w:szCs w:val="21"/>
                <w:highlight w:val="none"/>
              </w:rPr>
            </w:pPr>
          </w:p>
          <w:p w14:paraId="72075B52">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7</w:t>
            </w:r>
            <w:r>
              <w:rPr>
                <w:rFonts w:hint="default" w:ascii="Times New Roman" w:hAnsi="Times New Roman" w:cs="Times New Roman"/>
                <w:b/>
                <w:color w:val="auto"/>
                <w:sz w:val="21"/>
                <w:szCs w:val="21"/>
                <w:highlight w:val="none"/>
                <w:lang w:val="en-US" w:eastAsia="zh-CN"/>
              </w:rPr>
              <w:t>本项目</w:t>
            </w:r>
            <w:r>
              <w:rPr>
                <w:rFonts w:hint="default" w:ascii="Times New Roman" w:hAnsi="Times New Roman" w:cs="Times New Roman"/>
                <w:b/>
                <w:color w:val="auto"/>
                <w:sz w:val="21"/>
                <w:szCs w:val="21"/>
                <w:highlight w:val="none"/>
              </w:rPr>
              <w:t>废气</w:t>
            </w:r>
            <w:r>
              <w:rPr>
                <w:rFonts w:hint="default" w:ascii="Times New Roman" w:hAnsi="Times New Roman" w:cs="Times New Roman"/>
                <w:b/>
                <w:color w:val="auto"/>
                <w:sz w:val="21"/>
                <w:szCs w:val="21"/>
                <w:highlight w:val="none"/>
                <w:lang w:val="en-US" w:eastAsia="zh-CN"/>
              </w:rPr>
              <w:t>自行</w:t>
            </w:r>
            <w:r>
              <w:rPr>
                <w:rFonts w:hint="default" w:ascii="Times New Roman" w:hAnsi="Times New Roman" w:cs="Times New Roman"/>
                <w:b/>
                <w:color w:val="auto"/>
                <w:sz w:val="21"/>
                <w:szCs w:val="21"/>
                <w:highlight w:val="none"/>
              </w:rPr>
              <w:t>监测</w:t>
            </w:r>
            <w:r>
              <w:rPr>
                <w:rFonts w:hint="default" w:ascii="Times New Roman" w:hAnsi="Times New Roman" w:cs="Times New Roman"/>
                <w:b/>
                <w:color w:val="auto"/>
                <w:sz w:val="21"/>
                <w:szCs w:val="21"/>
                <w:highlight w:val="none"/>
                <w:lang w:val="en-US" w:eastAsia="zh-CN"/>
              </w:rPr>
              <w:t>方案</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79" w:type="dxa"/>
                <w:bottom w:w="28" w:type="dxa"/>
                <w:right w:w="79" w:type="dxa"/>
              </w:tblCellMar>
            </w:tblPr>
            <w:tblGrid>
              <w:gridCol w:w="1057"/>
              <w:gridCol w:w="2986"/>
              <w:gridCol w:w="2868"/>
              <w:gridCol w:w="1295"/>
            </w:tblGrid>
            <w:tr w14:paraId="4C655D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Align w:val="center"/>
                </w:tcPr>
                <w:p w14:paraId="2449B7DB">
                  <w:pPr>
                    <w:adjustRightInd w:val="0"/>
                    <w:snapToGrid w:val="0"/>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val="en-US" w:eastAsia="zh-CN"/>
                    </w:rPr>
                    <w:t>类别</w:t>
                  </w:r>
                </w:p>
              </w:tc>
              <w:tc>
                <w:tcPr>
                  <w:tcW w:w="1819" w:type="pct"/>
                  <w:vAlign w:val="center"/>
                </w:tcPr>
                <w:p w14:paraId="179D6D24">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1747" w:type="pct"/>
                  <w:vAlign w:val="center"/>
                </w:tcPr>
                <w:p w14:paraId="1C56D2E6">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监测项目</w:t>
                  </w:r>
                </w:p>
              </w:tc>
              <w:tc>
                <w:tcPr>
                  <w:tcW w:w="789" w:type="pct"/>
                  <w:vAlign w:val="center"/>
                </w:tcPr>
                <w:p w14:paraId="5351BAB1">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监测频率</w:t>
                  </w:r>
                </w:p>
              </w:tc>
            </w:tr>
            <w:tr w14:paraId="0C2034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Align w:val="center"/>
                </w:tcPr>
                <w:p w14:paraId="31EC3ABF">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有组织</w:t>
                  </w:r>
                </w:p>
              </w:tc>
              <w:tc>
                <w:tcPr>
                  <w:tcW w:w="1819" w:type="pct"/>
                  <w:vAlign w:val="center"/>
                </w:tcPr>
                <w:p w14:paraId="68074E7E">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DA00</w:t>
                  </w:r>
                  <w:r>
                    <w:rPr>
                      <w:rFonts w:hint="eastAsia" w:cs="Times New Roman"/>
                      <w:color w:val="auto"/>
                      <w:szCs w:val="21"/>
                      <w:lang w:val="en-US" w:eastAsia="zh-CN"/>
                    </w:rPr>
                    <w:t>1</w:t>
                  </w:r>
                </w:p>
              </w:tc>
              <w:tc>
                <w:tcPr>
                  <w:tcW w:w="1747" w:type="pct"/>
                  <w:vAlign w:val="center"/>
                </w:tcPr>
                <w:p w14:paraId="0935C508">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非甲烷总烃</w:t>
                  </w:r>
                </w:p>
              </w:tc>
              <w:tc>
                <w:tcPr>
                  <w:tcW w:w="789" w:type="pct"/>
                  <w:vAlign w:val="center"/>
                </w:tcPr>
                <w:p w14:paraId="7BCEF3B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w:t>
                  </w:r>
                  <w:r>
                    <w:rPr>
                      <w:rFonts w:hint="eastAsia" w:cs="Times New Roman"/>
                      <w:color w:val="auto"/>
                      <w:szCs w:val="21"/>
                      <w:lang w:val="en-US" w:eastAsia="zh-CN"/>
                    </w:rPr>
                    <w:t>/a</w:t>
                  </w:r>
                </w:p>
              </w:tc>
            </w:tr>
            <w:tr w14:paraId="509A22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Merge w:val="restart"/>
                  <w:vAlign w:val="center"/>
                </w:tcPr>
                <w:p w14:paraId="23C819A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无组织</w:t>
                  </w:r>
                </w:p>
              </w:tc>
              <w:tc>
                <w:tcPr>
                  <w:tcW w:w="1819" w:type="pct"/>
                  <w:vAlign w:val="center"/>
                </w:tcPr>
                <w:p w14:paraId="3D894F11">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厂区厂界外2~50m范围</w:t>
                  </w:r>
                </w:p>
              </w:tc>
              <w:tc>
                <w:tcPr>
                  <w:tcW w:w="1747" w:type="pct"/>
                  <w:vAlign w:val="center"/>
                </w:tcPr>
                <w:p w14:paraId="17BB6F60">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非甲烷总烃</w:t>
                  </w:r>
                </w:p>
              </w:tc>
              <w:tc>
                <w:tcPr>
                  <w:tcW w:w="789" w:type="pct"/>
                  <w:vAlign w:val="center"/>
                </w:tcPr>
                <w:p w14:paraId="4C09D7A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1次</w:t>
                  </w:r>
                  <w:r>
                    <w:rPr>
                      <w:rFonts w:hint="eastAsia" w:cs="Times New Roman"/>
                      <w:color w:val="auto"/>
                      <w:szCs w:val="21"/>
                      <w:lang w:val="en-US" w:eastAsia="zh-CN"/>
                    </w:rPr>
                    <w:t>/a</w:t>
                  </w:r>
                </w:p>
              </w:tc>
            </w:tr>
            <w:tr w14:paraId="5A1B26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Merge w:val="continue"/>
                  <w:vAlign w:val="center"/>
                </w:tcPr>
                <w:p w14:paraId="14B61237">
                  <w:pPr>
                    <w:adjustRightInd w:val="0"/>
                    <w:snapToGrid w:val="0"/>
                    <w:jc w:val="center"/>
                    <w:rPr>
                      <w:rFonts w:hint="default" w:ascii="Times New Roman" w:hAnsi="Times New Roman" w:cs="Times New Roman"/>
                      <w:color w:val="auto"/>
                      <w:szCs w:val="21"/>
                      <w:lang w:val="en-US" w:eastAsia="zh-CN"/>
                    </w:rPr>
                  </w:pPr>
                </w:p>
              </w:tc>
              <w:tc>
                <w:tcPr>
                  <w:tcW w:w="1819" w:type="pct"/>
                  <w:vAlign w:val="center"/>
                </w:tcPr>
                <w:p w14:paraId="7180F734">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厂区内</w:t>
                  </w:r>
                </w:p>
              </w:tc>
              <w:tc>
                <w:tcPr>
                  <w:tcW w:w="1747" w:type="pct"/>
                  <w:vAlign w:val="center"/>
                </w:tcPr>
                <w:p w14:paraId="662F9D8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非甲烷总烃</w:t>
                  </w:r>
                </w:p>
              </w:tc>
              <w:tc>
                <w:tcPr>
                  <w:tcW w:w="789" w:type="pct"/>
                  <w:vAlign w:val="center"/>
                </w:tcPr>
                <w:p w14:paraId="7EE8886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w:t>
                  </w:r>
                  <w:r>
                    <w:rPr>
                      <w:rFonts w:hint="eastAsia" w:cs="Times New Roman"/>
                      <w:color w:val="auto"/>
                      <w:szCs w:val="21"/>
                      <w:lang w:val="en-US" w:eastAsia="zh-CN"/>
                    </w:rPr>
                    <w:t>/a</w:t>
                  </w:r>
                </w:p>
              </w:tc>
            </w:tr>
          </w:tbl>
          <w:p w14:paraId="0C7E1305">
            <w:pPr>
              <w:adjustRightInd w:val="0"/>
              <w:snapToGrid w:val="0"/>
              <w:spacing w:line="500" w:lineRule="exact"/>
              <w:ind w:firstLine="482" w:firstLineChars="200"/>
              <w:rPr>
                <w:rFonts w:hint="default" w:ascii="Times New Roman" w:hAnsi="Times New Roman" w:cs="Times New Roman"/>
                <w:b/>
                <w:color w:val="auto"/>
                <w:sz w:val="24"/>
              </w:rPr>
            </w:pPr>
            <w:r>
              <w:rPr>
                <w:rFonts w:hint="eastAsia" w:cs="Times New Roman"/>
                <w:b/>
                <w:color w:val="auto"/>
                <w:sz w:val="24"/>
                <w:lang w:val="en-US" w:eastAsia="zh-CN"/>
              </w:rPr>
              <w:t>6、</w:t>
            </w:r>
            <w:r>
              <w:rPr>
                <w:rFonts w:hint="default" w:ascii="Times New Roman" w:hAnsi="Times New Roman" w:cs="Times New Roman"/>
                <w:b/>
                <w:color w:val="auto"/>
                <w:sz w:val="24"/>
              </w:rPr>
              <w:t>大气环境影响分析</w:t>
            </w:r>
          </w:p>
          <w:p w14:paraId="6124E72B">
            <w:pPr>
              <w:adjustRightInd w:val="0"/>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1）大气环境防护距离</w:t>
            </w:r>
          </w:p>
          <w:p w14:paraId="4516B735">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根据分析，本项目未捕集</w:t>
            </w:r>
            <w:r>
              <w:rPr>
                <w:rFonts w:hint="default" w:ascii="Times New Roman" w:hAnsi="Times New Roman" w:cs="Times New Roman"/>
                <w:color w:val="auto"/>
                <w:sz w:val="24"/>
                <w:lang w:val="en-US" w:eastAsia="zh-CN"/>
              </w:rPr>
              <w:t>废气</w:t>
            </w:r>
            <w:r>
              <w:rPr>
                <w:rFonts w:hint="default" w:ascii="Times New Roman" w:hAnsi="Times New Roman" w:cs="Times New Roman"/>
                <w:color w:val="auto"/>
                <w:sz w:val="24"/>
              </w:rPr>
              <w:t>无组织排放，大气环境防护距离计算模式采用环境保护部环境工程评估中心环境质量模拟重点实验室软件，经计算，本项目无组织排放废气计算结果无超标点。本项目不需设定大气环境防护距离。</w:t>
            </w:r>
          </w:p>
          <w:p w14:paraId="7138BDF8">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2）卫生防护距离</w:t>
            </w:r>
          </w:p>
          <w:p w14:paraId="190A1351">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根据《大气有害物质无组织排放卫生防护距离推导技术导则》(GB/T39499-2020)，各类工业企业卫生防护距离按下式计算：</w:t>
            </w:r>
          </w:p>
          <w:p w14:paraId="32495E47">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position w:val="-30"/>
                <w:sz w:val="24"/>
              </w:rPr>
              <w:object>
                <v:shape id="_x0000_i1025" o:spt="75" type="#_x0000_t75" style="height:38.15pt;width:153.15pt;" o:ole="t" filled="f" coordsize="21600,21600">
                  <v:path/>
                  <v:fill on="f" focussize="0,0"/>
                  <v:stroke/>
                  <v:imagedata r:id="rId27" o:title=""/>
                  <o:lock v:ext="edit" aspectratio="t"/>
                  <w10:wrap type="none"/>
                  <w10:anchorlock/>
                </v:shape>
                <o:OLEObject Type="Embed" ProgID="Equation.3" ShapeID="_x0000_i1025" DrawAspect="Content" ObjectID="_1468075725" r:id="rId26">
                  <o:LockedField>false</o:LockedField>
                </o:OLEObject>
              </w:object>
            </w:r>
          </w:p>
          <w:p w14:paraId="0581E3AA">
            <w:pPr>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511682DE">
            <w:pPr>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m</w:t>
            </w:r>
            <w:r>
              <w:rPr>
                <w:rFonts w:hint="default" w:ascii="Times New Roman" w:hAnsi="Times New Roman" w:cs="Times New Roman"/>
                <w:color w:val="auto"/>
                <w:sz w:val="24"/>
              </w:rPr>
              <w:t>—大气有害物质环境空气质量的标准限值，单位为毫克每立方米(mg/m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30189841">
            <w:pPr>
              <w:snapToGrid w:val="0"/>
              <w:spacing w:line="500" w:lineRule="exact"/>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L—大气有害物质卫生防护距离初值，单位为米(m)</w:t>
            </w:r>
            <w:r>
              <w:rPr>
                <w:rFonts w:hint="eastAsia" w:cs="Times New Roman"/>
                <w:color w:val="auto"/>
                <w:sz w:val="24"/>
                <w:lang w:eastAsia="zh-CN"/>
              </w:rPr>
              <w:t>；</w:t>
            </w:r>
          </w:p>
          <w:p w14:paraId="261779D5">
            <w:pPr>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r—大气有害物质无组织排放源所在生产单元的等效半径，单位为米(m)；</w:t>
            </w:r>
          </w:p>
          <w:p w14:paraId="27C5A59C">
            <w:pPr>
              <w:snapToGrid w:val="0"/>
              <w:spacing w:line="500" w:lineRule="exact"/>
              <w:ind w:firstLine="480" w:firstLineChars="200"/>
              <w:rPr>
                <w:rFonts w:hint="default" w:ascii="Times New Roman" w:hAnsi="Times New Roman" w:cs="Times New Roman"/>
                <w:b/>
                <w:color w:val="auto"/>
                <w:szCs w:val="21"/>
              </w:rPr>
            </w:pPr>
            <w:r>
              <w:rPr>
                <w:rFonts w:hint="default" w:ascii="Times New Roman" w:hAnsi="Times New Roman" w:cs="Times New Roman"/>
                <w:color w:val="auto"/>
                <w:sz w:val="24"/>
              </w:rPr>
              <w:t>A、B、C、D—卫生防护距离初值计算系数，该地区的平均</w:t>
            </w:r>
            <w:r>
              <w:rPr>
                <w:rFonts w:hint="default" w:ascii="Times New Roman" w:hAnsi="Times New Roman" w:cs="Times New Roman"/>
                <w:color w:val="auto"/>
                <w:sz w:val="24"/>
                <w:szCs w:val="22"/>
              </w:rPr>
              <w:t>风速</w:t>
            </w:r>
            <w:r>
              <w:rPr>
                <w:rFonts w:hint="default" w:ascii="Times New Roman" w:hAnsi="Times New Roman" w:cs="Times New Roman"/>
                <w:color w:val="auto"/>
                <w:sz w:val="24"/>
              </w:rPr>
              <w:t>为2.9m/s，</w:t>
            </w:r>
            <w:r>
              <w:rPr>
                <w:rFonts w:hint="default" w:ascii="Times New Roman" w:hAnsi="Times New Roman" w:cs="Times New Roman"/>
                <w:color w:val="auto"/>
                <w:sz w:val="24"/>
                <w:lang w:val="en-US" w:eastAsia="zh-CN"/>
              </w:rPr>
              <w:t>参数</w:t>
            </w:r>
            <w:r>
              <w:rPr>
                <w:rFonts w:hint="default" w:ascii="Times New Roman" w:hAnsi="Times New Roman" w:cs="Times New Roman"/>
                <w:color w:val="auto"/>
                <w:sz w:val="24"/>
              </w:rPr>
              <w:t>的选取见下表。</w:t>
            </w:r>
          </w:p>
          <w:p w14:paraId="39461875">
            <w:pPr>
              <w:adjustRightInd w:val="0"/>
              <w:snapToGrid w:val="0"/>
              <w:spacing w:line="5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cs="Times New Roman"/>
                <w:b/>
                <w:color w:val="auto"/>
                <w:szCs w:val="21"/>
                <w:lang w:val="en-US" w:eastAsia="zh-CN"/>
              </w:rPr>
              <w:t>8</w:t>
            </w:r>
            <w:r>
              <w:rPr>
                <w:rFonts w:hint="default" w:ascii="Times New Roman" w:hAnsi="Times New Roman" w:cs="Times New Roman"/>
                <w:b/>
                <w:color w:val="auto"/>
                <w:szCs w:val="21"/>
              </w:rPr>
              <w:t>卫生防护距离计算系数</w:t>
            </w:r>
          </w:p>
          <w:tbl>
            <w:tblPr>
              <w:tblStyle w:val="28"/>
              <w:tblW w:w="488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746"/>
              <w:gridCol w:w="745"/>
              <w:gridCol w:w="746"/>
              <w:gridCol w:w="749"/>
              <w:gridCol w:w="746"/>
              <w:gridCol w:w="746"/>
              <w:gridCol w:w="749"/>
              <w:gridCol w:w="746"/>
              <w:gridCol w:w="746"/>
              <w:gridCol w:w="744"/>
            </w:tblGrid>
            <w:tr w14:paraId="2CB8F2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65E1A780">
                  <w:pPr>
                    <w:jc w:val="center"/>
                    <w:rPr>
                      <w:rFonts w:hint="default" w:ascii="Times New Roman" w:hAnsi="Times New Roman" w:cs="Times New Roman"/>
                      <w:color w:val="auto"/>
                      <w:szCs w:val="21"/>
                    </w:rPr>
                  </w:pPr>
                  <w:r>
                    <w:rPr>
                      <w:rFonts w:hint="default" w:ascii="Times New Roman" w:hAnsi="Times New Roman" w:cs="Times New Roman"/>
                      <w:color w:val="auto"/>
                      <w:szCs w:val="21"/>
                    </w:rPr>
                    <w:t>计</w:t>
                  </w:r>
                </w:p>
                <w:p w14:paraId="7A29809D">
                  <w:pPr>
                    <w:jc w:val="center"/>
                    <w:rPr>
                      <w:rFonts w:hint="default" w:ascii="Times New Roman" w:hAnsi="Times New Roman" w:cs="Times New Roman"/>
                      <w:color w:val="auto"/>
                      <w:szCs w:val="21"/>
                    </w:rPr>
                  </w:pPr>
                  <w:r>
                    <w:rPr>
                      <w:rFonts w:hint="default" w:ascii="Times New Roman" w:hAnsi="Times New Roman" w:cs="Times New Roman"/>
                      <w:color w:val="auto"/>
                      <w:szCs w:val="21"/>
                    </w:rPr>
                    <w:t>算</w:t>
                  </w:r>
                </w:p>
                <w:p w14:paraId="3349ED2D">
                  <w:pPr>
                    <w:jc w:val="center"/>
                    <w:rPr>
                      <w:rFonts w:hint="default" w:ascii="Times New Roman" w:hAnsi="Times New Roman" w:cs="Times New Roman"/>
                      <w:color w:val="auto"/>
                      <w:szCs w:val="21"/>
                    </w:rPr>
                  </w:pPr>
                  <w:r>
                    <w:rPr>
                      <w:rFonts w:hint="default" w:ascii="Times New Roman" w:hAnsi="Times New Roman" w:cs="Times New Roman"/>
                      <w:color w:val="auto"/>
                      <w:szCs w:val="21"/>
                    </w:rPr>
                    <w:t>系</w:t>
                  </w:r>
                </w:p>
                <w:p w14:paraId="7D928EDD">
                  <w:pPr>
                    <w:jc w:val="center"/>
                    <w:rPr>
                      <w:rFonts w:hint="default" w:ascii="Times New Roman" w:hAnsi="Times New Roman" w:cs="Times New Roman"/>
                      <w:color w:val="auto"/>
                      <w:szCs w:val="21"/>
                    </w:rPr>
                  </w:pPr>
                  <w:r>
                    <w:rPr>
                      <w:rFonts w:hint="default" w:ascii="Times New Roman" w:hAnsi="Times New Roman" w:cs="Times New Roman"/>
                      <w:color w:val="auto"/>
                      <w:szCs w:val="21"/>
                    </w:rPr>
                    <w:t>数</w:t>
                  </w:r>
                </w:p>
              </w:tc>
              <w:tc>
                <w:tcPr>
                  <w:tcW w:w="466" w:type="pct"/>
                  <w:vMerge w:val="restart"/>
                  <w:vAlign w:val="center"/>
                </w:tcPr>
                <w:p w14:paraId="47F861B6">
                  <w:pPr>
                    <w:jc w:val="center"/>
                    <w:rPr>
                      <w:rFonts w:hint="default" w:ascii="Times New Roman" w:hAnsi="Times New Roman" w:cs="Times New Roman"/>
                      <w:color w:val="auto"/>
                      <w:szCs w:val="21"/>
                    </w:rPr>
                  </w:pPr>
                  <w:r>
                    <w:rPr>
                      <w:rFonts w:hint="default" w:ascii="Times New Roman" w:hAnsi="Times New Roman" w:cs="Times New Roman"/>
                      <w:color w:val="auto"/>
                      <w:szCs w:val="21"/>
                    </w:rPr>
                    <w:t>5年平均风速</w:t>
                  </w:r>
                </w:p>
                <w:p w14:paraId="65419D46">
                  <w:pPr>
                    <w:jc w:val="center"/>
                    <w:rPr>
                      <w:rFonts w:hint="default" w:ascii="Times New Roman" w:hAnsi="Times New Roman" w:cs="Times New Roman"/>
                      <w:color w:val="auto"/>
                      <w:szCs w:val="21"/>
                    </w:rPr>
                  </w:pPr>
                  <w:r>
                    <w:rPr>
                      <w:rFonts w:hint="default" w:ascii="Times New Roman" w:hAnsi="Times New Roman" w:cs="Times New Roman"/>
                      <w:color w:val="auto"/>
                      <w:szCs w:val="21"/>
                    </w:rPr>
                    <w:t>m/s</w:t>
                  </w:r>
                </w:p>
              </w:tc>
              <w:tc>
                <w:tcPr>
                  <w:tcW w:w="4187" w:type="pct"/>
                  <w:gridSpan w:val="9"/>
                  <w:vAlign w:val="center"/>
                </w:tcPr>
                <w:p w14:paraId="6CBDB588">
                  <w:pPr>
                    <w:jc w:val="center"/>
                    <w:rPr>
                      <w:rFonts w:hint="default" w:ascii="Times New Roman" w:hAnsi="Times New Roman" w:cs="Times New Roman"/>
                      <w:color w:val="auto"/>
                      <w:szCs w:val="21"/>
                    </w:rPr>
                  </w:pPr>
                  <w:r>
                    <w:rPr>
                      <w:rFonts w:hint="default" w:ascii="Times New Roman" w:hAnsi="Times New Roman" w:cs="Times New Roman"/>
                      <w:color w:val="auto"/>
                      <w:szCs w:val="21"/>
                    </w:rPr>
                    <w:t>卫生防护距离L，m</w:t>
                  </w:r>
                </w:p>
              </w:tc>
            </w:tr>
            <w:tr w14:paraId="32E9D2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7CF298D">
                  <w:pPr>
                    <w:jc w:val="center"/>
                    <w:rPr>
                      <w:rFonts w:hint="default" w:ascii="Times New Roman" w:hAnsi="Times New Roman" w:cs="Times New Roman"/>
                      <w:color w:val="auto"/>
                      <w:sz w:val="24"/>
                    </w:rPr>
                  </w:pPr>
                </w:p>
              </w:tc>
              <w:tc>
                <w:tcPr>
                  <w:tcW w:w="466" w:type="pct"/>
                  <w:vMerge w:val="continue"/>
                  <w:vAlign w:val="center"/>
                </w:tcPr>
                <w:p w14:paraId="6D02AB91">
                  <w:pPr>
                    <w:jc w:val="center"/>
                    <w:rPr>
                      <w:rFonts w:hint="default" w:ascii="Times New Roman" w:hAnsi="Times New Roman" w:cs="Times New Roman"/>
                      <w:color w:val="auto"/>
                      <w:sz w:val="24"/>
                    </w:rPr>
                  </w:pPr>
                </w:p>
              </w:tc>
              <w:tc>
                <w:tcPr>
                  <w:tcW w:w="1397" w:type="pct"/>
                  <w:gridSpan w:val="3"/>
                  <w:vAlign w:val="center"/>
                </w:tcPr>
                <w:p w14:paraId="274CCE16">
                  <w:pPr>
                    <w:jc w:val="center"/>
                    <w:rPr>
                      <w:rFonts w:hint="default" w:ascii="Times New Roman" w:hAnsi="Times New Roman" w:cs="Times New Roman"/>
                      <w:color w:val="auto"/>
                      <w:szCs w:val="21"/>
                    </w:rPr>
                  </w:pPr>
                  <w:r>
                    <w:rPr>
                      <w:rFonts w:hint="default" w:ascii="Times New Roman" w:hAnsi="Times New Roman" w:cs="Times New Roman"/>
                      <w:color w:val="auto"/>
                      <w:szCs w:val="21"/>
                    </w:rPr>
                    <w:t>L≤1000</w:t>
                  </w:r>
                </w:p>
              </w:tc>
              <w:tc>
                <w:tcPr>
                  <w:tcW w:w="1397" w:type="pct"/>
                  <w:gridSpan w:val="3"/>
                  <w:vAlign w:val="center"/>
                </w:tcPr>
                <w:p w14:paraId="2F37DB14">
                  <w:pPr>
                    <w:jc w:val="center"/>
                    <w:rPr>
                      <w:rFonts w:hint="default" w:ascii="Times New Roman" w:hAnsi="Times New Roman" w:cs="Times New Roman"/>
                      <w:color w:val="auto"/>
                      <w:szCs w:val="21"/>
                    </w:rPr>
                  </w:pPr>
                  <w:r>
                    <w:rPr>
                      <w:rFonts w:hint="default" w:ascii="Times New Roman" w:hAnsi="Times New Roman" w:cs="Times New Roman"/>
                      <w:color w:val="auto"/>
                      <w:szCs w:val="21"/>
                    </w:rPr>
                    <w:t>L≤1000</w:t>
                  </w:r>
                </w:p>
              </w:tc>
              <w:tc>
                <w:tcPr>
                  <w:tcW w:w="1392" w:type="pct"/>
                  <w:gridSpan w:val="3"/>
                  <w:vAlign w:val="center"/>
                </w:tcPr>
                <w:p w14:paraId="5CFA6883">
                  <w:pPr>
                    <w:jc w:val="center"/>
                    <w:rPr>
                      <w:rFonts w:hint="default" w:ascii="Times New Roman" w:hAnsi="Times New Roman" w:cs="Times New Roman"/>
                      <w:color w:val="auto"/>
                      <w:szCs w:val="21"/>
                    </w:rPr>
                  </w:pPr>
                  <w:r>
                    <w:rPr>
                      <w:rFonts w:hint="default" w:ascii="Times New Roman" w:hAnsi="Times New Roman" w:cs="Times New Roman"/>
                      <w:color w:val="auto"/>
                      <w:szCs w:val="21"/>
                    </w:rPr>
                    <w:t>L≤1000</w:t>
                  </w:r>
                </w:p>
              </w:tc>
            </w:tr>
            <w:tr w14:paraId="21F373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B5F6343">
                  <w:pPr>
                    <w:jc w:val="center"/>
                    <w:rPr>
                      <w:rFonts w:hint="default" w:ascii="Times New Roman" w:hAnsi="Times New Roman" w:cs="Times New Roman"/>
                      <w:color w:val="auto"/>
                      <w:sz w:val="24"/>
                    </w:rPr>
                  </w:pPr>
                </w:p>
              </w:tc>
              <w:tc>
                <w:tcPr>
                  <w:tcW w:w="466" w:type="pct"/>
                  <w:vMerge w:val="continue"/>
                  <w:vAlign w:val="center"/>
                </w:tcPr>
                <w:p w14:paraId="47C4EAFD">
                  <w:pPr>
                    <w:jc w:val="center"/>
                    <w:rPr>
                      <w:rFonts w:hint="default" w:ascii="Times New Roman" w:hAnsi="Times New Roman" w:cs="Times New Roman"/>
                      <w:color w:val="auto"/>
                      <w:sz w:val="24"/>
                    </w:rPr>
                  </w:pPr>
                </w:p>
              </w:tc>
              <w:tc>
                <w:tcPr>
                  <w:tcW w:w="4187" w:type="pct"/>
                  <w:gridSpan w:val="9"/>
                  <w:vAlign w:val="center"/>
                </w:tcPr>
                <w:p w14:paraId="4274F823">
                  <w:pPr>
                    <w:pStyle w:val="73"/>
                    <w:spacing w:line="240" w:lineRule="auto"/>
                    <w:ind w:firstLine="422"/>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工业大气污染源构成类别</w:t>
                  </w:r>
                </w:p>
              </w:tc>
            </w:tr>
            <w:tr w14:paraId="1A5F8C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35D4E182">
                  <w:pPr>
                    <w:jc w:val="center"/>
                    <w:rPr>
                      <w:rFonts w:hint="default" w:ascii="Times New Roman" w:hAnsi="Times New Roman" w:cs="Times New Roman"/>
                      <w:color w:val="auto"/>
                      <w:sz w:val="24"/>
                    </w:rPr>
                  </w:pPr>
                </w:p>
              </w:tc>
              <w:tc>
                <w:tcPr>
                  <w:tcW w:w="466" w:type="pct"/>
                  <w:vMerge w:val="continue"/>
                  <w:vAlign w:val="center"/>
                </w:tcPr>
                <w:p w14:paraId="711BCCA6">
                  <w:pPr>
                    <w:jc w:val="center"/>
                    <w:rPr>
                      <w:rFonts w:hint="default" w:ascii="Times New Roman" w:hAnsi="Times New Roman" w:cs="Times New Roman"/>
                      <w:color w:val="auto"/>
                      <w:sz w:val="24"/>
                    </w:rPr>
                  </w:pPr>
                </w:p>
              </w:tc>
              <w:tc>
                <w:tcPr>
                  <w:tcW w:w="465" w:type="pct"/>
                  <w:vAlign w:val="center"/>
                </w:tcPr>
                <w:p w14:paraId="1E899DCD">
                  <w:pPr>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465" w:type="pct"/>
                  <w:vAlign w:val="center"/>
                </w:tcPr>
                <w:p w14:paraId="60D9DEFF">
                  <w:pPr>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465" w:type="pct"/>
                  <w:vAlign w:val="center"/>
                </w:tcPr>
                <w:p w14:paraId="140AFBB9">
                  <w:pPr>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465" w:type="pct"/>
                  <w:vAlign w:val="center"/>
                </w:tcPr>
                <w:p w14:paraId="6ADFAA4D">
                  <w:pPr>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465" w:type="pct"/>
                  <w:vAlign w:val="center"/>
                </w:tcPr>
                <w:p w14:paraId="4D04E6BB">
                  <w:pPr>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465" w:type="pct"/>
                  <w:vAlign w:val="center"/>
                </w:tcPr>
                <w:p w14:paraId="19F7F1A0">
                  <w:pPr>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465" w:type="pct"/>
                  <w:vAlign w:val="center"/>
                </w:tcPr>
                <w:p w14:paraId="24B68114">
                  <w:pPr>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465" w:type="pct"/>
                  <w:vAlign w:val="center"/>
                </w:tcPr>
                <w:p w14:paraId="134839C8">
                  <w:pPr>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460" w:type="pct"/>
                  <w:vAlign w:val="center"/>
                </w:tcPr>
                <w:p w14:paraId="0CB4C860">
                  <w:pPr>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r>
            <w:tr w14:paraId="51B7D5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43FB5747">
                  <w:pPr>
                    <w:jc w:val="center"/>
                    <w:rPr>
                      <w:rFonts w:hint="default" w:ascii="Times New Roman" w:hAnsi="Times New Roman" w:cs="Times New Roman"/>
                      <w:color w:val="auto"/>
                      <w:szCs w:val="21"/>
                    </w:rPr>
                  </w:pPr>
                  <w:r>
                    <w:rPr>
                      <w:rFonts w:hint="default" w:ascii="Times New Roman" w:hAnsi="Times New Roman" w:cs="Times New Roman"/>
                      <w:color w:val="auto"/>
                      <w:szCs w:val="21"/>
                    </w:rPr>
                    <w:t>A</w:t>
                  </w:r>
                </w:p>
              </w:tc>
              <w:tc>
                <w:tcPr>
                  <w:tcW w:w="466" w:type="pct"/>
                  <w:vAlign w:val="center"/>
                </w:tcPr>
                <w:p w14:paraId="318B2C40">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465" w:type="pct"/>
                  <w:vAlign w:val="center"/>
                </w:tcPr>
                <w:p w14:paraId="79FC47FB">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1117201C">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255BCF90">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61CDB3DF">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62F249DB">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5E6A16B5">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34F9EE61">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465" w:type="pct"/>
                  <w:vAlign w:val="center"/>
                </w:tcPr>
                <w:p w14:paraId="0D5DC19E">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460" w:type="pct"/>
                  <w:vAlign w:val="center"/>
                </w:tcPr>
                <w:p w14:paraId="059E1A97">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r>
            <w:tr w14:paraId="588D6E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E733011">
                  <w:pPr>
                    <w:jc w:val="center"/>
                    <w:rPr>
                      <w:rFonts w:hint="default" w:ascii="Times New Roman" w:hAnsi="Times New Roman" w:cs="Times New Roman"/>
                      <w:color w:val="auto"/>
                      <w:sz w:val="24"/>
                    </w:rPr>
                  </w:pPr>
                </w:p>
              </w:tc>
              <w:tc>
                <w:tcPr>
                  <w:tcW w:w="466" w:type="pct"/>
                  <w:vAlign w:val="center"/>
                </w:tcPr>
                <w:p w14:paraId="2176161C">
                  <w:pPr>
                    <w:jc w:val="center"/>
                    <w:rPr>
                      <w:rFonts w:hint="default" w:ascii="Times New Roman" w:hAnsi="Times New Roman" w:cs="Times New Roman"/>
                      <w:color w:val="auto"/>
                      <w:sz w:val="24"/>
                    </w:rPr>
                  </w:pPr>
                  <w:r>
                    <w:rPr>
                      <w:rFonts w:hint="default" w:ascii="Times New Roman" w:hAnsi="Times New Roman" w:cs="Times New Roman"/>
                      <w:color w:val="auto"/>
                      <w:szCs w:val="21"/>
                    </w:rPr>
                    <w:t>2～4</w:t>
                  </w:r>
                </w:p>
              </w:tc>
              <w:tc>
                <w:tcPr>
                  <w:tcW w:w="465" w:type="pct"/>
                  <w:vAlign w:val="center"/>
                </w:tcPr>
                <w:p w14:paraId="667B07ED">
                  <w:pPr>
                    <w:jc w:val="center"/>
                    <w:rPr>
                      <w:rFonts w:hint="default" w:ascii="Times New Roman" w:hAnsi="Times New Roman" w:cs="Times New Roman"/>
                      <w:color w:val="auto"/>
                      <w:szCs w:val="21"/>
                    </w:rPr>
                  </w:pPr>
                  <w:r>
                    <w:rPr>
                      <w:rFonts w:hint="default" w:ascii="Times New Roman" w:hAnsi="Times New Roman" w:cs="Times New Roman"/>
                      <w:color w:val="auto"/>
                      <w:szCs w:val="21"/>
                    </w:rPr>
                    <w:t>700</w:t>
                  </w:r>
                </w:p>
              </w:tc>
              <w:tc>
                <w:tcPr>
                  <w:tcW w:w="465" w:type="pct"/>
                  <w:shd w:val="clear" w:color="auto" w:fill="F1F1F1" w:themeFill="background1" w:themeFillShade="F2"/>
                  <w:vAlign w:val="center"/>
                </w:tcPr>
                <w:p w14:paraId="5022BEF1">
                  <w:pPr>
                    <w:jc w:val="center"/>
                    <w:rPr>
                      <w:rFonts w:hint="default" w:ascii="Times New Roman" w:hAnsi="Times New Roman" w:cs="Times New Roman"/>
                      <w:color w:val="auto"/>
                      <w:szCs w:val="21"/>
                    </w:rPr>
                  </w:pPr>
                  <w:r>
                    <w:rPr>
                      <w:rFonts w:hint="default" w:ascii="Times New Roman" w:hAnsi="Times New Roman" w:cs="Times New Roman"/>
                      <w:color w:val="auto"/>
                      <w:szCs w:val="21"/>
                    </w:rPr>
                    <w:t>470</w:t>
                  </w:r>
                </w:p>
              </w:tc>
              <w:tc>
                <w:tcPr>
                  <w:tcW w:w="465" w:type="pct"/>
                  <w:vAlign w:val="center"/>
                </w:tcPr>
                <w:p w14:paraId="01E299E8">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47B67E1E">
                  <w:pPr>
                    <w:jc w:val="center"/>
                    <w:rPr>
                      <w:rFonts w:hint="default" w:ascii="Times New Roman" w:hAnsi="Times New Roman" w:cs="Times New Roman"/>
                      <w:color w:val="auto"/>
                      <w:szCs w:val="21"/>
                    </w:rPr>
                  </w:pPr>
                  <w:r>
                    <w:rPr>
                      <w:rFonts w:hint="default" w:ascii="Times New Roman" w:hAnsi="Times New Roman" w:cs="Times New Roman"/>
                      <w:color w:val="auto"/>
                      <w:szCs w:val="21"/>
                    </w:rPr>
                    <w:t>700</w:t>
                  </w:r>
                </w:p>
              </w:tc>
              <w:tc>
                <w:tcPr>
                  <w:tcW w:w="465" w:type="pct"/>
                  <w:vAlign w:val="center"/>
                </w:tcPr>
                <w:p w14:paraId="6B0BE56E">
                  <w:pPr>
                    <w:jc w:val="center"/>
                    <w:rPr>
                      <w:rFonts w:hint="default" w:ascii="Times New Roman" w:hAnsi="Times New Roman" w:cs="Times New Roman"/>
                      <w:color w:val="auto"/>
                      <w:szCs w:val="21"/>
                    </w:rPr>
                  </w:pPr>
                  <w:r>
                    <w:rPr>
                      <w:rFonts w:hint="default" w:ascii="Times New Roman" w:hAnsi="Times New Roman" w:cs="Times New Roman"/>
                      <w:color w:val="auto"/>
                      <w:szCs w:val="21"/>
                    </w:rPr>
                    <w:t>470</w:t>
                  </w:r>
                </w:p>
              </w:tc>
              <w:tc>
                <w:tcPr>
                  <w:tcW w:w="465" w:type="pct"/>
                  <w:vAlign w:val="center"/>
                </w:tcPr>
                <w:p w14:paraId="42FE7D27">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0E9A8719">
                  <w:pPr>
                    <w:jc w:val="center"/>
                    <w:rPr>
                      <w:rFonts w:hint="default" w:ascii="Times New Roman" w:hAnsi="Times New Roman" w:cs="Times New Roman"/>
                      <w:color w:val="auto"/>
                      <w:szCs w:val="21"/>
                    </w:rPr>
                  </w:pPr>
                  <w:r>
                    <w:rPr>
                      <w:rFonts w:hint="default" w:ascii="Times New Roman" w:hAnsi="Times New Roman" w:cs="Times New Roman"/>
                      <w:color w:val="auto"/>
                      <w:szCs w:val="21"/>
                    </w:rPr>
                    <w:t>380</w:t>
                  </w:r>
                </w:p>
              </w:tc>
              <w:tc>
                <w:tcPr>
                  <w:tcW w:w="465" w:type="pct"/>
                  <w:vAlign w:val="center"/>
                </w:tcPr>
                <w:p w14:paraId="18583075">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460" w:type="pct"/>
                  <w:vAlign w:val="center"/>
                </w:tcPr>
                <w:p w14:paraId="25EBFF5D">
                  <w:pPr>
                    <w:jc w:val="center"/>
                    <w:rPr>
                      <w:rFonts w:hint="default" w:ascii="Times New Roman" w:hAnsi="Times New Roman" w:cs="Times New Roman"/>
                      <w:color w:val="auto"/>
                      <w:szCs w:val="21"/>
                    </w:rPr>
                  </w:pPr>
                  <w:r>
                    <w:rPr>
                      <w:rFonts w:hint="default" w:ascii="Times New Roman" w:hAnsi="Times New Roman" w:cs="Times New Roman"/>
                      <w:color w:val="auto"/>
                      <w:szCs w:val="21"/>
                    </w:rPr>
                    <w:t>190</w:t>
                  </w:r>
                </w:p>
              </w:tc>
            </w:tr>
            <w:tr w14:paraId="00613F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2C8DDB44">
                  <w:pPr>
                    <w:jc w:val="center"/>
                    <w:rPr>
                      <w:rFonts w:hint="default" w:ascii="Times New Roman" w:hAnsi="Times New Roman" w:cs="Times New Roman"/>
                      <w:color w:val="auto"/>
                      <w:sz w:val="24"/>
                    </w:rPr>
                  </w:pPr>
                </w:p>
              </w:tc>
              <w:tc>
                <w:tcPr>
                  <w:tcW w:w="466" w:type="pct"/>
                  <w:vAlign w:val="center"/>
                </w:tcPr>
                <w:p w14:paraId="09BDD9D3">
                  <w:pPr>
                    <w:jc w:val="center"/>
                    <w:rPr>
                      <w:rFonts w:hint="default" w:ascii="Times New Roman" w:hAnsi="Times New Roman" w:cs="Times New Roman"/>
                      <w:color w:val="auto"/>
                      <w:sz w:val="24"/>
                    </w:rPr>
                  </w:pPr>
                  <w:r>
                    <w:rPr>
                      <w:rFonts w:hint="default" w:ascii="Times New Roman" w:hAnsi="Times New Roman" w:cs="Times New Roman"/>
                      <w:color w:val="auto"/>
                      <w:szCs w:val="21"/>
                    </w:rPr>
                    <w:t>＞4</w:t>
                  </w:r>
                </w:p>
              </w:tc>
              <w:tc>
                <w:tcPr>
                  <w:tcW w:w="465" w:type="pct"/>
                  <w:vAlign w:val="center"/>
                </w:tcPr>
                <w:p w14:paraId="298AE9B2">
                  <w:pPr>
                    <w:jc w:val="center"/>
                    <w:rPr>
                      <w:rFonts w:hint="default" w:ascii="Times New Roman" w:hAnsi="Times New Roman" w:cs="Times New Roman"/>
                      <w:color w:val="auto"/>
                      <w:szCs w:val="21"/>
                    </w:rPr>
                  </w:pPr>
                  <w:r>
                    <w:rPr>
                      <w:rFonts w:hint="default" w:ascii="Times New Roman" w:hAnsi="Times New Roman" w:cs="Times New Roman"/>
                      <w:color w:val="auto"/>
                      <w:szCs w:val="21"/>
                    </w:rPr>
                    <w:t>530</w:t>
                  </w:r>
                </w:p>
              </w:tc>
              <w:tc>
                <w:tcPr>
                  <w:tcW w:w="465" w:type="pct"/>
                  <w:vAlign w:val="center"/>
                </w:tcPr>
                <w:p w14:paraId="0EF14E88">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41BFE3B8">
                  <w:pPr>
                    <w:jc w:val="center"/>
                    <w:rPr>
                      <w:rFonts w:hint="default" w:ascii="Times New Roman" w:hAnsi="Times New Roman" w:cs="Times New Roman"/>
                      <w:color w:val="auto"/>
                      <w:szCs w:val="21"/>
                    </w:rPr>
                  </w:pPr>
                  <w:r>
                    <w:rPr>
                      <w:rFonts w:hint="default" w:ascii="Times New Roman" w:hAnsi="Times New Roman" w:cs="Times New Roman"/>
                      <w:color w:val="auto"/>
                      <w:szCs w:val="21"/>
                    </w:rPr>
                    <w:t>260</w:t>
                  </w:r>
                </w:p>
              </w:tc>
              <w:tc>
                <w:tcPr>
                  <w:tcW w:w="465" w:type="pct"/>
                  <w:vAlign w:val="center"/>
                </w:tcPr>
                <w:p w14:paraId="37FF0ECB">
                  <w:pPr>
                    <w:jc w:val="center"/>
                    <w:rPr>
                      <w:rFonts w:hint="default" w:ascii="Times New Roman" w:hAnsi="Times New Roman" w:cs="Times New Roman"/>
                      <w:color w:val="auto"/>
                      <w:szCs w:val="21"/>
                    </w:rPr>
                  </w:pPr>
                  <w:r>
                    <w:rPr>
                      <w:rFonts w:hint="default" w:ascii="Times New Roman" w:hAnsi="Times New Roman" w:cs="Times New Roman"/>
                      <w:color w:val="auto"/>
                      <w:szCs w:val="21"/>
                    </w:rPr>
                    <w:t>530</w:t>
                  </w:r>
                </w:p>
              </w:tc>
              <w:tc>
                <w:tcPr>
                  <w:tcW w:w="465" w:type="pct"/>
                  <w:vAlign w:val="center"/>
                </w:tcPr>
                <w:p w14:paraId="35D76188">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4E220D5B">
                  <w:pPr>
                    <w:jc w:val="center"/>
                    <w:rPr>
                      <w:rFonts w:hint="default" w:ascii="Times New Roman" w:hAnsi="Times New Roman" w:cs="Times New Roman"/>
                      <w:color w:val="auto"/>
                      <w:szCs w:val="21"/>
                    </w:rPr>
                  </w:pPr>
                  <w:r>
                    <w:rPr>
                      <w:rFonts w:hint="default" w:ascii="Times New Roman" w:hAnsi="Times New Roman" w:cs="Times New Roman"/>
                      <w:color w:val="auto"/>
                      <w:szCs w:val="21"/>
                    </w:rPr>
                    <w:t>260</w:t>
                  </w:r>
                </w:p>
              </w:tc>
              <w:tc>
                <w:tcPr>
                  <w:tcW w:w="465" w:type="pct"/>
                  <w:vAlign w:val="center"/>
                </w:tcPr>
                <w:p w14:paraId="74A6F881">
                  <w:pPr>
                    <w:jc w:val="center"/>
                    <w:rPr>
                      <w:rFonts w:hint="default" w:ascii="Times New Roman" w:hAnsi="Times New Roman" w:cs="Times New Roman"/>
                      <w:color w:val="auto"/>
                      <w:szCs w:val="21"/>
                    </w:rPr>
                  </w:pPr>
                  <w:r>
                    <w:rPr>
                      <w:rFonts w:hint="default" w:ascii="Times New Roman" w:hAnsi="Times New Roman" w:cs="Times New Roman"/>
                      <w:color w:val="auto"/>
                      <w:szCs w:val="21"/>
                    </w:rPr>
                    <w:t>290</w:t>
                  </w:r>
                </w:p>
              </w:tc>
              <w:tc>
                <w:tcPr>
                  <w:tcW w:w="465" w:type="pct"/>
                  <w:vAlign w:val="center"/>
                </w:tcPr>
                <w:p w14:paraId="3B3A2894">
                  <w:pPr>
                    <w:jc w:val="center"/>
                    <w:rPr>
                      <w:rFonts w:hint="default" w:ascii="Times New Roman" w:hAnsi="Times New Roman" w:cs="Times New Roman"/>
                      <w:color w:val="auto"/>
                      <w:szCs w:val="21"/>
                    </w:rPr>
                  </w:pPr>
                  <w:r>
                    <w:rPr>
                      <w:rFonts w:hint="default" w:ascii="Times New Roman" w:hAnsi="Times New Roman" w:cs="Times New Roman"/>
                      <w:color w:val="auto"/>
                      <w:szCs w:val="21"/>
                    </w:rPr>
                    <w:t>190</w:t>
                  </w:r>
                </w:p>
              </w:tc>
              <w:tc>
                <w:tcPr>
                  <w:tcW w:w="460" w:type="pct"/>
                  <w:vAlign w:val="center"/>
                </w:tcPr>
                <w:p w14:paraId="058B7A55">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w:t>
                  </w:r>
                </w:p>
              </w:tc>
            </w:tr>
            <w:tr w14:paraId="4318E0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0FE37E5">
                  <w:pPr>
                    <w:jc w:val="center"/>
                    <w:rPr>
                      <w:rFonts w:hint="default" w:ascii="Times New Roman" w:hAnsi="Times New Roman" w:cs="Times New Roman"/>
                      <w:color w:val="auto"/>
                      <w:szCs w:val="21"/>
                    </w:rPr>
                  </w:pPr>
                  <w:r>
                    <w:rPr>
                      <w:rFonts w:hint="default" w:ascii="Times New Roman" w:hAnsi="Times New Roman" w:cs="Times New Roman"/>
                      <w:color w:val="auto"/>
                      <w:szCs w:val="21"/>
                    </w:rPr>
                    <w:t>B</w:t>
                  </w:r>
                </w:p>
              </w:tc>
              <w:tc>
                <w:tcPr>
                  <w:tcW w:w="466" w:type="pct"/>
                  <w:vAlign w:val="center"/>
                </w:tcPr>
                <w:p w14:paraId="4A9901E7">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97" w:type="pct"/>
                  <w:gridSpan w:val="3"/>
                  <w:vAlign w:val="center"/>
                </w:tcPr>
                <w:p w14:paraId="20322663">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c>
                <w:tcPr>
                  <w:tcW w:w="1397" w:type="pct"/>
                  <w:gridSpan w:val="3"/>
                  <w:vAlign w:val="center"/>
                </w:tcPr>
                <w:p w14:paraId="695C5622">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392" w:type="pct"/>
                  <w:gridSpan w:val="3"/>
                  <w:vAlign w:val="center"/>
                </w:tcPr>
                <w:p w14:paraId="096020A2">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14:paraId="1DA07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5ED500F">
                  <w:pPr>
                    <w:jc w:val="center"/>
                    <w:rPr>
                      <w:rFonts w:hint="default" w:ascii="Times New Roman" w:hAnsi="Times New Roman" w:cs="Times New Roman"/>
                      <w:color w:val="auto"/>
                      <w:sz w:val="24"/>
                    </w:rPr>
                  </w:pPr>
                </w:p>
              </w:tc>
              <w:tc>
                <w:tcPr>
                  <w:tcW w:w="466" w:type="pct"/>
                  <w:vAlign w:val="center"/>
                </w:tcPr>
                <w:p w14:paraId="491F0AC8">
                  <w:pPr>
                    <w:jc w:val="center"/>
                    <w:rPr>
                      <w:rFonts w:hint="default" w:ascii="Times New Roman" w:hAnsi="Times New Roman" w:cs="Times New Roman"/>
                      <w:color w:val="auto"/>
                      <w:sz w:val="24"/>
                    </w:rPr>
                  </w:pPr>
                  <w:r>
                    <w:rPr>
                      <w:rFonts w:hint="default" w:ascii="Times New Roman" w:hAnsi="Times New Roman" w:cs="Times New Roman"/>
                      <w:color w:val="auto"/>
                      <w:szCs w:val="21"/>
                    </w:rPr>
                    <w:t>＞2</w:t>
                  </w:r>
                </w:p>
              </w:tc>
              <w:tc>
                <w:tcPr>
                  <w:tcW w:w="1397" w:type="pct"/>
                  <w:gridSpan w:val="3"/>
                  <w:shd w:val="clear" w:color="auto" w:fill="F1F1F1" w:themeFill="background1" w:themeFillShade="F2"/>
                  <w:vAlign w:val="center"/>
                </w:tcPr>
                <w:p w14:paraId="667DBA63">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0.021</w:t>
                  </w:r>
                </w:p>
              </w:tc>
              <w:tc>
                <w:tcPr>
                  <w:tcW w:w="1397" w:type="pct"/>
                  <w:gridSpan w:val="3"/>
                  <w:vAlign w:val="center"/>
                </w:tcPr>
                <w:p w14:paraId="36DE5684">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0.036</w:t>
                  </w:r>
                </w:p>
              </w:tc>
              <w:tc>
                <w:tcPr>
                  <w:tcW w:w="1392" w:type="pct"/>
                  <w:gridSpan w:val="3"/>
                  <w:vAlign w:val="center"/>
                </w:tcPr>
                <w:p w14:paraId="1C1ECE08">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0.036</w:t>
                  </w:r>
                </w:p>
              </w:tc>
            </w:tr>
            <w:tr w14:paraId="0415D5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117987EA">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p>
              </w:tc>
              <w:tc>
                <w:tcPr>
                  <w:tcW w:w="466" w:type="pct"/>
                  <w:vAlign w:val="center"/>
                </w:tcPr>
                <w:p w14:paraId="684B9442">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97" w:type="pct"/>
                  <w:gridSpan w:val="3"/>
                  <w:vAlign w:val="center"/>
                </w:tcPr>
                <w:p w14:paraId="26EB8F3E">
                  <w:pPr>
                    <w:jc w:val="center"/>
                    <w:rPr>
                      <w:rFonts w:hint="default" w:ascii="Times New Roman" w:hAnsi="Times New Roman" w:cs="Times New Roman"/>
                      <w:color w:val="auto"/>
                      <w:szCs w:val="21"/>
                    </w:rPr>
                  </w:pPr>
                  <w:r>
                    <w:rPr>
                      <w:rFonts w:hint="default" w:ascii="Times New Roman" w:hAnsi="Times New Roman" w:cs="Times New Roman"/>
                      <w:color w:val="auto"/>
                      <w:szCs w:val="21"/>
                    </w:rPr>
                    <w:t>1.85</w:t>
                  </w:r>
                </w:p>
              </w:tc>
              <w:tc>
                <w:tcPr>
                  <w:tcW w:w="1397" w:type="pct"/>
                  <w:gridSpan w:val="3"/>
                  <w:vAlign w:val="center"/>
                </w:tcPr>
                <w:p w14:paraId="701890C1">
                  <w:pPr>
                    <w:jc w:val="center"/>
                    <w:rPr>
                      <w:rFonts w:hint="default" w:ascii="Times New Roman" w:hAnsi="Times New Roman" w:cs="Times New Roman"/>
                      <w:color w:val="auto"/>
                      <w:szCs w:val="21"/>
                    </w:rPr>
                  </w:pPr>
                  <w:r>
                    <w:rPr>
                      <w:rFonts w:hint="default" w:ascii="Times New Roman" w:hAnsi="Times New Roman" w:cs="Times New Roman"/>
                      <w:color w:val="auto"/>
                      <w:szCs w:val="21"/>
                    </w:rPr>
                    <w:t>1.79</w:t>
                  </w:r>
                </w:p>
              </w:tc>
              <w:tc>
                <w:tcPr>
                  <w:tcW w:w="1392" w:type="pct"/>
                  <w:gridSpan w:val="3"/>
                  <w:vAlign w:val="center"/>
                </w:tcPr>
                <w:p w14:paraId="2CA9B521">
                  <w:pPr>
                    <w:jc w:val="center"/>
                    <w:rPr>
                      <w:rFonts w:hint="default" w:ascii="Times New Roman" w:hAnsi="Times New Roman" w:cs="Times New Roman"/>
                      <w:color w:val="auto"/>
                      <w:szCs w:val="21"/>
                    </w:rPr>
                  </w:pPr>
                  <w:r>
                    <w:rPr>
                      <w:rFonts w:hint="default" w:ascii="Times New Roman" w:hAnsi="Times New Roman" w:cs="Times New Roman"/>
                      <w:color w:val="auto"/>
                      <w:szCs w:val="21"/>
                    </w:rPr>
                    <w:t>1.79</w:t>
                  </w:r>
                </w:p>
              </w:tc>
            </w:tr>
            <w:tr w14:paraId="17DFBB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A44F3CD">
                  <w:pPr>
                    <w:jc w:val="center"/>
                    <w:rPr>
                      <w:rFonts w:hint="default" w:ascii="Times New Roman" w:hAnsi="Times New Roman" w:cs="Times New Roman"/>
                      <w:color w:val="auto"/>
                      <w:sz w:val="24"/>
                    </w:rPr>
                  </w:pPr>
                </w:p>
              </w:tc>
              <w:tc>
                <w:tcPr>
                  <w:tcW w:w="466" w:type="pct"/>
                  <w:vAlign w:val="center"/>
                </w:tcPr>
                <w:p w14:paraId="6C08984F">
                  <w:pPr>
                    <w:jc w:val="center"/>
                    <w:rPr>
                      <w:rFonts w:hint="default" w:ascii="Times New Roman" w:hAnsi="Times New Roman" w:cs="Times New Roman"/>
                      <w:color w:val="auto"/>
                      <w:sz w:val="24"/>
                    </w:rPr>
                  </w:pPr>
                  <w:r>
                    <w:rPr>
                      <w:rFonts w:hint="default" w:ascii="Times New Roman" w:hAnsi="Times New Roman" w:cs="Times New Roman"/>
                      <w:color w:val="auto"/>
                      <w:szCs w:val="21"/>
                    </w:rPr>
                    <w:t>＞2</w:t>
                  </w:r>
                </w:p>
              </w:tc>
              <w:tc>
                <w:tcPr>
                  <w:tcW w:w="1397" w:type="pct"/>
                  <w:gridSpan w:val="3"/>
                  <w:shd w:val="clear" w:color="auto" w:fill="F1F1F1" w:themeFill="background1" w:themeFillShade="F2"/>
                  <w:vAlign w:val="center"/>
                </w:tcPr>
                <w:p w14:paraId="4CBAA97A">
                  <w:pPr>
                    <w:shd w:val="clear" w:fill="F1F1F1" w:themeFill="background1" w:themeFillShade="F2"/>
                    <w:jc w:val="center"/>
                    <w:rPr>
                      <w:rFonts w:hint="default" w:ascii="Times New Roman" w:hAnsi="Times New Roman" w:cs="Times New Roman"/>
                      <w:color w:val="auto"/>
                      <w:szCs w:val="21"/>
                    </w:rPr>
                  </w:pPr>
                  <w:r>
                    <w:rPr>
                      <w:rFonts w:hint="default" w:ascii="Times New Roman" w:hAnsi="Times New Roman" w:cs="Times New Roman"/>
                      <w:color w:val="auto"/>
                      <w:szCs w:val="21"/>
                    </w:rPr>
                    <w:t>1.85</w:t>
                  </w:r>
                </w:p>
              </w:tc>
              <w:tc>
                <w:tcPr>
                  <w:tcW w:w="1397" w:type="pct"/>
                  <w:gridSpan w:val="3"/>
                  <w:vAlign w:val="center"/>
                </w:tcPr>
                <w:p w14:paraId="545BF96A">
                  <w:pPr>
                    <w:jc w:val="center"/>
                    <w:rPr>
                      <w:rFonts w:hint="default" w:ascii="Times New Roman" w:hAnsi="Times New Roman" w:cs="Times New Roman"/>
                      <w:color w:val="auto"/>
                      <w:szCs w:val="21"/>
                    </w:rPr>
                  </w:pPr>
                  <w:r>
                    <w:rPr>
                      <w:rFonts w:hint="default" w:ascii="Times New Roman" w:hAnsi="Times New Roman" w:cs="Times New Roman"/>
                      <w:color w:val="auto"/>
                      <w:szCs w:val="21"/>
                    </w:rPr>
                    <w:t>1.77</w:t>
                  </w:r>
                </w:p>
              </w:tc>
              <w:tc>
                <w:tcPr>
                  <w:tcW w:w="1392" w:type="pct"/>
                  <w:gridSpan w:val="3"/>
                  <w:vAlign w:val="center"/>
                </w:tcPr>
                <w:p w14:paraId="6AAB8FDD">
                  <w:pPr>
                    <w:jc w:val="center"/>
                    <w:rPr>
                      <w:rFonts w:hint="default" w:ascii="Times New Roman" w:hAnsi="Times New Roman" w:cs="Times New Roman"/>
                      <w:color w:val="auto"/>
                      <w:szCs w:val="21"/>
                    </w:rPr>
                  </w:pPr>
                  <w:r>
                    <w:rPr>
                      <w:rFonts w:hint="default" w:ascii="Times New Roman" w:hAnsi="Times New Roman" w:cs="Times New Roman"/>
                      <w:color w:val="auto"/>
                      <w:szCs w:val="21"/>
                    </w:rPr>
                    <w:t>1.77</w:t>
                  </w:r>
                </w:p>
              </w:tc>
            </w:tr>
            <w:tr w14:paraId="338463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6F40551">
                  <w:pPr>
                    <w:jc w:val="center"/>
                    <w:rPr>
                      <w:rFonts w:hint="default" w:ascii="Times New Roman" w:hAnsi="Times New Roman" w:cs="Times New Roman"/>
                      <w:color w:val="auto"/>
                      <w:szCs w:val="21"/>
                    </w:rPr>
                  </w:pPr>
                  <w:r>
                    <w:rPr>
                      <w:rFonts w:hint="default" w:ascii="Times New Roman" w:hAnsi="Times New Roman" w:cs="Times New Roman"/>
                      <w:color w:val="auto"/>
                      <w:szCs w:val="21"/>
                    </w:rPr>
                    <w:t>D</w:t>
                  </w:r>
                </w:p>
              </w:tc>
              <w:tc>
                <w:tcPr>
                  <w:tcW w:w="466" w:type="pct"/>
                  <w:vAlign w:val="center"/>
                </w:tcPr>
                <w:p w14:paraId="16000985">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97" w:type="pct"/>
                  <w:gridSpan w:val="3"/>
                  <w:vAlign w:val="center"/>
                </w:tcPr>
                <w:p w14:paraId="293DE92F">
                  <w:pPr>
                    <w:jc w:val="center"/>
                    <w:rPr>
                      <w:rFonts w:hint="default" w:ascii="Times New Roman" w:hAnsi="Times New Roman" w:cs="Times New Roman"/>
                      <w:color w:val="auto"/>
                      <w:szCs w:val="21"/>
                    </w:rPr>
                  </w:pPr>
                  <w:r>
                    <w:rPr>
                      <w:rFonts w:hint="default" w:ascii="Times New Roman" w:hAnsi="Times New Roman" w:cs="Times New Roman"/>
                      <w:color w:val="auto"/>
                      <w:szCs w:val="21"/>
                    </w:rPr>
                    <w:t>0.78</w:t>
                  </w:r>
                </w:p>
              </w:tc>
              <w:tc>
                <w:tcPr>
                  <w:tcW w:w="1397" w:type="pct"/>
                  <w:gridSpan w:val="3"/>
                  <w:vAlign w:val="center"/>
                </w:tcPr>
                <w:p w14:paraId="2124A44B">
                  <w:pPr>
                    <w:jc w:val="center"/>
                    <w:rPr>
                      <w:rFonts w:hint="default" w:ascii="Times New Roman" w:hAnsi="Times New Roman" w:cs="Times New Roman"/>
                      <w:color w:val="auto"/>
                      <w:szCs w:val="21"/>
                    </w:rPr>
                  </w:pPr>
                  <w:r>
                    <w:rPr>
                      <w:rFonts w:hint="default" w:ascii="Times New Roman" w:hAnsi="Times New Roman" w:cs="Times New Roman"/>
                      <w:color w:val="auto"/>
                      <w:szCs w:val="21"/>
                    </w:rPr>
                    <w:t>0.78</w:t>
                  </w:r>
                </w:p>
              </w:tc>
              <w:tc>
                <w:tcPr>
                  <w:tcW w:w="1392" w:type="pct"/>
                  <w:gridSpan w:val="3"/>
                  <w:vAlign w:val="center"/>
                </w:tcPr>
                <w:p w14:paraId="3025C746">
                  <w:pPr>
                    <w:jc w:val="center"/>
                    <w:rPr>
                      <w:rFonts w:hint="default" w:ascii="Times New Roman" w:hAnsi="Times New Roman" w:cs="Times New Roman"/>
                      <w:color w:val="auto"/>
                      <w:szCs w:val="21"/>
                    </w:rPr>
                  </w:pPr>
                  <w:r>
                    <w:rPr>
                      <w:rFonts w:hint="default" w:ascii="Times New Roman" w:hAnsi="Times New Roman" w:cs="Times New Roman"/>
                      <w:color w:val="auto"/>
                      <w:szCs w:val="21"/>
                    </w:rPr>
                    <w:t>0.57</w:t>
                  </w:r>
                </w:p>
              </w:tc>
            </w:tr>
            <w:tr w14:paraId="495298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738B8AEA">
                  <w:pPr>
                    <w:jc w:val="center"/>
                    <w:rPr>
                      <w:rFonts w:hint="default" w:ascii="Times New Roman" w:hAnsi="Times New Roman" w:cs="Times New Roman"/>
                      <w:color w:val="auto"/>
                      <w:sz w:val="24"/>
                    </w:rPr>
                  </w:pPr>
                </w:p>
              </w:tc>
              <w:tc>
                <w:tcPr>
                  <w:tcW w:w="466" w:type="pct"/>
                  <w:vAlign w:val="center"/>
                </w:tcPr>
                <w:p w14:paraId="2833B615">
                  <w:pPr>
                    <w:jc w:val="center"/>
                    <w:rPr>
                      <w:rFonts w:hint="default" w:ascii="Times New Roman" w:hAnsi="Times New Roman" w:cs="Times New Roman"/>
                      <w:color w:val="auto"/>
                      <w:sz w:val="24"/>
                    </w:rPr>
                  </w:pPr>
                  <w:r>
                    <w:rPr>
                      <w:rFonts w:hint="default" w:ascii="Times New Roman" w:hAnsi="Times New Roman" w:cs="Times New Roman"/>
                      <w:color w:val="auto"/>
                      <w:szCs w:val="21"/>
                    </w:rPr>
                    <w:t>＞2</w:t>
                  </w:r>
                </w:p>
              </w:tc>
              <w:tc>
                <w:tcPr>
                  <w:tcW w:w="1397" w:type="pct"/>
                  <w:gridSpan w:val="3"/>
                  <w:shd w:val="clear" w:color="auto" w:fill="F1F1F1" w:themeFill="background1" w:themeFillShade="F2"/>
                  <w:vAlign w:val="center"/>
                </w:tcPr>
                <w:p w14:paraId="583E6DBC">
                  <w:pPr>
                    <w:jc w:val="center"/>
                    <w:rPr>
                      <w:rFonts w:hint="default" w:ascii="Times New Roman" w:hAnsi="Times New Roman" w:cs="Times New Roman"/>
                      <w:color w:val="auto"/>
                      <w:szCs w:val="21"/>
                    </w:rPr>
                  </w:pPr>
                  <w:r>
                    <w:rPr>
                      <w:rFonts w:hint="default" w:ascii="Times New Roman" w:hAnsi="Times New Roman" w:cs="Times New Roman"/>
                      <w:color w:val="auto"/>
                      <w:szCs w:val="21"/>
                    </w:rPr>
                    <w:t>0.84</w:t>
                  </w:r>
                </w:p>
              </w:tc>
              <w:tc>
                <w:tcPr>
                  <w:tcW w:w="1397" w:type="pct"/>
                  <w:gridSpan w:val="3"/>
                  <w:vAlign w:val="center"/>
                </w:tcPr>
                <w:p w14:paraId="60FDE0C4">
                  <w:pPr>
                    <w:jc w:val="center"/>
                    <w:rPr>
                      <w:rFonts w:hint="default" w:ascii="Times New Roman" w:hAnsi="Times New Roman" w:cs="Times New Roman"/>
                      <w:color w:val="auto"/>
                      <w:szCs w:val="21"/>
                    </w:rPr>
                  </w:pPr>
                  <w:r>
                    <w:rPr>
                      <w:rFonts w:hint="default" w:ascii="Times New Roman" w:hAnsi="Times New Roman" w:cs="Times New Roman"/>
                      <w:color w:val="auto"/>
                      <w:szCs w:val="21"/>
                    </w:rPr>
                    <w:t>0.84</w:t>
                  </w:r>
                </w:p>
              </w:tc>
              <w:tc>
                <w:tcPr>
                  <w:tcW w:w="1392" w:type="pct"/>
                  <w:gridSpan w:val="3"/>
                  <w:vAlign w:val="center"/>
                </w:tcPr>
                <w:p w14:paraId="527746CB">
                  <w:pPr>
                    <w:jc w:val="center"/>
                    <w:rPr>
                      <w:rFonts w:hint="default" w:ascii="Times New Roman" w:hAnsi="Times New Roman" w:cs="Times New Roman"/>
                      <w:color w:val="auto"/>
                      <w:szCs w:val="21"/>
                    </w:rPr>
                  </w:pPr>
                  <w:r>
                    <w:rPr>
                      <w:rFonts w:hint="default" w:ascii="Times New Roman" w:hAnsi="Times New Roman" w:cs="Times New Roman"/>
                      <w:color w:val="auto"/>
                      <w:szCs w:val="21"/>
                    </w:rPr>
                    <w:t>0.76</w:t>
                  </w:r>
                </w:p>
              </w:tc>
            </w:tr>
          </w:tbl>
          <w:p w14:paraId="2F80E063">
            <w:pPr>
              <w:adjustRightInd w:val="0"/>
              <w:snapToGrid w:val="0"/>
              <w:spacing w:line="500" w:lineRule="exact"/>
              <w:ind w:firstLine="480" w:firstLineChars="200"/>
              <w:jc w:val="left"/>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经计算，</w:t>
            </w:r>
            <w:r>
              <w:rPr>
                <w:rFonts w:hint="default" w:ascii="Times New Roman" w:hAnsi="Times New Roman" w:cs="Times New Roman"/>
                <w:color w:val="auto"/>
                <w:sz w:val="24"/>
              </w:rPr>
              <w:t>本项目卫生防护距离计算结果见下表。</w:t>
            </w:r>
          </w:p>
          <w:p w14:paraId="34411BC6">
            <w:pPr>
              <w:adjustRightInd w:val="0"/>
              <w:snapToGrid w:val="0"/>
              <w:spacing w:line="5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cs="Times New Roman"/>
                <w:b/>
                <w:color w:val="auto"/>
                <w:szCs w:val="21"/>
                <w:lang w:val="en-US" w:eastAsia="zh-CN"/>
              </w:rPr>
              <w:t>9</w:t>
            </w:r>
            <w:r>
              <w:rPr>
                <w:rFonts w:hint="default" w:ascii="Times New Roman" w:hAnsi="Times New Roman" w:cs="Times New Roman"/>
                <w:b/>
                <w:color w:val="auto"/>
                <w:szCs w:val="21"/>
                <w:lang w:val="en-US" w:eastAsia="zh-CN"/>
              </w:rPr>
              <w:t>本项目</w:t>
            </w:r>
            <w:r>
              <w:rPr>
                <w:rFonts w:hint="default" w:ascii="Times New Roman" w:hAnsi="Times New Roman" w:cs="Times New Roman"/>
                <w:b/>
                <w:color w:val="auto"/>
                <w:szCs w:val="21"/>
              </w:rPr>
              <w:t>污染物卫生防护距离计算表</w:t>
            </w:r>
          </w:p>
          <w:tbl>
            <w:tblPr>
              <w:tblStyle w:val="28"/>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712"/>
              <w:gridCol w:w="811"/>
              <w:gridCol w:w="1115"/>
              <w:gridCol w:w="709"/>
              <w:gridCol w:w="709"/>
              <w:gridCol w:w="709"/>
              <w:gridCol w:w="711"/>
              <w:gridCol w:w="1141"/>
              <w:gridCol w:w="808"/>
              <w:gridCol w:w="776"/>
            </w:tblGrid>
            <w:tr w14:paraId="3E5BB9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34" w:type="pct"/>
                  <w:vAlign w:val="center"/>
                </w:tcPr>
                <w:p w14:paraId="1DA62874">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污染源</w:t>
                  </w:r>
                </w:p>
              </w:tc>
              <w:tc>
                <w:tcPr>
                  <w:tcW w:w="494" w:type="pct"/>
                  <w:vAlign w:val="center"/>
                </w:tcPr>
                <w:p w14:paraId="2C021A61">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影响因子</w:t>
                  </w:r>
                </w:p>
              </w:tc>
              <w:tc>
                <w:tcPr>
                  <w:tcW w:w="679" w:type="pct"/>
                  <w:vAlign w:val="center"/>
                </w:tcPr>
                <w:p w14:paraId="1E4B1CA0">
                  <w:pPr>
                    <w:jc w:val="center"/>
                    <w:rPr>
                      <w:rFonts w:hint="default" w:ascii="Times New Roman" w:hAnsi="Times New Roman" w:cs="Times New Roman"/>
                      <w:b/>
                      <w:color w:val="auto"/>
                    </w:rPr>
                  </w:pPr>
                  <w:r>
                    <w:rPr>
                      <w:rFonts w:hint="default" w:ascii="Times New Roman" w:hAnsi="Times New Roman" w:cs="Times New Roman"/>
                      <w:b/>
                      <w:color w:val="auto"/>
                    </w:rPr>
                    <w:t>Qc</w:t>
                  </w:r>
                </w:p>
                <w:p w14:paraId="7B37C2FD">
                  <w:pPr>
                    <w:jc w:val="center"/>
                    <w:rPr>
                      <w:rFonts w:hint="default" w:ascii="Times New Roman" w:hAnsi="Times New Roman" w:cs="Times New Roman"/>
                      <w:b/>
                      <w:color w:val="auto"/>
                    </w:rPr>
                  </w:pPr>
                  <w:r>
                    <w:rPr>
                      <w:rFonts w:hint="default" w:ascii="Times New Roman" w:hAnsi="Times New Roman" w:cs="Times New Roman"/>
                      <w:b/>
                      <w:color w:val="auto"/>
                    </w:rPr>
                    <w:t>（kg/h）</w:t>
                  </w:r>
                </w:p>
              </w:tc>
              <w:tc>
                <w:tcPr>
                  <w:tcW w:w="432" w:type="pct"/>
                  <w:vAlign w:val="center"/>
                </w:tcPr>
                <w:p w14:paraId="37D955B1">
                  <w:pPr>
                    <w:jc w:val="center"/>
                    <w:rPr>
                      <w:rFonts w:hint="default" w:ascii="Times New Roman" w:hAnsi="Times New Roman" w:cs="Times New Roman"/>
                      <w:b/>
                      <w:color w:val="auto"/>
                    </w:rPr>
                  </w:pPr>
                  <w:r>
                    <w:rPr>
                      <w:rFonts w:hint="default" w:ascii="Times New Roman" w:hAnsi="Times New Roman" w:cs="Times New Roman"/>
                      <w:b/>
                      <w:color w:val="auto"/>
                    </w:rPr>
                    <w:t>A</w:t>
                  </w:r>
                </w:p>
              </w:tc>
              <w:tc>
                <w:tcPr>
                  <w:tcW w:w="432" w:type="pct"/>
                  <w:vAlign w:val="center"/>
                </w:tcPr>
                <w:p w14:paraId="21133F94">
                  <w:pPr>
                    <w:jc w:val="center"/>
                    <w:rPr>
                      <w:rFonts w:hint="default" w:ascii="Times New Roman" w:hAnsi="Times New Roman" w:cs="Times New Roman"/>
                      <w:b/>
                      <w:color w:val="auto"/>
                    </w:rPr>
                  </w:pPr>
                  <w:r>
                    <w:rPr>
                      <w:rFonts w:hint="default" w:ascii="Times New Roman" w:hAnsi="Times New Roman" w:cs="Times New Roman"/>
                      <w:b/>
                      <w:color w:val="auto"/>
                    </w:rPr>
                    <w:t>B</w:t>
                  </w:r>
                </w:p>
              </w:tc>
              <w:tc>
                <w:tcPr>
                  <w:tcW w:w="432" w:type="pct"/>
                  <w:vAlign w:val="center"/>
                </w:tcPr>
                <w:p w14:paraId="3427E918">
                  <w:pPr>
                    <w:jc w:val="center"/>
                    <w:rPr>
                      <w:rFonts w:hint="default" w:ascii="Times New Roman" w:hAnsi="Times New Roman" w:cs="Times New Roman"/>
                      <w:b/>
                      <w:color w:val="auto"/>
                    </w:rPr>
                  </w:pPr>
                  <w:r>
                    <w:rPr>
                      <w:rFonts w:hint="default" w:ascii="Times New Roman" w:hAnsi="Times New Roman" w:cs="Times New Roman"/>
                      <w:b/>
                      <w:color w:val="auto"/>
                    </w:rPr>
                    <w:t>C</w:t>
                  </w:r>
                </w:p>
              </w:tc>
              <w:tc>
                <w:tcPr>
                  <w:tcW w:w="433" w:type="pct"/>
                  <w:vAlign w:val="center"/>
                </w:tcPr>
                <w:p w14:paraId="67BCAED3">
                  <w:pPr>
                    <w:jc w:val="center"/>
                    <w:rPr>
                      <w:rFonts w:hint="default" w:ascii="Times New Roman" w:hAnsi="Times New Roman" w:cs="Times New Roman"/>
                      <w:b/>
                      <w:color w:val="auto"/>
                    </w:rPr>
                  </w:pPr>
                  <w:r>
                    <w:rPr>
                      <w:rFonts w:hint="default" w:ascii="Times New Roman" w:hAnsi="Times New Roman" w:cs="Times New Roman"/>
                      <w:b/>
                      <w:color w:val="auto"/>
                    </w:rPr>
                    <w:t>D</w:t>
                  </w:r>
                </w:p>
              </w:tc>
              <w:tc>
                <w:tcPr>
                  <w:tcW w:w="695" w:type="pct"/>
                  <w:vAlign w:val="center"/>
                </w:tcPr>
                <w:p w14:paraId="3BC5EFFD">
                  <w:pPr>
                    <w:jc w:val="center"/>
                    <w:rPr>
                      <w:rFonts w:hint="default" w:ascii="Times New Roman" w:hAnsi="Times New Roman" w:cs="Times New Roman"/>
                      <w:b/>
                      <w:color w:val="auto"/>
                    </w:rPr>
                  </w:pPr>
                  <w:r>
                    <w:rPr>
                      <w:rFonts w:hint="default" w:ascii="Times New Roman" w:hAnsi="Times New Roman" w:cs="Times New Roman"/>
                      <w:b/>
                      <w:color w:val="auto"/>
                    </w:rPr>
                    <w:t>Cm</w:t>
                  </w:r>
                </w:p>
                <w:p w14:paraId="74080EFB">
                  <w:pPr>
                    <w:jc w:val="center"/>
                    <w:rPr>
                      <w:rFonts w:hint="default" w:ascii="Times New Roman" w:hAnsi="Times New Roman" w:cs="Times New Roman"/>
                      <w:b/>
                      <w:color w:val="auto"/>
                    </w:rPr>
                  </w:pPr>
                  <w:r>
                    <w:rPr>
                      <w:rFonts w:hint="default" w:ascii="Times New Roman" w:hAnsi="Times New Roman" w:cs="Times New Roman"/>
                      <w:b/>
                      <w:color w:val="auto"/>
                    </w:rPr>
                    <w:t>（mg/m</w:t>
                  </w:r>
                  <w:r>
                    <w:rPr>
                      <w:rFonts w:hint="default" w:ascii="Times New Roman" w:hAnsi="Times New Roman" w:cs="Times New Roman"/>
                      <w:b/>
                      <w:color w:val="auto"/>
                      <w:vertAlign w:val="superscript"/>
                    </w:rPr>
                    <w:t>3</w:t>
                  </w:r>
                  <w:r>
                    <w:rPr>
                      <w:rFonts w:hint="default" w:ascii="Times New Roman" w:hAnsi="Times New Roman" w:cs="Times New Roman"/>
                      <w:b/>
                      <w:color w:val="auto"/>
                    </w:rPr>
                    <w:t>）</w:t>
                  </w:r>
                </w:p>
              </w:tc>
              <w:tc>
                <w:tcPr>
                  <w:tcW w:w="492" w:type="pct"/>
                  <w:vAlign w:val="center"/>
                </w:tcPr>
                <w:p w14:paraId="10D5A50E">
                  <w:pPr>
                    <w:jc w:val="center"/>
                    <w:rPr>
                      <w:rFonts w:hint="default" w:ascii="Times New Roman" w:hAnsi="Times New Roman" w:cs="Times New Roman"/>
                      <w:b/>
                      <w:color w:val="auto"/>
                    </w:rPr>
                  </w:pPr>
                  <w:r>
                    <w:rPr>
                      <w:rFonts w:hint="default" w:ascii="Times New Roman" w:hAnsi="Times New Roman" w:cs="Times New Roman"/>
                      <w:b/>
                      <w:color w:val="auto"/>
                    </w:rPr>
                    <w:t>L计算</w:t>
                  </w:r>
                </w:p>
                <w:p w14:paraId="345A6510">
                  <w:pPr>
                    <w:jc w:val="center"/>
                    <w:rPr>
                      <w:rFonts w:hint="default" w:ascii="Times New Roman" w:hAnsi="Times New Roman" w:cs="Times New Roman"/>
                      <w:b/>
                      <w:color w:val="auto"/>
                    </w:rPr>
                  </w:pPr>
                  <w:r>
                    <w:rPr>
                      <w:rFonts w:hint="default" w:ascii="Times New Roman" w:hAnsi="Times New Roman" w:cs="Times New Roman"/>
                      <w:b/>
                      <w:color w:val="auto"/>
                    </w:rPr>
                    <w:t>（m）</w:t>
                  </w:r>
                </w:p>
              </w:tc>
              <w:tc>
                <w:tcPr>
                  <w:tcW w:w="473" w:type="pct"/>
                  <w:vAlign w:val="center"/>
                </w:tcPr>
                <w:p w14:paraId="691797C6">
                  <w:pPr>
                    <w:jc w:val="center"/>
                    <w:rPr>
                      <w:rFonts w:hint="default" w:ascii="Times New Roman" w:hAnsi="Times New Roman" w:cs="Times New Roman"/>
                      <w:b/>
                      <w:color w:val="auto"/>
                    </w:rPr>
                  </w:pPr>
                  <w:r>
                    <w:rPr>
                      <w:rFonts w:hint="default" w:ascii="Times New Roman" w:hAnsi="Times New Roman" w:cs="Times New Roman"/>
                      <w:b/>
                      <w:color w:val="auto"/>
                    </w:rPr>
                    <w:t>L</w:t>
                  </w:r>
                </w:p>
                <w:p w14:paraId="175B7B9F">
                  <w:pPr>
                    <w:jc w:val="center"/>
                    <w:rPr>
                      <w:rFonts w:hint="default" w:ascii="Times New Roman" w:hAnsi="Times New Roman" w:cs="Times New Roman"/>
                      <w:b/>
                      <w:color w:val="auto"/>
                    </w:rPr>
                  </w:pPr>
                  <w:r>
                    <w:rPr>
                      <w:rFonts w:hint="default" w:ascii="Times New Roman" w:hAnsi="Times New Roman" w:cs="Times New Roman"/>
                      <w:b/>
                      <w:color w:val="auto"/>
                    </w:rPr>
                    <w:t>（m）</w:t>
                  </w:r>
                </w:p>
              </w:tc>
            </w:tr>
            <w:tr w14:paraId="0A40D3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34" w:type="pct"/>
                  <w:vAlign w:val="center"/>
                </w:tcPr>
                <w:p w14:paraId="7F4E6456">
                  <w:pPr>
                    <w:pStyle w:val="18"/>
                    <w:tabs>
                      <w:tab w:val="clear" w:pos="4153"/>
                      <w:tab w:val="clear" w:pos="8306"/>
                    </w:tabs>
                    <w:adjustRightInd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车间</w:t>
                  </w:r>
                </w:p>
              </w:tc>
              <w:tc>
                <w:tcPr>
                  <w:tcW w:w="494" w:type="pct"/>
                  <w:vAlign w:val="center"/>
                </w:tcPr>
                <w:p w14:paraId="3334D4CD">
                  <w:pPr>
                    <w:pStyle w:val="18"/>
                    <w:tabs>
                      <w:tab w:val="clear" w:pos="4153"/>
                      <w:tab w:val="clear" w:pos="8306"/>
                    </w:tabs>
                    <w:adjustRightInd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679" w:type="pct"/>
                  <w:vAlign w:val="center"/>
                </w:tcPr>
                <w:p w14:paraId="554AA7AC">
                  <w:pPr>
                    <w:pStyle w:val="6"/>
                    <w:adjustRightInd w:val="0"/>
                    <w:snapToGrid w:val="0"/>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eastAsiaTheme="minorEastAsia"/>
                      <w:bCs/>
                      <w:color w:val="auto"/>
                      <w:kern w:val="2"/>
                      <w:sz w:val="21"/>
                      <w:szCs w:val="22"/>
                      <w:lang w:val="en-US" w:eastAsia="zh-CN" w:bidi="ar-SA"/>
                    </w:rPr>
                    <w:t>0.0</w:t>
                  </w:r>
                  <w:r>
                    <w:rPr>
                      <w:rFonts w:hint="eastAsia" w:ascii="Times New Roman" w:hAnsi="Times New Roman" w:cs="Times New Roman" w:eastAsiaTheme="minorEastAsia"/>
                      <w:bCs/>
                      <w:color w:val="auto"/>
                      <w:kern w:val="2"/>
                      <w:sz w:val="21"/>
                      <w:szCs w:val="22"/>
                      <w:lang w:val="en-US" w:eastAsia="zh-CN" w:bidi="ar-SA"/>
                    </w:rPr>
                    <w:t>2</w:t>
                  </w:r>
                </w:p>
              </w:tc>
              <w:tc>
                <w:tcPr>
                  <w:tcW w:w="432" w:type="pct"/>
                  <w:vAlign w:val="center"/>
                </w:tcPr>
                <w:p w14:paraId="7E13C65A">
                  <w:pPr>
                    <w:pStyle w:val="6"/>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470</w:t>
                  </w:r>
                </w:p>
              </w:tc>
              <w:tc>
                <w:tcPr>
                  <w:tcW w:w="432" w:type="pct"/>
                  <w:vAlign w:val="center"/>
                </w:tcPr>
                <w:p w14:paraId="68039D12">
                  <w:pPr>
                    <w:pStyle w:val="6"/>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0.021</w:t>
                  </w:r>
                </w:p>
              </w:tc>
              <w:tc>
                <w:tcPr>
                  <w:tcW w:w="432" w:type="pct"/>
                  <w:vAlign w:val="center"/>
                </w:tcPr>
                <w:p w14:paraId="676F3684">
                  <w:pPr>
                    <w:pStyle w:val="6"/>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1.85</w:t>
                  </w:r>
                </w:p>
              </w:tc>
              <w:tc>
                <w:tcPr>
                  <w:tcW w:w="433" w:type="pct"/>
                  <w:vAlign w:val="center"/>
                </w:tcPr>
                <w:p w14:paraId="6A1D2C52">
                  <w:pPr>
                    <w:pStyle w:val="6"/>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0.84</w:t>
                  </w:r>
                </w:p>
              </w:tc>
              <w:tc>
                <w:tcPr>
                  <w:tcW w:w="695" w:type="pct"/>
                  <w:vAlign w:val="center"/>
                </w:tcPr>
                <w:p w14:paraId="209F3255">
                  <w:pPr>
                    <w:pStyle w:val="6"/>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color w:val="auto"/>
                      <w:sz w:val="21"/>
                      <w:szCs w:val="21"/>
                      <w:lang w:val="en-US" w:eastAsia="zh-CN"/>
                    </w:rPr>
                    <w:t>2.0</w:t>
                  </w:r>
                </w:p>
              </w:tc>
              <w:tc>
                <w:tcPr>
                  <w:tcW w:w="492" w:type="pct"/>
                  <w:vAlign w:val="center"/>
                </w:tcPr>
                <w:p w14:paraId="646F58F8">
                  <w:pPr>
                    <w:pStyle w:val="6"/>
                    <w:adjustRightInd w:val="0"/>
                    <w:snapToGrid w:val="0"/>
                    <w:ind w:firstLine="0"/>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&lt;50</w:t>
                  </w:r>
                </w:p>
              </w:tc>
              <w:tc>
                <w:tcPr>
                  <w:tcW w:w="473" w:type="pct"/>
                  <w:vAlign w:val="center"/>
                </w:tcPr>
                <w:p w14:paraId="3501475D">
                  <w:pPr>
                    <w:tabs>
                      <w:tab w:val="left" w:pos="1418"/>
                    </w:tabs>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w:t>
                  </w:r>
                </w:p>
              </w:tc>
            </w:tr>
          </w:tbl>
          <w:p w14:paraId="581DE39B">
            <w:pPr>
              <w:adjustRightInd w:val="0"/>
              <w:snapToGrid w:val="0"/>
              <w:spacing w:line="500" w:lineRule="exact"/>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rPr>
              <w:t>由上表可知，</w:t>
            </w:r>
            <w:r>
              <w:rPr>
                <w:rFonts w:hint="default" w:ascii="Times New Roman" w:hAnsi="Times New Roman" w:cs="Times New Roman"/>
                <w:color w:val="auto"/>
                <w:sz w:val="24"/>
                <w:highlight w:val="none"/>
              </w:rPr>
              <w:t>项目建成后，卫生防护距离为</w:t>
            </w:r>
            <w:r>
              <w:rPr>
                <w:rFonts w:hint="eastAsia" w:cs="Times New Roman"/>
                <w:color w:val="auto"/>
                <w:sz w:val="24"/>
                <w:highlight w:val="none"/>
                <w:lang w:eastAsia="zh-CN"/>
              </w:rPr>
              <w:t>车间</w:t>
            </w:r>
            <w:r>
              <w:rPr>
                <w:rFonts w:hint="default" w:ascii="Times New Roman" w:hAnsi="Times New Roman" w:cs="Times New Roman"/>
                <w:color w:val="auto"/>
                <w:sz w:val="24"/>
                <w:highlight w:val="none"/>
              </w:rPr>
              <w:t>外扩</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0m形成的区域，经实地勘察，项目卫生防护距离内目前无居住、医院、学校等环境敏感点。</w:t>
            </w:r>
          </w:p>
          <w:p w14:paraId="308B007A">
            <w:pPr>
              <w:tabs>
                <w:tab w:val="left" w:pos="1155"/>
              </w:tabs>
              <w:adjustRightInd w:val="0"/>
              <w:snapToGrid w:val="0"/>
              <w:spacing w:line="500" w:lineRule="exact"/>
              <w:ind w:firstLine="482" w:firstLineChars="200"/>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val="en-US" w:eastAsia="zh-CN"/>
              </w:rPr>
              <w:t>排气筒设置合理性分析及相关标识要求</w:t>
            </w:r>
          </w:p>
          <w:p w14:paraId="0968511F">
            <w:pPr>
              <w:tabs>
                <w:tab w:val="left" w:pos="1155"/>
              </w:tabs>
              <w:adjustRightInd w:val="0"/>
              <w:snapToGrid w:val="0"/>
              <w:spacing w:line="500" w:lineRule="exact"/>
              <w:ind w:firstLine="480" w:firstLineChars="200"/>
              <w:rPr>
                <w:rFonts w:hint="eastAsia" w:cs="Times New Roman"/>
                <w:b/>
                <w:bCs/>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本项目根据废气产生情况、污染物性质和处理方式，</w:t>
            </w:r>
            <w:r>
              <w:rPr>
                <w:rFonts w:hint="eastAsia" w:ascii="Times New Roman" w:hAnsi="Times New Roman" w:cs="Times New Roman"/>
                <w:color w:val="auto"/>
                <w:sz w:val="24"/>
                <w:highlight w:val="none"/>
                <w:lang w:val="en-US" w:eastAsia="zh-CN"/>
              </w:rPr>
              <w:t>设置</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根废气排气筒。排气筒高度符合相关规定要求，并遵循排放同类污染物的排气筒合并的原则，尽量减少排气筒设置。排气筒中各污染物排放浓度及排放速率均能稳定达标，经本报告大气环境影响预测，对周围大气环境影响较小，可确保大气环境质量达标。因此，本项目中排气筒设置合理。</w:t>
            </w:r>
          </w:p>
          <w:p w14:paraId="7F858A5E">
            <w:pPr>
              <w:tabs>
                <w:tab w:val="left" w:pos="1155"/>
              </w:tabs>
              <w:adjustRightInd w:val="0"/>
              <w:snapToGrid w:val="0"/>
              <w:spacing w:line="500" w:lineRule="exact"/>
              <w:ind w:firstLine="482" w:firstLineChars="200"/>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lang w:val="en-US" w:eastAsia="zh-CN"/>
              </w:rPr>
              <w:t>废气排放环境影响分析</w:t>
            </w:r>
          </w:p>
          <w:p w14:paraId="18B16EB7">
            <w:pPr>
              <w:adjustRightInd w:val="0"/>
              <w:snapToGrid w:val="0"/>
              <w:spacing w:line="500" w:lineRule="exact"/>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常州市目前属于环境空气质量不达标区，为改善大气环境质量，常州市印发、实施了多项改善大气环境质量、强化废气排放管控的方案和举措，在积极采取管控措施后，常州市环境空气质量将得到持续改善。</w:t>
            </w:r>
          </w:p>
          <w:p w14:paraId="062A3675">
            <w:pPr>
              <w:adjustRightInd w:val="0"/>
              <w:snapToGrid w:val="0"/>
              <w:spacing w:line="500" w:lineRule="exact"/>
              <w:ind w:firstLine="480" w:firstLineChars="200"/>
              <w:rPr>
                <w:rFonts w:hint="default" w:ascii="Times New Roman" w:hAnsi="Times New Roman" w:cs="Times New Roman"/>
                <w:b/>
                <w:bCs/>
                <w:color w:val="auto"/>
                <w:sz w:val="24"/>
              </w:rPr>
            </w:pPr>
            <w:r>
              <w:rPr>
                <w:rFonts w:hint="default" w:ascii="Times New Roman" w:hAnsi="Times New Roman" w:cs="Times New Roman"/>
                <w:bCs/>
                <w:color w:val="auto"/>
                <w:sz w:val="24"/>
                <w:lang w:val="en-US" w:eastAsia="zh-CN"/>
              </w:rPr>
              <w:t>本项目排放的大气污染物为非甲烷总烃，针对各产污环节，均采取了合适可行的污染治理措施，经收集处理后的污染物排放强度较低，且本项目</w:t>
            </w:r>
            <w:r>
              <w:rPr>
                <w:rFonts w:hint="default" w:ascii="Times New Roman" w:hAnsi="Times New Roman" w:cs="Times New Roman"/>
                <w:bCs/>
                <w:color w:val="auto"/>
                <w:sz w:val="24"/>
                <w:highlight w:val="none"/>
              </w:rPr>
              <w:t>满足</w:t>
            </w:r>
            <w:r>
              <w:rPr>
                <w:rFonts w:hint="default" w:ascii="Times New Roman" w:hAnsi="Times New Roman" w:cs="Times New Roman"/>
                <w:bCs/>
                <w:color w:val="auto"/>
                <w:sz w:val="24"/>
                <w:highlight w:val="none"/>
                <w:lang w:val="en-US" w:eastAsia="zh-CN"/>
              </w:rPr>
              <w:t>大气</w:t>
            </w:r>
            <w:r>
              <w:rPr>
                <w:rFonts w:hint="default" w:ascii="Times New Roman" w:hAnsi="Times New Roman" w:cs="Times New Roman"/>
                <w:bCs/>
                <w:color w:val="auto"/>
                <w:sz w:val="24"/>
                <w:highlight w:val="none"/>
              </w:rPr>
              <w:t>卫生防护距离设置要求</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故</w:t>
            </w:r>
            <w:r>
              <w:rPr>
                <w:rFonts w:hint="default" w:ascii="Times New Roman" w:hAnsi="Times New Roman" w:cs="Times New Roman"/>
                <w:bCs/>
                <w:color w:val="auto"/>
                <w:sz w:val="24"/>
                <w:szCs w:val="22"/>
              </w:rPr>
              <w:t>本项目废气</w:t>
            </w:r>
            <w:r>
              <w:rPr>
                <w:rFonts w:hint="default" w:ascii="Times New Roman" w:hAnsi="Times New Roman" w:cs="Times New Roman"/>
                <w:bCs/>
                <w:color w:val="auto"/>
                <w:sz w:val="24"/>
                <w:szCs w:val="22"/>
                <w:lang w:val="en-US" w:eastAsia="zh-CN"/>
              </w:rPr>
              <w:t>排放的</w:t>
            </w:r>
            <w:r>
              <w:rPr>
                <w:rFonts w:hint="default" w:ascii="Times New Roman" w:hAnsi="Times New Roman" w:cs="Times New Roman"/>
                <w:bCs/>
                <w:color w:val="auto"/>
                <w:sz w:val="24"/>
                <w:szCs w:val="22"/>
              </w:rPr>
              <w:t>环境影响较小。</w:t>
            </w:r>
          </w:p>
          <w:p w14:paraId="5E0AFAD2">
            <w:pPr>
              <w:adjustRightInd w:val="0"/>
              <w:snapToGrid w:val="0"/>
              <w:spacing w:line="500" w:lineRule="exact"/>
              <w:rPr>
                <w:rFonts w:hint="default" w:ascii="Times New Roman" w:hAnsi="Times New Roman" w:cs="Times New Roman"/>
                <w:b/>
                <w:color w:val="auto"/>
                <w:sz w:val="24"/>
              </w:rPr>
            </w:pPr>
            <w:r>
              <w:rPr>
                <w:rFonts w:hint="eastAsia" w:cs="Times New Roman"/>
                <w:b/>
                <w:color w:val="auto"/>
                <w:sz w:val="24"/>
                <w:lang w:eastAsia="zh-CN"/>
              </w:rPr>
              <w:t>二</w:t>
            </w:r>
            <w:r>
              <w:rPr>
                <w:rFonts w:hint="default" w:ascii="Times New Roman" w:hAnsi="Times New Roman" w:cs="Times New Roman"/>
                <w:b/>
                <w:color w:val="auto"/>
                <w:sz w:val="24"/>
              </w:rPr>
              <w:t>、废水</w:t>
            </w:r>
          </w:p>
          <w:p w14:paraId="79AB35B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 w:val="0"/>
                <w:bCs/>
                <w:color w:val="auto"/>
                <w:sz w:val="24"/>
              </w:rPr>
            </w:pPr>
            <w:r>
              <w:rPr>
                <w:rFonts w:hint="eastAsia" w:cs="Times New Roman"/>
                <w:b w:val="0"/>
                <w:bCs/>
                <w:color w:val="auto"/>
                <w:sz w:val="24"/>
                <w:lang w:val="en-US" w:eastAsia="zh-CN"/>
              </w:rPr>
              <w:t>1、</w:t>
            </w:r>
            <w:r>
              <w:rPr>
                <w:rFonts w:hint="default" w:ascii="Times New Roman" w:hAnsi="Times New Roman" w:cs="Times New Roman"/>
                <w:b w:val="0"/>
                <w:bCs/>
                <w:color w:val="auto"/>
                <w:sz w:val="24"/>
                <w:lang w:val="en-US" w:eastAsia="zh-CN"/>
              </w:rPr>
              <w:t>废水</w:t>
            </w:r>
            <w:r>
              <w:rPr>
                <w:rFonts w:hint="default" w:ascii="Times New Roman" w:hAnsi="Times New Roman" w:cs="Times New Roman"/>
                <w:b w:val="0"/>
                <w:bCs/>
                <w:color w:val="auto"/>
                <w:sz w:val="24"/>
              </w:rPr>
              <w:t>产</w:t>
            </w:r>
            <w:r>
              <w:rPr>
                <w:rFonts w:hint="default" w:ascii="Times New Roman" w:hAnsi="Times New Roman" w:cs="Times New Roman"/>
                <w:b w:val="0"/>
                <w:bCs/>
                <w:color w:val="auto"/>
                <w:sz w:val="24"/>
                <w:lang w:val="en-US" w:eastAsia="zh-CN"/>
              </w:rPr>
              <w:t>生</w:t>
            </w:r>
            <w:r>
              <w:rPr>
                <w:rFonts w:hint="default" w:ascii="Times New Roman" w:hAnsi="Times New Roman" w:cs="Times New Roman"/>
                <w:b w:val="0"/>
                <w:bCs/>
                <w:color w:val="auto"/>
                <w:sz w:val="24"/>
              </w:rPr>
              <w:t>情况</w:t>
            </w:r>
          </w:p>
          <w:p w14:paraId="66E07E37">
            <w:pPr>
              <w:pStyle w:val="11"/>
              <w:keepNext w:val="0"/>
              <w:keepLines w:val="0"/>
              <w:pageBreakBefore w:val="0"/>
              <w:widowControl w:val="0"/>
              <w:kinsoku/>
              <w:wordWrap/>
              <w:overflowPunct/>
              <w:topLinePunct w:val="0"/>
              <w:autoSpaceDE/>
              <w:autoSpaceDN/>
              <w:bidi w:val="0"/>
              <w:adjustRightInd w:val="0"/>
              <w:snapToGrid w:val="0"/>
              <w:spacing w:after="0" w:line="500" w:lineRule="exact"/>
              <w:ind w:left="482" w:leftChars="0" w:right="147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生活用水</w:t>
            </w:r>
          </w:p>
          <w:p w14:paraId="118AB35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b/>
                <w:bCs/>
                <w:color w:val="auto"/>
                <w:szCs w:val="21"/>
              </w:rPr>
            </w:pPr>
            <w:r>
              <w:rPr>
                <w:color w:val="auto"/>
                <w:sz w:val="24"/>
              </w:rPr>
              <w:t>本项目</w:t>
            </w:r>
            <w:r>
              <w:rPr>
                <w:rFonts w:hint="eastAsia"/>
                <w:color w:val="auto"/>
                <w:sz w:val="24"/>
                <w:lang w:val="en-US" w:eastAsia="zh-CN"/>
              </w:rPr>
              <w:t>劳动定员15</w:t>
            </w:r>
            <w:r>
              <w:rPr>
                <w:color w:val="auto"/>
                <w:sz w:val="24"/>
              </w:rPr>
              <w:t>人，年工作</w:t>
            </w:r>
            <w:r>
              <w:rPr>
                <w:rFonts w:hint="default" w:ascii="Times New Roman" w:hAnsi="Times New Roman" w:cs="Times New Roman"/>
                <w:color w:val="auto"/>
                <w:sz w:val="24"/>
              </w:rPr>
              <w:t>3</w:t>
            </w:r>
            <w:r>
              <w:rPr>
                <w:rFonts w:hint="eastAsia" w:cs="Times New Roman"/>
                <w:color w:val="auto"/>
                <w:sz w:val="24"/>
                <w:lang w:val="en-US" w:eastAsia="zh-CN"/>
              </w:rPr>
              <w:t>0</w:t>
            </w:r>
            <w:r>
              <w:rPr>
                <w:rFonts w:hint="default" w:ascii="Times New Roman" w:hAnsi="Times New Roman" w:cs="Times New Roman"/>
                <w:color w:val="auto"/>
                <w:sz w:val="24"/>
              </w:rPr>
              <w:t>0</w:t>
            </w:r>
            <w:r>
              <w:rPr>
                <w:color w:val="auto"/>
                <w:sz w:val="24"/>
              </w:rPr>
              <w:t>天，不设食堂、宿舍和浴室。人均生活用水定额按</w:t>
            </w:r>
            <w:r>
              <w:rPr>
                <w:rFonts w:hint="eastAsia"/>
                <w:color w:val="auto"/>
                <w:sz w:val="24"/>
                <w:lang w:val="en-US" w:eastAsia="zh-CN"/>
              </w:rPr>
              <w:t>10</w:t>
            </w:r>
            <w:r>
              <w:rPr>
                <w:rFonts w:hint="eastAsia"/>
                <w:color w:val="auto"/>
                <w:sz w:val="24"/>
              </w:rPr>
              <w:t>0</w:t>
            </w:r>
            <w:r>
              <w:rPr>
                <w:color w:val="auto"/>
                <w:sz w:val="24"/>
              </w:rPr>
              <w:t>L/（人·天）计，则生活用水量为</w:t>
            </w:r>
            <w:r>
              <w:rPr>
                <w:rFonts w:hint="eastAsia"/>
                <w:color w:val="auto"/>
                <w:sz w:val="24"/>
                <w:lang w:val="en-US" w:eastAsia="zh-CN"/>
              </w:rPr>
              <w:t>45</w:t>
            </w:r>
            <w:r>
              <w:rPr>
                <w:rFonts w:hint="eastAsia"/>
                <w:color w:val="auto"/>
                <w:sz w:val="24"/>
              </w:rPr>
              <w:t>0</w:t>
            </w:r>
            <w:r>
              <w:rPr>
                <w:color w:val="auto"/>
                <w:sz w:val="24"/>
              </w:rPr>
              <w:t>t/a，排污系数为0.8，则生活污水排放量为</w:t>
            </w:r>
            <w:r>
              <w:rPr>
                <w:rFonts w:hint="eastAsia"/>
                <w:color w:val="auto"/>
                <w:sz w:val="24"/>
                <w:lang w:val="en-US" w:eastAsia="zh-CN"/>
              </w:rPr>
              <w:t>360</w:t>
            </w:r>
            <w:r>
              <w:rPr>
                <w:color w:val="auto"/>
                <w:sz w:val="24"/>
              </w:rPr>
              <w:t>t/a，主要污染物为：COD、SS、氨氮、</w:t>
            </w:r>
            <w:r>
              <w:rPr>
                <w:rFonts w:hint="eastAsia"/>
                <w:color w:val="auto"/>
                <w:sz w:val="24"/>
              </w:rPr>
              <w:t>TN</w:t>
            </w:r>
            <w:r>
              <w:rPr>
                <w:color w:val="auto"/>
                <w:sz w:val="24"/>
              </w:rPr>
              <w:t>、</w:t>
            </w:r>
            <w:r>
              <w:rPr>
                <w:rFonts w:hint="eastAsia"/>
                <w:color w:val="auto"/>
                <w:sz w:val="24"/>
              </w:rPr>
              <w:t>TP</w:t>
            </w:r>
            <w:r>
              <w:rPr>
                <w:color w:val="auto"/>
                <w:sz w:val="24"/>
              </w:rPr>
              <w:t>产生浓度分别为400mg/L、</w:t>
            </w:r>
            <w:r>
              <w:rPr>
                <w:rFonts w:hint="eastAsia"/>
                <w:color w:val="auto"/>
                <w:sz w:val="24"/>
              </w:rPr>
              <w:t>2</w:t>
            </w:r>
            <w:r>
              <w:rPr>
                <w:rFonts w:hint="eastAsia"/>
                <w:color w:val="auto"/>
                <w:sz w:val="24"/>
                <w:lang w:val="en-US" w:eastAsia="zh-CN"/>
              </w:rPr>
              <w:t>0</w:t>
            </w:r>
            <w:r>
              <w:rPr>
                <w:color w:val="auto"/>
                <w:sz w:val="24"/>
              </w:rPr>
              <w:t>0mg/L、3</w:t>
            </w:r>
            <w:r>
              <w:rPr>
                <w:rFonts w:hint="eastAsia"/>
                <w:color w:val="auto"/>
                <w:sz w:val="24"/>
              </w:rPr>
              <w:t>0</w:t>
            </w:r>
            <w:r>
              <w:rPr>
                <w:color w:val="auto"/>
                <w:sz w:val="24"/>
              </w:rPr>
              <w:t>mg/L、</w:t>
            </w:r>
            <w:r>
              <w:rPr>
                <w:rFonts w:hint="eastAsia"/>
                <w:color w:val="auto"/>
                <w:sz w:val="24"/>
                <w:lang w:val="en-US" w:eastAsia="zh-CN"/>
              </w:rPr>
              <w:t>40</w:t>
            </w:r>
            <w:r>
              <w:rPr>
                <w:color w:val="auto"/>
                <w:sz w:val="24"/>
              </w:rPr>
              <w:t>mg/L、</w:t>
            </w:r>
            <w:r>
              <w:rPr>
                <w:rFonts w:hint="eastAsia"/>
                <w:color w:val="auto"/>
                <w:sz w:val="24"/>
                <w:lang w:val="en-US" w:eastAsia="zh-CN"/>
              </w:rPr>
              <w:t>3</w:t>
            </w:r>
            <w:r>
              <w:rPr>
                <w:color w:val="auto"/>
                <w:sz w:val="24"/>
              </w:rPr>
              <w:t>mg/L。</w:t>
            </w:r>
          </w:p>
          <w:p w14:paraId="2A543249">
            <w:pPr>
              <w:pStyle w:val="11"/>
              <w:keepNext w:val="0"/>
              <w:keepLines w:val="0"/>
              <w:pageBreakBefore w:val="0"/>
              <w:widowControl w:val="0"/>
              <w:kinsoku/>
              <w:wordWrap/>
              <w:overflowPunct/>
              <w:topLinePunct w:val="0"/>
              <w:autoSpaceDE/>
              <w:autoSpaceDN/>
              <w:bidi w:val="0"/>
              <w:adjustRightInd w:val="0"/>
              <w:snapToGrid w:val="0"/>
              <w:spacing w:after="0" w:line="500" w:lineRule="exact"/>
              <w:ind w:left="0" w:leftChars="0" w:right="1470"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生产用水</w:t>
            </w:r>
          </w:p>
          <w:p w14:paraId="55B26CF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rPr>
            </w:pPr>
            <w:r>
              <w:rPr>
                <w:rFonts w:hint="eastAsia" w:ascii="Times New Roman" w:hAnsi="Times New Roman" w:eastAsia="宋体" w:cs="Times New Roman"/>
                <w:color w:val="auto"/>
                <w:sz w:val="24"/>
                <w:lang w:val="en-US" w:eastAsia="zh-CN"/>
              </w:rPr>
              <w:t>项目</w:t>
            </w:r>
            <w:r>
              <w:rPr>
                <w:rFonts w:hint="eastAsia" w:cs="Times New Roman"/>
                <w:color w:val="auto"/>
                <w:sz w:val="24"/>
                <w:lang w:val="en-US" w:eastAsia="zh-CN"/>
              </w:rPr>
              <w:t>吹塑机</w:t>
            </w:r>
            <w:r>
              <w:rPr>
                <w:rFonts w:hint="eastAsia" w:ascii="Times New Roman" w:hAnsi="Times New Roman" w:eastAsia="宋体" w:cs="Times New Roman"/>
                <w:color w:val="auto"/>
                <w:sz w:val="24"/>
                <w:lang w:val="en-US" w:eastAsia="zh-CN"/>
              </w:rPr>
              <w:t>模具需要循环冷却水冷却，</w:t>
            </w:r>
            <w:r>
              <w:rPr>
                <w:rFonts w:hint="eastAsia" w:cs="Times New Roman"/>
                <w:color w:val="auto"/>
                <w:sz w:val="24"/>
                <w:lang w:val="en-US" w:eastAsia="zh-CN"/>
              </w:rPr>
              <w:t>项目设有1个冷却水塔，</w:t>
            </w:r>
            <w:r>
              <w:rPr>
                <w:rFonts w:hint="eastAsia" w:ascii="Times New Roman" w:hAnsi="Times New Roman" w:eastAsia="宋体" w:cs="Times New Roman"/>
                <w:color w:val="auto"/>
                <w:sz w:val="24"/>
                <w:lang w:val="en-US" w:eastAsia="zh-CN"/>
              </w:rPr>
              <w:t>循环量为</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t/h</w:t>
            </w:r>
            <w:r>
              <w:rPr>
                <w:rFonts w:hint="eastAsia" w:ascii="Times New Roman" w:hAnsi="Times New Roman" w:eastAsia="宋体" w:cs="Times New Roman"/>
                <w:color w:val="auto"/>
                <w:sz w:val="24"/>
                <w:lang w:val="en-US" w:eastAsia="zh-CN"/>
              </w:rPr>
              <w:t>，则循环水量为</w:t>
            </w:r>
            <w:r>
              <w:rPr>
                <w:rFonts w:hint="eastAsia" w:cs="Times New Roman"/>
                <w:color w:val="auto"/>
                <w:sz w:val="24"/>
                <w:lang w:val="en-US" w:eastAsia="zh-CN"/>
              </w:rPr>
              <w:t>48</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val="en-US" w:eastAsia="zh-CN"/>
              </w:rPr>
              <w:t>0t/a</w:t>
            </w:r>
            <w:r>
              <w:rPr>
                <w:rFonts w:hint="eastAsia" w:ascii="Times New Roman" w:hAnsi="Times New Roman" w:eastAsia="宋体" w:cs="Times New Roman"/>
                <w:color w:val="auto"/>
                <w:sz w:val="24"/>
                <w:lang w:val="en-US" w:eastAsia="zh-CN"/>
              </w:rPr>
              <w:t>。冷却水蒸发量为</w:t>
            </w:r>
            <w:r>
              <w:rPr>
                <w:rFonts w:hint="eastAsia" w:cs="Times New Roman"/>
                <w:color w:val="auto"/>
                <w:sz w:val="24"/>
                <w:lang w:val="en-US" w:eastAsia="zh-CN"/>
              </w:rPr>
              <w:t>5</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，则损耗量为</w:t>
            </w:r>
            <w:r>
              <w:rPr>
                <w:rFonts w:hint="eastAsia" w:cs="Times New Roman"/>
                <w:color w:val="auto"/>
                <w:sz w:val="24"/>
                <w:lang w:val="en-US" w:eastAsia="zh-CN"/>
              </w:rPr>
              <w:t>24</w:t>
            </w:r>
            <w:r>
              <w:rPr>
                <w:rFonts w:hint="default" w:ascii="Times New Roman" w:hAnsi="Times New Roman" w:eastAsia="宋体" w:cs="Times New Roman"/>
                <w:color w:val="auto"/>
                <w:sz w:val="24"/>
                <w:lang w:val="en-US" w:eastAsia="zh-CN"/>
              </w:rPr>
              <w:t>0t/a</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本</w:t>
            </w:r>
            <w:r>
              <w:rPr>
                <w:rFonts w:hint="default" w:ascii="Times New Roman" w:hAnsi="Times New Roman" w:cs="Times New Roman"/>
                <w:color w:val="auto"/>
                <w:sz w:val="24"/>
              </w:rPr>
              <w:t>项目冷却水循环使用，不外排。</w:t>
            </w:r>
          </w:p>
          <w:p w14:paraId="67EEC765">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b/>
                <w:bCs/>
                <w:color w:val="auto"/>
                <w:sz w:val="24"/>
              </w:rPr>
            </w:pPr>
            <w:r>
              <w:rPr>
                <w:rFonts w:hint="eastAsia"/>
                <w:b/>
                <w:bCs/>
                <w:color w:val="auto"/>
                <w:sz w:val="24"/>
                <w:lang w:val="en-US" w:eastAsia="zh-CN"/>
              </w:rPr>
              <w:t>2、</w:t>
            </w:r>
            <w:r>
              <w:rPr>
                <w:b/>
                <w:bCs/>
                <w:color w:val="auto"/>
                <w:sz w:val="24"/>
              </w:rPr>
              <w:t>污染防治措施</w:t>
            </w:r>
          </w:p>
          <w:p w14:paraId="3CEBC29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auto"/>
                <w:sz w:val="24"/>
              </w:rPr>
            </w:pPr>
            <w:r>
              <w:rPr>
                <w:color w:val="auto"/>
                <w:sz w:val="24"/>
              </w:rPr>
              <w:t>厂区实现雨污分流。本项目生活污水依托</w:t>
            </w:r>
            <w:r>
              <w:rPr>
                <w:rFonts w:hint="eastAsia"/>
                <w:color w:val="auto"/>
                <w:sz w:val="24"/>
                <w:lang w:val="en-US" w:eastAsia="zh-CN"/>
              </w:rPr>
              <w:t>出租方</w:t>
            </w:r>
            <w:r>
              <w:rPr>
                <w:rFonts w:hint="eastAsia"/>
                <w:color w:val="auto"/>
                <w:sz w:val="24"/>
                <w:lang w:eastAsia="zh-CN"/>
              </w:rPr>
              <w:t>厂区现有</w:t>
            </w:r>
            <w:r>
              <w:rPr>
                <w:color w:val="auto"/>
                <w:sz w:val="24"/>
              </w:rPr>
              <w:t>污水管道接管进入</w:t>
            </w:r>
            <w:r>
              <w:rPr>
                <w:rFonts w:hint="eastAsia"/>
                <w:color w:val="auto"/>
                <w:sz w:val="24"/>
              </w:rPr>
              <w:t>金坛</w:t>
            </w:r>
            <w:r>
              <w:rPr>
                <w:rFonts w:hint="eastAsia"/>
                <w:color w:val="auto"/>
                <w:sz w:val="24"/>
                <w:lang w:eastAsia="zh-CN"/>
              </w:rPr>
              <w:t>第二污水处理有限公司</w:t>
            </w:r>
            <w:r>
              <w:rPr>
                <w:color w:val="auto"/>
                <w:sz w:val="24"/>
              </w:rPr>
              <w:t>集中处理。</w:t>
            </w:r>
            <w:r>
              <w:rPr>
                <w:color w:val="auto"/>
                <w:sz w:val="24"/>
              </w:rPr>
              <w:br w:type="textWrapping"/>
            </w:r>
            <w:r>
              <w:rPr>
                <w:rFonts w:hint="eastAsia"/>
                <w:b/>
                <w:bCs/>
                <w:color w:val="auto"/>
                <w:sz w:val="24"/>
                <w:lang w:val="en-US" w:eastAsia="zh-CN"/>
              </w:rPr>
              <w:t>3、</w:t>
            </w:r>
            <w:r>
              <w:rPr>
                <w:b/>
                <w:bCs/>
                <w:color w:val="auto"/>
                <w:sz w:val="24"/>
              </w:rPr>
              <w:t>接管可行性分析</w:t>
            </w:r>
          </w:p>
          <w:p w14:paraId="784FB1DB">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auto"/>
                <w:kern w:val="0"/>
                <w:sz w:val="24"/>
              </w:rPr>
            </w:pPr>
            <w:r>
              <w:rPr>
                <w:rFonts w:hint="eastAsia"/>
                <w:color w:val="auto"/>
                <w:kern w:val="0"/>
                <w:sz w:val="24"/>
                <w:lang w:eastAsia="zh-CN"/>
              </w:rPr>
              <w:t>（</w:t>
            </w:r>
            <w:r>
              <w:rPr>
                <w:rFonts w:hint="eastAsia"/>
                <w:color w:val="auto"/>
                <w:kern w:val="0"/>
                <w:sz w:val="24"/>
                <w:lang w:val="en-US" w:eastAsia="zh-CN"/>
              </w:rPr>
              <w:t>1</w:t>
            </w:r>
            <w:r>
              <w:rPr>
                <w:rFonts w:hint="eastAsia"/>
                <w:color w:val="auto"/>
                <w:kern w:val="0"/>
                <w:sz w:val="24"/>
                <w:lang w:eastAsia="zh-CN"/>
              </w:rPr>
              <w:t>）</w:t>
            </w:r>
            <w:r>
              <w:rPr>
                <w:color w:val="auto"/>
                <w:kern w:val="0"/>
                <w:sz w:val="24"/>
              </w:rPr>
              <w:t>管网建设情况</w:t>
            </w:r>
          </w:p>
          <w:p w14:paraId="08EAC77E">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auto"/>
                <w:kern w:val="0"/>
                <w:sz w:val="24"/>
              </w:rPr>
            </w:pPr>
            <w:r>
              <w:rPr>
                <w:color w:val="auto"/>
                <w:kern w:val="0"/>
                <w:sz w:val="24"/>
              </w:rPr>
              <w:t>常州金坛区</w:t>
            </w:r>
            <w:r>
              <w:rPr>
                <w:rFonts w:hint="eastAsia"/>
                <w:color w:val="auto"/>
                <w:kern w:val="0"/>
                <w:sz w:val="24"/>
                <w:lang w:eastAsia="zh-CN"/>
              </w:rPr>
              <w:t>第二污水处理有限公司</w:t>
            </w:r>
            <w:r>
              <w:rPr>
                <w:color w:val="auto"/>
                <w:kern w:val="0"/>
                <w:sz w:val="24"/>
              </w:rPr>
              <w:t>的服务范围为</w:t>
            </w:r>
            <w:r>
              <w:rPr>
                <w:rFonts w:hint="eastAsia"/>
                <w:color w:val="auto"/>
                <w:kern w:val="0"/>
                <w:sz w:val="24"/>
              </w:rPr>
              <w:t>金坛</w:t>
            </w:r>
            <w:r>
              <w:rPr>
                <w:color w:val="auto"/>
                <w:kern w:val="0"/>
                <w:sz w:val="24"/>
              </w:rPr>
              <w:t>东环二路以东市区范围区域，包括金坛经济开发区控制性详细规划中的主要建设区域（东至省道203，南至站前路，西至金湖路和丹金溧漕河，北至开发区行政界线）和河东居住区部分范围，总面积约为70.9km</w:t>
            </w:r>
            <w:r>
              <w:rPr>
                <w:color w:val="auto"/>
                <w:kern w:val="0"/>
                <w:sz w:val="24"/>
                <w:vertAlign w:val="superscript"/>
              </w:rPr>
              <w:t>2</w:t>
            </w:r>
            <w:r>
              <w:rPr>
                <w:color w:val="auto"/>
                <w:kern w:val="0"/>
                <w:sz w:val="24"/>
              </w:rPr>
              <w:t>。根据区域规划，本项目在常州金坛区</w:t>
            </w:r>
            <w:r>
              <w:rPr>
                <w:rFonts w:hint="eastAsia"/>
                <w:color w:val="auto"/>
                <w:kern w:val="0"/>
                <w:sz w:val="24"/>
                <w:lang w:eastAsia="zh-CN"/>
              </w:rPr>
              <w:t>第二污水处理有限公司</w:t>
            </w:r>
            <w:r>
              <w:rPr>
                <w:color w:val="auto"/>
                <w:kern w:val="0"/>
                <w:sz w:val="24"/>
              </w:rPr>
              <w:t>接收范围之内。</w:t>
            </w:r>
          </w:p>
          <w:p w14:paraId="2BAC4D1A">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auto"/>
                <w:kern w:val="0"/>
                <w:sz w:val="24"/>
              </w:rPr>
            </w:pPr>
            <w:r>
              <w:rPr>
                <w:rFonts w:hint="eastAsia"/>
                <w:color w:val="auto"/>
                <w:kern w:val="0"/>
                <w:sz w:val="24"/>
                <w:lang w:eastAsia="zh-CN"/>
              </w:rPr>
              <w:t>（</w:t>
            </w:r>
            <w:r>
              <w:rPr>
                <w:rFonts w:hint="eastAsia"/>
                <w:color w:val="auto"/>
                <w:kern w:val="0"/>
                <w:sz w:val="24"/>
                <w:lang w:val="en-US" w:eastAsia="zh-CN"/>
              </w:rPr>
              <w:t>2</w:t>
            </w:r>
            <w:r>
              <w:rPr>
                <w:rFonts w:hint="eastAsia"/>
                <w:color w:val="auto"/>
                <w:kern w:val="0"/>
                <w:sz w:val="24"/>
                <w:lang w:eastAsia="zh-CN"/>
              </w:rPr>
              <w:t>）</w:t>
            </w:r>
            <w:r>
              <w:rPr>
                <w:color w:val="auto"/>
                <w:kern w:val="0"/>
                <w:sz w:val="24"/>
              </w:rPr>
              <w:t>污水处理厂简介</w:t>
            </w:r>
          </w:p>
          <w:p w14:paraId="686DCEC3">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auto"/>
                <w:kern w:val="0"/>
                <w:sz w:val="24"/>
              </w:rPr>
            </w:pPr>
            <w:r>
              <w:rPr>
                <w:color w:val="auto"/>
                <w:kern w:val="0"/>
                <w:sz w:val="24"/>
              </w:rPr>
              <w:t>常州金坛区</w:t>
            </w:r>
            <w:r>
              <w:rPr>
                <w:rFonts w:hint="eastAsia"/>
                <w:color w:val="auto"/>
                <w:kern w:val="0"/>
                <w:sz w:val="24"/>
                <w:lang w:eastAsia="zh-CN"/>
              </w:rPr>
              <w:t>第二污水处理有限公司</w:t>
            </w:r>
            <w:r>
              <w:rPr>
                <w:color w:val="auto"/>
                <w:kern w:val="0"/>
                <w:sz w:val="24"/>
              </w:rPr>
              <w:t>位于</w:t>
            </w:r>
            <w:r>
              <w:rPr>
                <w:rFonts w:hint="eastAsia"/>
                <w:color w:val="auto"/>
                <w:kern w:val="0"/>
                <w:sz w:val="24"/>
              </w:rPr>
              <w:t>江苏省金坛经济开发区</w:t>
            </w:r>
            <w:r>
              <w:rPr>
                <w:color w:val="auto"/>
                <w:kern w:val="0"/>
                <w:sz w:val="24"/>
              </w:rPr>
              <w:t>内，华城东路与新常金公路交汇处以北100m。2013年年平均处理水量约为3.1万m</w:t>
            </w:r>
            <w:r>
              <w:rPr>
                <w:color w:val="auto"/>
                <w:kern w:val="0"/>
                <w:sz w:val="24"/>
                <w:vertAlign w:val="superscript"/>
              </w:rPr>
              <w:t>3</w:t>
            </w:r>
            <w:r>
              <w:rPr>
                <w:color w:val="auto"/>
                <w:kern w:val="0"/>
                <w:sz w:val="24"/>
              </w:rPr>
              <w:t>/d（处理负荷为77.5%），接管工业废水约1.57万t/d，接管生活污水约1.53万t/d，二污厂现状工业废水与生活污水之比约为1:1。2014年4月8日《金坛市</w:t>
            </w:r>
            <w:r>
              <w:rPr>
                <w:rFonts w:hint="eastAsia"/>
                <w:color w:val="auto"/>
                <w:kern w:val="0"/>
                <w:sz w:val="24"/>
                <w:lang w:eastAsia="zh-CN"/>
              </w:rPr>
              <w:t>第二污水处理有限公司</w:t>
            </w:r>
            <w:r>
              <w:rPr>
                <w:color w:val="auto"/>
                <w:kern w:val="0"/>
                <w:sz w:val="24"/>
              </w:rPr>
              <w:t>扩建工程项目环境影响报告书》通过</w:t>
            </w:r>
            <w:r>
              <w:rPr>
                <w:rFonts w:hint="eastAsia"/>
                <w:color w:val="auto"/>
                <w:kern w:val="0"/>
                <w:sz w:val="24"/>
                <w:lang w:val="en-US" w:eastAsia="zh-CN"/>
              </w:rPr>
              <w:t>原</w:t>
            </w:r>
            <w:r>
              <w:rPr>
                <w:color w:val="auto"/>
                <w:kern w:val="0"/>
                <w:sz w:val="24"/>
              </w:rPr>
              <w:t>金坛市环境保护局审批，规划扩建工程规模为2.0万m</w:t>
            </w:r>
            <w:r>
              <w:rPr>
                <w:color w:val="auto"/>
                <w:kern w:val="0"/>
                <w:sz w:val="24"/>
                <w:vertAlign w:val="superscript"/>
              </w:rPr>
              <w:t>3</w:t>
            </w:r>
            <w:r>
              <w:rPr>
                <w:color w:val="auto"/>
                <w:kern w:val="0"/>
                <w:sz w:val="24"/>
              </w:rPr>
              <w:t>/d，远期规划规模达16万m</w:t>
            </w:r>
            <w:r>
              <w:rPr>
                <w:color w:val="auto"/>
                <w:kern w:val="0"/>
                <w:sz w:val="24"/>
                <w:vertAlign w:val="superscript"/>
              </w:rPr>
              <w:t>3</w:t>
            </w:r>
            <w:r>
              <w:rPr>
                <w:color w:val="auto"/>
                <w:kern w:val="0"/>
                <w:sz w:val="24"/>
              </w:rPr>
              <w:t>/d，该项目已于2017年1月3日通过</w:t>
            </w:r>
            <w:r>
              <w:rPr>
                <w:rFonts w:hint="eastAsia"/>
                <w:color w:val="auto"/>
                <w:kern w:val="0"/>
                <w:sz w:val="24"/>
                <w:lang w:val="en-US" w:eastAsia="zh-CN"/>
              </w:rPr>
              <w:t>原</w:t>
            </w:r>
            <w:r>
              <w:rPr>
                <w:color w:val="auto"/>
                <w:kern w:val="0"/>
                <w:sz w:val="24"/>
              </w:rPr>
              <w:t>常州市金坛区环境保护局验收，并正式投入运营。</w:t>
            </w:r>
          </w:p>
          <w:p w14:paraId="2908004A">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val="en-US" w:eastAsia="zh-CN"/>
              </w:rPr>
              <w:t>接管水量可行性</w:t>
            </w:r>
          </w:p>
          <w:p w14:paraId="6C986F98">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常州金坛区</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目前实际处理量约</w:t>
            </w:r>
            <w:r>
              <w:rPr>
                <w:rFonts w:hint="eastAsia" w:ascii="Times New Roman" w:hAnsi="Times New Roman" w:eastAsia="宋体" w:cs="Times New Roman"/>
                <w:bCs/>
                <w:color w:val="auto"/>
                <w:sz w:val="24"/>
                <w:highlight w:val="none"/>
                <w:lang w:val="en-US" w:eastAsia="zh-CN"/>
              </w:rPr>
              <w:t>5.8</w:t>
            </w:r>
            <w:r>
              <w:rPr>
                <w:rFonts w:hint="default" w:ascii="Times New Roman" w:hAnsi="Times New Roman" w:eastAsia="宋体" w:cs="Times New Roman"/>
                <w:bCs/>
                <w:color w:val="auto"/>
                <w:sz w:val="24"/>
                <w:highlight w:val="none"/>
                <w:lang w:val="en-US" w:eastAsia="zh-CN"/>
              </w:rPr>
              <w:t>万吨/日，还有余量</w:t>
            </w:r>
            <w:r>
              <w:rPr>
                <w:rFonts w:hint="eastAsia" w:ascii="Times New Roman" w:hAnsi="Times New Roman" w:eastAsia="宋体" w:cs="Times New Roman"/>
                <w:bCs/>
                <w:color w:val="auto"/>
                <w:sz w:val="24"/>
                <w:highlight w:val="none"/>
                <w:lang w:val="en-US" w:eastAsia="zh-CN"/>
              </w:rPr>
              <w:t>0.2</w:t>
            </w:r>
            <w:r>
              <w:rPr>
                <w:rFonts w:hint="default" w:ascii="Times New Roman" w:hAnsi="Times New Roman" w:eastAsia="宋体" w:cs="Times New Roman"/>
                <w:bCs/>
                <w:color w:val="auto"/>
                <w:sz w:val="24"/>
                <w:highlight w:val="none"/>
                <w:lang w:val="en-US" w:eastAsia="zh-CN"/>
              </w:rPr>
              <w:t>万吨/日。本项目废水排放总量约为</w:t>
            </w:r>
            <w:r>
              <w:rPr>
                <w:rFonts w:hint="eastAsia" w:cs="Times New Roman"/>
                <w:bCs/>
                <w:color w:val="auto"/>
                <w:sz w:val="24"/>
                <w:highlight w:val="none"/>
                <w:lang w:val="en-US" w:eastAsia="zh-CN"/>
              </w:rPr>
              <w:t>360</w:t>
            </w:r>
            <w:r>
              <w:rPr>
                <w:rFonts w:hint="default" w:ascii="Times New Roman" w:hAnsi="Times New Roman" w:eastAsia="宋体" w:cs="Times New Roman"/>
                <w:bCs/>
                <w:color w:val="auto"/>
                <w:sz w:val="24"/>
                <w:highlight w:val="none"/>
                <w:lang w:val="en-US" w:eastAsia="zh-CN"/>
              </w:rPr>
              <w:t>t/a（</w:t>
            </w:r>
            <w:r>
              <w:rPr>
                <w:rFonts w:hint="eastAsia" w:cs="Times New Roman"/>
                <w:bCs/>
                <w:color w:val="auto"/>
                <w:sz w:val="24"/>
                <w:highlight w:val="none"/>
                <w:lang w:val="en-US" w:eastAsia="zh-CN"/>
              </w:rPr>
              <w:t>1.2</w:t>
            </w:r>
            <w:r>
              <w:rPr>
                <w:rFonts w:hint="default" w:ascii="Times New Roman" w:hAnsi="Times New Roman" w:eastAsia="宋体" w:cs="Times New Roman"/>
                <w:bCs/>
                <w:color w:val="auto"/>
                <w:sz w:val="24"/>
                <w:highlight w:val="none"/>
                <w:lang w:val="en-US" w:eastAsia="zh-CN"/>
              </w:rPr>
              <w:t>t/d），占常州金坛区</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日处理余量的比例极小，常州金坛区</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完全有能力接纳本项目污水。</w:t>
            </w:r>
          </w:p>
          <w:p w14:paraId="3975222E">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（4）</w:t>
            </w:r>
            <w:r>
              <w:rPr>
                <w:rFonts w:hint="default" w:ascii="Times New Roman" w:hAnsi="Times New Roman" w:eastAsia="宋体" w:cs="Times New Roman"/>
                <w:bCs/>
                <w:color w:val="auto"/>
                <w:sz w:val="24"/>
                <w:highlight w:val="none"/>
                <w:lang w:val="en-US" w:eastAsia="zh-CN"/>
              </w:rPr>
              <w:t>接管水质可行性</w:t>
            </w:r>
          </w:p>
          <w:p w14:paraId="49F05DC7">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本项目建成后</w:t>
            </w:r>
            <w:r>
              <w:rPr>
                <w:rFonts w:hint="eastAsia" w:ascii="Times New Roman" w:hAnsi="Times New Roman" w:eastAsia="宋体" w:cs="Times New Roman"/>
                <w:bCs/>
                <w:color w:val="auto"/>
                <w:sz w:val="24"/>
                <w:highlight w:val="none"/>
                <w:lang w:val="en-US" w:eastAsia="zh-CN"/>
              </w:rPr>
              <w:t>接管废水为生活污水，废水排放浓度低、水量小、水质简单，不会对污水处理厂运行产生冲击负荷，不影响污水处理厂出水水质</w:t>
            </w:r>
            <w:r>
              <w:rPr>
                <w:rFonts w:hint="default" w:ascii="Times New Roman" w:hAnsi="Times New Roman" w:eastAsia="宋体" w:cs="Times New Roman"/>
                <w:bCs/>
                <w:color w:val="auto"/>
                <w:sz w:val="24"/>
                <w:highlight w:val="none"/>
                <w:lang w:val="en-US" w:eastAsia="zh-CN"/>
              </w:rPr>
              <w:t>。</w:t>
            </w:r>
          </w:p>
          <w:p w14:paraId="36B845D8">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综上所述，本项目污水管网均已铺设完毕，从接管时间、服务范围、处理工艺以及水量水质来看，本项目运营后污水接入金坛</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处理是可行的。</w:t>
            </w:r>
          </w:p>
          <w:p w14:paraId="426C6A9D">
            <w:pPr>
              <w:adjustRightInd w:val="0"/>
              <w:snapToGrid w:val="0"/>
              <w:spacing w:line="500" w:lineRule="exact"/>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4、</w:t>
            </w:r>
            <w:r>
              <w:rPr>
                <w:rFonts w:hint="default" w:ascii="Times New Roman" w:hAnsi="Times New Roman" w:eastAsia="宋体" w:cs="Times New Roman"/>
                <w:b/>
                <w:bCs w:val="0"/>
                <w:color w:val="auto"/>
                <w:sz w:val="24"/>
                <w:highlight w:val="none"/>
                <w:lang w:val="en-US" w:eastAsia="zh-CN"/>
              </w:rPr>
              <w:t>废水排放情况</w:t>
            </w:r>
          </w:p>
          <w:p w14:paraId="5F21FEED">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（1）</w:t>
            </w:r>
            <w:r>
              <w:rPr>
                <w:rFonts w:hint="default" w:ascii="Times New Roman" w:hAnsi="Times New Roman" w:eastAsia="宋体" w:cs="Times New Roman"/>
                <w:bCs/>
                <w:color w:val="auto"/>
                <w:sz w:val="24"/>
                <w:highlight w:val="none"/>
                <w:lang w:val="en-US" w:eastAsia="zh-CN"/>
              </w:rPr>
              <w:t>废水排放情况汇总</w:t>
            </w:r>
          </w:p>
          <w:p w14:paraId="197695F0">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本项目生活污水经</w:t>
            </w:r>
            <w:r>
              <w:rPr>
                <w:rFonts w:hint="eastAsia" w:ascii="Times New Roman" w:hAnsi="Times New Roman" w:eastAsia="宋体" w:cs="Times New Roman"/>
                <w:bCs/>
                <w:color w:val="auto"/>
                <w:sz w:val="24"/>
                <w:highlight w:val="none"/>
                <w:lang w:val="en-US" w:eastAsia="zh-CN"/>
              </w:rPr>
              <w:t>化粪池预处理后</w:t>
            </w:r>
            <w:r>
              <w:rPr>
                <w:rFonts w:hint="default" w:ascii="Times New Roman" w:hAnsi="Times New Roman" w:eastAsia="宋体" w:cs="Times New Roman"/>
                <w:bCs/>
                <w:color w:val="auto"/>
                <w:sz w:val="24"/>
                <w:highlight w:val="none"/>
                <w:lang w:val="en-US" w:eastAsia="zh-CN"/>
              </w:rPr>
              <w:t>接管进入</w:t>
            </w:r>
            <w:r>
              <w:rPr>
                <w:rFonts w:hint="eastAsia" w:ascii="Times New Roman" w:hAnsi="Times New Roman" w:eastAsia="宋体" w:cs="Times New Roman"/>
                <w:bCs/>
                <w:color w:val="auto"/>
                <w:sz w:val="24"/>
                <w:highlight w:val="none"/>
                <w:lang w:val="en-US" w:eastAsia="zh-CN"/>
              </w:rPr>
              <w:t>金坛</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集中处理</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废水产生及排放情况见</w:t>
            </w:r>
            <w:r>
              <w:rPr>
                <w:rFonts w:hint="eastAsia" w:ascii="Times New Roman" w:hAnsi="Times New Roman" w:eastAsia="宋体" w:cs="Times New Roman"/>
                <w:bCs/>
                <w:color w:val="auto"/>
                <w:sz w:val="24"/>
                <w:highlight w:val="none"/>
                <w:lang w:val="en-US" w:eastAsia="zh-CN"/>
              </w:rPr>
              <w:t>下</w:t>
            </w:r>
            <w:r>
              <w:rPr>
                <w:rFonts w:hint="default" w:ascii="Times New Roman" w:hAnsi="Times New Roman" w:eastAsia="宋体" w:cs="Times New Roman"/>
                <w:bCs/>
                <w:color w:val="auto"/>
                <w:sz w:val="24"/>
                <w:highlight w:val="none"/>
                <w:lang w:val="en-US" w:eastAsia="zh-CN"/>
              </w:rPr>
              <w:t>表。</w:t>
            </w:r>
          </w:p>
          <w:p w14:paraId="4D877C9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b/>
                <w:bCs/>
                <w:color w:val="auto"/>
                <w:szCs w:val="21"/>
              </w:rPr>
            </w:pPr>
            <w:r>
              <w:rPr>
                <w:b/>
                <w:bCs/>
                <w:color w:val="auto"/>
                <w:szCs w:val="21"/>
              </w:rPr>
              <w:t>表4-</w:t>
            </w:r>
            <w:r>
              <w:rPr>
                <w:rFonts w:hint="eastAsia"/>
                <w:b/>
                <w:bCs/>
                <w:color w:val="auto"/>
                <w:szCs w:val="21"/>
                <w:lang w:val="en-US" w:eastAsia="zh-CN"/>
              </w:rPr>
              <w:t>10</w:t>
            </w:r>
            <w:r>
              <w:rPr>
                <w:b/>
                <w:bCs/>
                <w:color w:val="auto"/>
                <w:szCs w:val="21"/>
              </w:rPr>
              <w:t>本项目废水污染物排放情况表</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9"/>
              <w:gridCol w:w="838"/>
              <w:gridCol w:w="838"/>
              <w:gridCol w:w="844"/>
              <w:gridCol w:w="1104"/>
              <w:gridCol w:w="714"/>
              <w:gridCol w:w="714"/>
              <w:gridCol w:w="782"/>
              <w:gridCol w:w="788"/>
              <w:gridCol w:w="903"/>
            </w:tblGrid>
            <w:tr w14:paraId="21E99F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77A177BD">
                  <w:pPr>
                    <w:tabs>
                      <w:tab w:val="left" w:pos="6840"/>
                    </w:tabs>
                    <w:spacing w:line="270" w:lineRule="exact"/>
                    <w:jc w:val="center"/>
                    <w:rPr>
                      <w:b/>
                      <w:bCs/>
                      <w:color w:val="auto"/>
                      <w:szCs w:val="21"/>
                    </w:rPr>
                  </w:pPr>
                  <w:r>
                    <w:rPr>
                      <w:b/>
                      <w:bCs/>
                      <w:color w:val="auto"/>
                      <w:szCs w:val="21"/>
                    </w:rPr>
                    <w:t>废水产生源</w:t>
                  </w:r>
                </w:p>
              </w:tc>
              <w:tc>
                <w:tcPr>
                  <w:tcW w:w="1534" w:type="pct"/>
                  <w:gridSpan w:val="3"/>
                  <w:vAlign w:val="center"/>
                </w:tcPr>
                <w:p w14:paraId="61D3CD38">
                  <w:pPr>
                    <w:tabs>
                      <w:tab w:val="left" w:pos="6840"/>
                    </w:tabs>
                    <w:spacing w:line="270" w:lineRule="exact"/>
                    <w:jc w:val="center"/>
                    <w:rPr>
                      <w:b/>
                      <w:bCs/>
                      <w:color w:val="auto"/>
                      <w:szCs w:val="21"/>
                    </w:rPr>
                  </w:pPr>
                  <w:r>
                    <w:rPr>
                      <w:b/>
                      <w:bCs/>
                      <w:color w:val="auto"/>
                      <w:szCs w:val="21"/>
                    </w:rPr>
                    <w:t>污染物产生情况</w:t>
                  </w:r>
                </w:p>
              </w:tc>
              <w:tc>
                <w:tcPr>
                  <w:tcW w:w="672" w:type="pct"/>
                  <w:vMerge w:val="restart"/>
                  <w:vAlign w:val="center"/>
                </w:tcPr>
                <w:p w14:paraId="6308BFA3">
                  <w:pPr>
                    <w:tabs>
                      <w:tab w:val="left" w:pos="6840"/>
                    </w:tabs>
                    <w:spacing w:line="270" w:lineRule="exact"/>
                    <w:jc w:val="center"/>
                    <w:rPr>
                      <w:b/>
                      <w:bCs/>
                      <w:color w:val="auto"/>
                      <w:szCs w:val="21"/>
                    </w:rPr>
                  </w:pPr>
                  <w:r>
                    <w:rPr>
                      <w:b/>
                      <w:bCs/>
                      <w:color w:val="auto"/>
                      <w:szCs w:val="21"/>
                    </w:rPr>
                    <w:t>拟采取</w:t>
                  </w:r>
                </w:p>
                <w:p w14:paraId="2E1812C8">
                  <w:pPr>
                    <w:tabs>
                      <w:tab w:val="left" w:pos="6840"/>
                    </w:tabs>
                    <w:spacing w:line="270" w:lineRule="exact"/>
                    <w:jc w:val="center"/>
                    <w:rPr>
                      <w:b/>
                      <w:bCs/>
                      <w:color w:val="auto"/>
                      <w:szCs w:val="21"/>
                    </w:rPr>
                  </w:pPr>
                  <w:r>
                    <w:rPr>
                      <w:b/>
                      <w:bCs/>
                      <w:color w:val="auto"/>
                      <w:szCs w:val="21"/>
                    </w:rPr>
                    <w:t>措施</w:t>
                  </w:r>
                </w:p>
              </w:tc>
              <w:tc>
                <w:tcPr>
                  <w:tcW w:w="1346" w:type="pct"/>
                  <w:gridSpan w:val="3"/>
                  <w:vAlign w:val="center"/>
                </w:tcPr>
                <w:p w14:paraId="2D77AD27">
                  <w:pPr>
                    <w:tabs>
                      <w:tab w:val="left" w:pos="6840"/>
                    </w:tabs>
                    <w:spacing w:line="270" w:lineRule="exact"/>
                    <w:jc w:val="center"/>
                    <w:rPr>
                      <w:b/>
                      <w:bCs/>
                      <w:color w:val="auto"/>
                      <w:szCs w:val="21"/>
                    </w:rPr>
                  </w:pPr>
                  <w:r>
                    <w:rPr>
                      <w:b/>
                      <w:bCs/>
                      <w:color w:val="auto"/>
                      <w:szCs w:val="21"/>
                    </w:rPr>
                    <w:t>污染物排放情况</w:t>
                  </w:r>
                </w:p>
              </w:tc>
              <w:tc>
                <w:tcPr>
                  <w:tcW w:w="480" w:type="pct"/>
                  <w:vMerge w:val="restart"/>
                  <w:vAlign w:val="center"/>
                </w:tcPr>
                <w:p w14:paraId="0A4D7AA5">
                  <w:pPr>
                    <w:tabs>
                      <w:tab w:val="left" w:pos="6840"/>
                    </w:tabs>
                    <w:spacing w:line="270" w:lineRule="exact"/>
                    <w:jc w:val="center"/>
                    <w:rPr>
                      <w:b/>
                      <w:bCs/>
                      <w:color w:val="auto"/>
                      <w:szCs w:val="21"/>
                    </w:rPr>
                  </w:pPr>
                  <w:r>
                    <w:rPr>
                      <w:rFonts w:hint="eastAsia"/>
                      <w:b/>
                      <w:bCs/>
                      <w:color w:val="auto"/>
                      <w:szCs w:val="21"/>
                    </w:rPr>
                    <w:t>浓度</w:t>
                  </w:r>
                </w:p>
                <w:p w14:paraId="777DB5F0">
                  <w:pPr>
                    <w:tabs>
                      <w:tab w:val="left" w:pos="6840"/>
                    </w:tabs>
                    <w:spacing w:line="270" w:lineRule="exact"/>
                    <w:jc w:val="center"/>
                    <w:rPr>
                      <w:b/>
                      <w:bCs/>
                      <w:color w:val="auto"/>
                      <w:szCs w:val="21"/>
                    </w:rPr>
                  </w:pPr>
                  <w:r>
                    <w:rPr>
                      <w:rFonts w:hint="eastAsia"/>
                      <w:b/>
                      <w:bCs/>
                      <w:color w:val="auto"/>
                      <w:szCs w:val="21"/>
                    </w:rPr>
                    <w:t>标准</w:t>
                  </w:r>
                  <w:r>
                    <w:rPr>
                      <w:b/>
                      <w:bCs/>
                      <w:color w:val="auto"/>
                      <w:szCs w:val="21"/>
                    </w:rPr>
                    <w:t>(mg/L)</w:t>
                  </w:r>
                </w:p>
              </w:tc>
              <w:tc>
                <w:tcPr>
                  <w:tcW w:w="550" w:type="pct"/>
                  <w:vMerge w:val="restart"/>
                  <w:vAlign w:val="center"/>
                </w:tcPr>
                <w:p w14:paraId="3EEA89EB">
                  <w:pPr>
                    <w:tabs>
                      <w:tab w:val="left" w:pos="6840"/>
                    </w:tabs>
                    <w:spacing w:line="270" w:lineRule="exact"/>
                    <w:jc w:val="center"/>
                    <w:rPr>
                      <w:b/>
                      <w:bCs/>
                      <w:color w:val="auto"/>
                      <w:szCs w:val="21"/>
                    </w:rPr>
                  </w:pPr>
                  <w:r>
                    <w:rPr>
                      <w:b/>
                      <w:bCs/>
                      <w:color w:val="auto"/>
                      <w:szCs w:val="21"/>
                    </w:rPr>
                    <w:t>排放方式与去向</w:t>
                  </w:r>
                </w:p>
              </w:tc>
            </w:tr>
            <w:tr w14:paraId="1F9D2B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57EE00C3">
                  <w:pPr>
                    <w:tabs>
                      <w:tab w:val="left" w:pos="6840"/>
                    </w:tabs>
                    <w:spacing w:line="270" w:lineRule="exact"/>
                    <w:jc w:val="center"/>
                    <w:rPr>
                      <w:b/>
                      <w:bCs/>
                      <w:color w:val="auto"/>
                      <w:szCs w:val="21"/>
                    </w:rPr>
                  </w:pPr>
                </w:p>
              </w:tc>
              <w:tc>
                <w:tcPr>
                  <w:tcW w:w="510" w:type="pct"/>
                  <w:vAlign w:val="center"/>
                </w:tcPr>
                <w:p w14:paraId="0E6452A6">
                  <w:pPr>
                    <w:tabs>
                      <w:tab w:val="left" w:pos="6840"/>
                    </w:tabs>
                    <w:spacing w:line="270" w:lineRule="exact"/>
                    <w:jc w:val="center"/>
                    <w:rPr>
                      <w:b/>
                      <w:bCs/>
                      <w:color w:val="auto"/>
                      <w:szCs w:val="21"/>
                    </w:rPr>
                  </w:pPr>
                  <w:r>
                    <w:rPr>
                      <w:b/>
                      <w:bCs/>
                      <w:color w:val="auto"/>
                      <w:szCs w:val="21"/>
                    </w:rPr>
                    <w:t>污染物</w:t>
                  </w:r>
                </w:p>
                <w:p w14:paraId="6AF018D8">
                  <w:pPr>
                    <w:tabs>
                      <w:tab w:val="left" w:pos="6840"/>
                    </w:tabs>
                    <w:spacing w:line="270" w:lineRule="exact"/>
                    <w:jc w:val="center"/>
                    <w:rPr>
                      <w:b/>
                      <w:bCs/>
                      <w:color w:val="auto"/>
                      <w:szCs w:val="21"/>
                    </w:rPr>
                  </w:pPr>
                  <w:r>
                    <w:rPr>
                      <w:b/>
                      <w:bCs/>
                      <w:color w:val="auto"/>
                      <w:szCs w:val="21"/>
                    </w:rPr>
                    <w:t>名称</w:t>
                  </w:r>
                </w:p>
              </w:tc>
              <w:tc>
                <w:tcPr>
                  <w:tcW w:w="510" w:type="pct"/>
                  <w:vAlign w:val="center"/>
                </w:tcPr>
                <w:p w14:paraId="6B917664">
                  <w:pPr>
                    <w:tabs>
                      <w:tab w:val="left" w:pos="6840"/>
                    </w:tabs>
                    <w:spacing w:line="270" w:lineRule="exact"/>
                    <w:jc w:val="center"/>
                    <w:rPr>
                      <w:b/>
                      <w:bCs/>
                      <w:color w:val="auto"/>
                      <w:szCs w:val="21"/>
                    </w:rPr>
                  </w:pPr>
                  <w:r>
                    <w:rPr>
                      <w:b/>
                      <w:bCs/>
                      <w:color w:val="auto"/>
                      <w:szCs w:val="21"/>
                    </w:rPr>
                    <w:t>浓度</w:t>
                  </w:r>
                </w:p>
                <w:p w14:paraId="55BD35CF">
                  <w:pPr>
                    <w:tabs>
                      <w:tab w:val="left" w:pos="6840"/>
                    </w:tabs>
                    <w:spacing w:line="270" w:lineRule="exact"/>
                    <w:jc w:val="center"/>
                    <w:rPr>
                      <w:b/>
                      <w:bCs/>
                      <w:color w:val="auto"/>
                      <w:szCs w:val="21"/>
                    </w:rPr>
                  </w:pPr>
                  <w:r>
                    <w:rPr>
                      <w:b/>
                      <w:bCs/>
                      <w:color w:val="auto"/>
                      <w:szCs w:val="21"/>
                    </w:rPr>
                    <w:t>mg/L</w:t>
                  </w:r>
                </w:p>
              </w:tc>
              <w:tc>
                <w:tcPr>
                  <w:tcW w:w="513" w:type="pct"/>
                  <w:vAlign w:val="center"/>
                </w:tcPr>
                <w:p w14:paraId="6CE8CAC7">
                  <w:pPr>
                    <w:tabs>
                      <w:tab w:val="left" w:pos="6840"/>
                    </w:tabs>
                    <w:spacing w:line="270" w:lineRule="exact"/>
                    <w:jc w:val="center"/>
                    <w:rPr>
                      <w:b/>
                      <w:bCs/>
                      <w:color w:val="auto"/>
                      <w:szCs w:val="21"/>
                    </w:rPr>
                  </w:pPr>
                  <w:r>
                    <w:rPr>
                      <w:b/>
                      <w:bCs/>
                      <w:color w:val="auto"/>
                      <w:szCs w:val="21"/>
                    </w:rPr>
                    <w:t>产生量</w:t>
                  </w:r>
                </w:p>
                <w:p w14:paraId="5269931E">
                  <w:pPr>
                    <w:tabs>
                      <w:tab w:val="left" w:pos="6840"/>
                    </w:tabs>
                    <w:spacing w:line="270" w:lineRule="exact"/>
                    <w:jc w:val="center"/>
                    <w:rPr>
                      <w:b/>
                      <w:bCs/>
                      <w:color w:val="auto"/>
                      <w:szCs w:val="21"/>
                    </w:rPr>
                  </w:pPr>
                  <w:r>
                    <w:rPr>
                      <w:b/>
                      <w:bCs/>
                      <w:color w:val="auto"/>
                      <w:szCs w:val="21"/>
                    </w:rPr>
                    <w:t>t/a</w:t>
                  </w:r>
                </w:p>
              </w:tc>
              <w:tc>
                <w:tcPr>
                  <w:tcW w:w="672" w:type="pct"/>
                  <w:vMerge w:val="continue"/>
                  <w:vAlign w:val="center"/>
                </w:tcPr>
                <w:p w14:paraId="3D28D907">
                  <w:pPr>
                    <w:tabs>
                      <w:tab w:val="left" w:pos="6840"/>
                    </w:tabs>
                    <w:spacing w:line="270" w:lineRule="exact"/>
                    <w:jc w:val="center"/>
                    <w:rPr>
                      <w:b/>
                      <w:bCs/>
                      <w:color w:val="auto"/>
                      <w:szCs w:val="21"/>
                    </w:rPr>
                  </w:pPr>
                </w:p>
              </w:tc>
              <w:tc>
                <w:tcPr>
                  <w:tcW w:w="435" w:type="pct"/>
                  <w:vAlign w:val="center"/>
                </w:tcPr>
                <w:p w14:paraId="0190D020">
                  <w:pPr>
                    <w:tabs>
                      <w:tab w:val="left" w:pos="6840"/>
                    </w:tabs>
                    <w:spacing w:line="270" w:lineRule="exact"/>
                    <w:jc w:val="center"/>
                    <w:rPr>
                      <w:b/>
                      <w:bCs/>
                      <w:color w:val="auto"/>
                      <w:szCs w:val="21"/>
                    </w:rPr>
                  </w:pPr>
                  <w:r>
                    <w:rPr>
                      <w:b/>
                      <w:bCs/>
                      <w:color w:val="auto"/>
                      <w:szCs w:val="21"/>
                    </w:rPr>
                    <w:t>污染物</w:t>
                  </w:r>
                </w:p>
                <w:p w14:paraId="0498DAF4">
                  <w:pPr>
                    <w:tabs>
                      <w:tab w:val="left" w:pos="6840"/>
                    </w:tabs>
                    <w:spacing w:line="270" w:lineRule="exact"/>
                    <w:jc w:val="center"/>
                    <w:rPr>
                      <w:b/>
                      <w:bCs/>
                      <w:color w:val="auto"/>
                      <w:szCs w:val="21"/>
                    </w:rPr>
                  </w:pPr>
                  <w:r>
                    <w:rPr>
                      <w:b/>
                      <w:bCs/>
                      <w:color w:val="auto"/>
                      <w:szCs w:val="21"/>
                    </w:rPr>
                    <w:t>名称</w:t>
                  </w:r>
                </w:p>
              </w:tc>
              <w:tc>
                <w:tcPr>
                  <w:tcW w:w="435" w:type="pct"/>
                  <w:vAlign w:val="center"/>
                </w:tcPr>
                <w:p w14:paraId="7DB64FCF">
                  <w:pPr>
                    <w:tabs>
                      <w:tab w:val="left" w:pos="6840"/>
                    </w:tabs>
                    <w:spacing w:line="270" w:lineRule="exact"/>
                    <w:jc w:val="center"/>
                    <w:rPr>
                      <w:b/>
                      <w:bCs/>
                      <w:color w:val="auto"/>
                      <w:szCs w:val="21"/>
                    </w:rPr>
                  </w:pPr>
                  <w:r>
                    <w:rPr>
                      <w:b/>
                      <w:bCs/>
                      <w:color w:val="auto"/>
                      <w:szCs w:val="21"/>
                    </w:rPr>
                    <w:t>浓度</w:t>
                  </w:r>
                </w:p>
                <w:p w14:paraId="1EA96624">
                  <w:pPr>
                    <w:tabs>
                      <w:tab w:val="left" w:pos="6840"/>
                    </w:tabs>
                    <w:spacing w:line="270" w:lineRule="exact"/>
                    <w:jc w:val="center"/>
                    <w:rPr>
                      <w:b/>
                      <w:bCs/>
                      <w:color w:val="auto"/>
                      <w:szCs w:val="21"/>
                    </w:rPr>
                  </w:pPr>
                  <w:r>
                    <w:rPr>
                      <w:b/>
                      <w:bCs/>
                      <w:color w:val="auto"/>
                      <w:szCs w:val="21"/>
                    </w:rPr>
                    <w:t>mg/L</w:t>
                  </w:r>
                </w:p>
              </w:tc>
              <w:tc>
                <w:tcPr>
                  <w:tcW w:w="476" w:type="pct"/>
                  <w:vAlign w:val="center"/>
                </w:tcPr>
                <w:p w14:paraId="60F70E4E">
                  <w:pPr>
                    <w:tabs>
                      <w:tab w:val="left" w:pos="6840"/>
                    </w:tabs>
                    <w:spacing w:line="270" w:lineRule="exact"/>
                    <w:jc w:val="center"/>
                    <w:rPr>
                      <w:b/>
                      <w:bCs/>
                      <w:color w:val="auto"/>
                      <w:szCs w:val="21"/>
                    </w:rPr>
                  </w:pPr>
                  <w:r>
                    <w:rPr>
                      <w:b/>
                      <w:bCs/>
                      <w:color w:val="auto"/>
                      <w:szCs w:val="21"/>
                    </w:rPr>
                    <w:t>排放量</w:t>
                  </w:r>
                </w:p>
                <w:p w14:paraId="7CBE5AAF">
                  <w:pPr>
                    <w:tabs>
                      <w:tab w:val="left" w:pos="6840"/>
                    </w:tabs>
                    <w:spacing w:line="270" w:lineRule="exact"/>
                    <w:jc w:val="center"/>
                    <w:rPr>
                      <w:b/>
                      <w:bCs/>
                      <w:color w:val="auto"/>
                      <w:szCs w:val="21"/>
                    </w:rPr>
                  </w:pPr>
                  <w:r>
                    <w:rPr>
                      <w:b/>
                      <w:bCs/>
                      <w:color w:val="auto"/>
                      <w:szCs w:val="21"/>
                    </w:rPr>
                    <w:t>t/a</w:t>
                  </w:r>
                </w:p>
              </w:tc>
              <w:tc>
                <w:tcPr>
                  <w:tcW w:w="480" w:type="pct"/>
                  <w:vMerge w:val="continue"/>
                  <w:vAlign w:val="center"/>
                </w:tcPr>
                <w:p w14:paraId="381DC2B9">
                  <w:pPr>
                    <w:tabs>
                      <w:tab w:val="left" w:pos="6840"/>
                    </w:tabs>
                    <w:spacing w:line="270" w:lineRule="exact"/>
                    <w:jc w:val="center"/>
                    <w:rPr>
                      <w:color w:val="auto"/>
                      <w:szCs w:val="21"/>
                    </w:rPr>
                  </w:pPr>
                </w:p>
              </w:tc>
              <w:tc>
                <w:tcPr>
                  <w:tcW w:w="550" w:type="pct"/>
                  <w:vMerge w:val="continue"/>
                  <w:vAlign w:val="center"/>
                </w:tcPr>
                <w:p w14:paraId="73581EAD">
                  <w:pPr>
                    <w:tabs>
                      <w:tab w:val="left" w:pos="6840"/>
                    </w:tabs>
                    <w:spacing w:line="270" w:lineRule="exact"/>
                    <w:jc w:val="center"/>
                    <w:rPr>
                      <w:color w:val="auto"/>
                      <w:szCs w:val="21"/>
                    </w:rPr>
                  </w:pPr>
                </w:p>
              </w:tc>
            </w:tr>
            <w:tr w14:paraId="1B9CDE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567B406A">
                  <w:pPr>
                    <w:tabs>
                      <w:tab w:val="left" w:pos="6840"/>
                    </w:tabs>
                    <w:spacing w:line="270" w:lineRule="exact"/>
                    <w:jc w:val="center"/>
                    <w:rPr>
                      <w:rFonts w:hint="default" w:eastAsia="宋体"/>
                      <w:color w:val="auto"/>
                      <w:sz w:val="21"/>
                      <w:szCs w:val="21"/>
                      <w:lang w:val="en-US" w:eastAsia="zh-CN"/>
                    </w:rPr>
                  </w:pPr>
                  <w:r>
                    <w:rPr>
                      <w:color w:val="auto"/>
                      <w:szCs w:val="21"/>
                    </w:rPr>
                    <w:t>生活</w:t>
                  </w:r>
                  <w:r>
                    <w:rPr>
                      <w:color w:val="auto"/>
                      <w:sz w:val="21"/>
                      <w:szCs w:val="21"/>
                    </w:rPr>
                    <w:t>污水</w:t>
                  </w:r>
                  <w:r>
                    <w:rPr>
                      <w:rFonts w:hint="eastAsia"/>
                      <w:color w:val="auto"/>
                      <w:sz w:val="21"/>
                      <w:szCs w:val="21"/>
                      <w:lang w:val="en-US" w:eastAsia="zh-CN"/>
                    </w:rPr>
                    <w:t>360</w:t>
                  </w:r>
                </w:p>
                <w:p w14:paraId="730327EB">
                  <w:pPr>
                    <w:tabs>
                      <w:tab w:val="left" w:pos="6840"/>
                    </w:tabs>
                    <w:spacing w:line="270" w:lineRule="exact"/>
                    <w:jc w:val="center"/>
                    <w:rPr>
                      <w:color w:val="auto"/>
                      <w:szCs w:val="21"/>
                    </w:rPr>
                  </w:pPr>
                  <w:r>
                    <w:rPr>
                      <w:color w:val="auto"/>
                      <w:sz w:val="21"/>
                      <w:szCs w:val="21"/>
                    </w:rPr>
                    <w:t>t/a</w:t>
                  </w:r>
                </w:p>
              </w:tc>
              <w:tc>
                <w:tcPr>
                  <w:tcW w:w="510" w:type="pct"/>
                  <w:vAlign w:val="center"/>
                </w:tcPr>
                <w:p w14:paraId="77A9ED37">
                  <w:pPr>
                    <w:tabs>
                      <w:tab w:val="left" w:pos="6840"/>
                    </w:tabs>
                    <w:spacing w:line="270" w:lineRule="exact"/>
                    <w:jc w:val="center"/>
                    <w:rPr>
                      <w:color w:val="auto"/>
                      <w:szCs w:val="21"/>
                    </w:rPr>
                  </w:pPr>
                  <w:r>
                    <w:rPr>
                      <w:color w:val="auto"/>
                      <w:szCs w:val="21"/>
                    </w:rPr>
                    <w:t>COD</w:t>
                  </w:r>
                </w:p>
              </w:tc>
              <w:tc>
                <w:tcPr>
                  <w:tcW w:w="510" w:type="pct"/>
                  <w:vAlign w:val="center"/>
                </w:tcPr>
                <w:p w14:paraId="1A73AEE6">
                  <w:pPr>
                    <w:tabs>
                      <w:tab w:val="left" w:pos="6840"/>
                    </w:tabs>
                    <w:spacing w:line="270" w:lineRule="exact"/>
                    <w:jc w:val="center"/>
                    <w:rPr>
                      <w:color w:val="auto"/>
                      <w:szCs w:val="21"/>
                    </w:rPr>
                  </w:pPr>
                  <w:r>
                    <w:rPr>
                      <w:color w:val="auto"/>
                      <w:szCs w:val="21"/>
                    </w:rPr>
                    <w:t>400</w:t>
                  </w:r>
                </w:p>
              </w:tc>
              <w:tc>
                <w:tcPr>
                  <w:tcW w:w="513" w:type="pct"/>
                  <w:vAlign w:val="center"/>
                </w:tcPr>
                <w:p w14:paraId="504AAD69">
                  <w:pPr>
                    <w:jc w:val="center"/>
                    <w:rPr>
                      <w:rFonts w:hint="default" w:eastAsia="宋体"/>
                      <w:color w:val="auto"/>
                      <w:szCs w:val="21"/>
                      <w:lang w:val="en-US" w:eastAsia="zh-CN"/>
                    </w:rPr>
                  </w:pPr>
                  <w:r>
                    <w:rPr>
                      <w:rFonts w:hint="eastAsia"/>
                      <w:color w:val="auto"/>
                      <w:szCs w:val="21"/>
                      <w:lang w:val="en-US" w:eastAsia="zh-CN"/>
                    </w:rPr>
                    <w:t>0.144</w:t>
                  </w:r>
                </w:p>
              </w:tc>
              <w:tc>
                <w:tcPr>
                  <w:tcW w:w="672" w:type="pct"/>
                  <w:vMerge w:val="restart"/>
                  <w:vAlign w:val="center"/>
                </w:tcPr>
                <w:p w14:paraId="2499746F">
                  <w:pPr>
                    <w:tabs>
                      <w:tab w:val="left" w:pos="6840"/>
                    </w:tabs>
                    <w:spacing w:line="270" w:lineRule="exact"/>
                    <w:jc w:val="center"/>
                    <w:rPr>
                      <w:rFonts w:hint="eastAsia" w:eastAsia="宋体"/>
                      <w:color w:val="auto"/>
                      <w:szCs w:val="21"/>
                      <w:lang w:eastAsia="zh-CN"/>
                    </w:rPr>
                  </w:pPr>
                  <w:r>
                    <w:rPr>
                      <w:rFonts w:hint="eastAsia"/>
                      <w:color w:val="auto"/>
                      <w:szCs w:val="21"/>
                      <w:lang w:val="en-US" w:eastAsia="zh-CN"/>
                    </w:rPr>
                    <w:t>/</w:t>
                  </w:r>
                </w:p>
              </w:tc>
              <w:tc>
                <w:tcPr>
                  <w:tcW w:w="435" w:type="pct"/>
                  <w:vAlign w:val="center"/>
                </w:tcPr>
                <w:p w14:paraId="7CFA5C1B">
                  <w:pPr>
                    <w:tabs>
                      <w:tab w:val="left" w:pos="6840"/>
                    </w:tabs>
                    <w:spacing w:line="270" w:lineRule="exact"/>
                    <w:jc w:val="center"/>
                    <w:rPr>
                      <w:color w:val="auto"/>
                      <w:szCs w:val="21"/>
                    </w:rPr>
                  </w:pPr>
                  <w:r>
                    <w:rPr>
                      <w:color w:val="auto"/>
                      <w:szCs w:val="21"/>
                    </w:rPr>
                    <w:t>COD</w:t>
                  </w:r>
                </w:p>
              </w:tc>
              <w:tc>
                <w:tcPr>
                  <w:tcW w:w="435" w:type="pct"/>
                  <w:vAlign w:val="center"/>
                </w:tcPr>
                <w:p w14:paraId="760AF418">
                  <w:pPr>
                    <w:tabs>
                      <w:tab w:val="left" w:pos="6840"/>
                    </w:tabs>
                    <w:spacing w:line="270" w:lineRule="exact"/>
                    <w:jc w:val="center"/>
                    <w:rPr>
                      <w:color w:val="auto"/>
                      <w:szCs w:val="21"/>
                    </w:rPr>
                  </w:pPr>
                  <w:r>
                    <w:rPr>
                      <w:color w:val="auto"/>
                      <w:szCs w:val="21"/>
                    </w:rPr>
                    <w:t>400</w:t>
                  </w:r>
                </w:p>
              </w:tc>
              <w:tc>
                <w:tcPr>
                  <w:tcW w:w="782" w:type="dxa"/>
                  <w:vAlign w:val="center"/>
                </w:tcPr>
                <w:p w14:paraId="226DD0AC">
                  <w:pPr>
                    <w:jc w:val="center"/>
                    <w:rPr>
                      <w:color w:val="auto"/>
                      <w:szCs w:val="21"/>
                    </w:rPr>
                  </w:pPr>
                  <w:r>
                    <w:rPr>
                      <w:rFonts w:hint="eastAsia"/>
                      <w:color w:val="auto"/>
                      <w:szCs w:val="21"/>
                      <w:lang w:val="en-US" w:eastAsia="zh-CN"/>
                    </w:rPr>
                    <w:t>0.144</w:t>
                  </w:r>
                </w:p>
              </w:tc>
              <w:tc>
                <w:tcPr>
                  <w:tcW w:w="480" w:type="pct"/>
                  <w:vAlign w:val="center"/>
                </w:tcPr>
                <w:p w14:paraId="61B01F14">
                  <w:pPr>
                    <w:adjustRightInd w:val="0"/>
                    <w:snapToGrid w:val="0"/>
                    <w:jc w:val="center"/>
                    <w:rPr>
                      <w:color w:val="auto"/>
                      <w:szCs w:val="21"/>
                    </w:rPr>
                  </w:pPr>
                  <w:r>
                    <w:rPr>
                      <w:color w:val="auto"/>
                      <w:szCs w:val="21"/>
                    </w:rPr>
                    <w:t>500</w:t>
                  </w:r>
                </w:p>
              </w:tc>
              <w:tc>
                <w:tcPr>
                  <w:tcW w:w="550" w:type="pct"/>
                  <w:vMerge w:val="restart"/>
                  <w:vAlign w:val="center"/>
                </w:tcPr>
                <w:p w14:paraId="3B333BEF">
                  <w:pPr>
                    <w:tabs>
                      <w:tab w:val="left" w:pos="6840"/>
                    </w:tabs>
                    <w:spacing w:line="270" w:lineRule="exact"/>
                    <w:jc w:val="center"/>
                    <w:rPr>
                      <w:rFonts w:hint="eastAsia" w:eastAsia="宋体"/>
                      <w:color w:val="auto"/>
                      <w:szCs w:val="21"/>
                      <w:lang w:eastAsia="zh-CN"/>
                    </w:rPr>
                  </w:pPr>
                  <w:r>
                    <w:rPr>
                      <w:color w:val="auto"/>
                      <w:szCs w:val="21"/>
                    </w:rPr>
                    <w:t>接管进入产生</w:t>
                  </w:r>
                  <w:r>
                    <w:rPr>
                      <w:rFonts w:hint="eastAsia"/>
                      <w:color w:val="auto"/>
                      <w:szCs w:val="21"/>
                    </w:rPr>
                    <w:t>金坛</w:t>
                  </w:r>
                  <w:r>
                    <w:rPr>
                      <w:rFonts w:hint="eastAsia"/>
                      <w:color w:val="auto"/>
                      <w:szCs w:val="21"/>
                      <w:lang w:eastAsia="zh-CN"/>
                    </w:rPr>
                    <w:t>第二污水处理有限公司</w:t>
                  </w:r>
                </w:p>
              </w:tc>
            </w:tr>
            <w:tr w14:paraId="7F8A9A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0D460A9">
                  <w:pPr>
                    <w:tabs>
                      <w:tab w:val="left" w:pos="6840"/>
                    </w:tabs>
                    <w:spacing w:line="270" w:lineRule="exact"/>
                    <w:jc w:val="center"/>
                    <w:rPr>
                      <w:color w:val="auto"/>
                      <w:szCs w:val="21"/>
                    </w:rPr>
                  </w:pPr>
                </w:p>
              </w:tc>
              <w:tc>
                <w:tcPr>
                  <w:tcW w:w="510" w:type="pct"/>
                  <w:vAlign w:val="center"/>
                </w:tcPr>
                <w:p w14:paraId="32EFA197">
                  <w:pPr>
                    <w:tabs>
                      <w:tab w:val="left" w:pos="6840"/>
                    </w:tabs>
                    <w:spacing w:line="270" w:lineRule="exact"/>
                    <w:jc w:val="center"/>
                    <w:rPr>
                      <w:color w:val="auto"/>
                      <w:szCs w:val="21"/>
                    </w:rPr>
                  </w:pPr>
                  <w:r>
                    <w:rPr>
                      <w:color w:val="auto"/>
                      <w:szCs w:val="21"/>
                    </w:rPr>
                    <w:t>SS</w:t>
                  </w:r>
                </w:p>
              </w:tc>
              <w:tc>
                <w:tcPr>
                  <w:tcW w:w="510" w:type="pct"/>
                  <w:vAlign w:val="center"/>
                </w:tcPr>
                <w:p w14:paraId="72A9A935">
                  <w:pPr>
                    <w:tabs>
                      <w:tab w:val="left" w:pos="6840"/>
                    </w:tabs>
                    <w:spacing w:line="270" w:lineRule="exact"/>
                    <w:jc w:val="center"/>
                    <w:rPr>
                      <w:color w:val="auto"/>
                      <w:szCs w:val="21"/>
                    </w:rPr>
                  </w:pPr>
                  <w:r>
                    <w:rPr>
                      <w:rFonts w:hint="eastAsia"/>
                      <w:color w:val="auto"/>
                      <w:szCs w:val="21"/>
                    </w:rPr>
                    <w:t>2</w:t>
                  </w:r>
                  <w:r>
                    <w:rPr>
                      <w:rFonts w:hint="eastAsia"/>
                      <w:color w:val="auto"/>
                      <w:szCs w:val="21"/>
                      <w:lang w:val="en-US" w:eastAsia="zh-CN"/>
                    </w:rPr>
                    <w:t>0</w:t>
                  </w:r>
                  <w:r>
                    <w:rPr>
                      <w:color w:val="auto"/>
                      <w:szCs w:val="21"/>
                    </w:rPr>
                    <w:t>0</w:t>
                  </w:r>
                </w:p>
              </w:tc>
              <w:tc>
                <w:tcPr>
                  <w:tcW w:w="513" w:type="pct"/>
                  <w:vAlign w:val="center"/>
                </w:tcPr>
                <w:p w14:paraId="31BA9BBF">
                  <w:pPr>
                    <w:jc w:val="center"/>
                    <w:rPr>
                      <w:rFonts w:hint="default" w:eastAsia="宋体"/>
                      <w:color w:val="auto"/>
                      <w:szCs w:val="21"/>
                      <w:lang w:val="en-US" w:eastAsia="zh-CN"/>
                    </w:rPr>
                  </w:pPr>
                  <w:r>
                    <w:rPr>
                      <w:rFonts w:hint="eastAsia"/>
                      <w:color w:val="auto"/>
                      <w:szCs w:val="21"/>
                      <w:lang w:val="en-US" w:eastAsia="zh-CN"/>
                    </w:rPr>
                    <w:t>0.072</w:t>
                  </w:r>
                </w:p>
              </w:tc>
              <w:tc>
                <w:tcPr>
                  <w:tcW w:w="672" w:type="pct"/>
                  <w:vMerge w:val="continue"/>
                  <w:vAlign w:val="center"/>
                </w:tcPr>
                <w:p w14:paraId="070E66BA">
                  <w:pPr>
                    <w:tabs>
                      <w:tab w:val="left" w:pos="6840"/>
                    </w:tabs>
                    <w:spacing w:line="270" w:lineRule="exact"/>
                    <w:jc w:val="center"/>
                    <w:rPr>
                      <w:color w:val="auto"/>
                      <w:szCs w:val="21"/>
                    </w:rPr>
                  </w:pPr>
                </w:p>
              </w:tc>
              <w:tc>
                <w:tcPr>
                  <w:tcW w:w="435" w:type="pct"/>
                  <w:vAlign w:val="center"/>
                </w:tcPr>
                <w:p w14:paraId="3FF34CE9">
                  <w:pPr>
                    <w:tabs>
                      <w:tab w:val="left" w:pos="6840"/>
                    </w:tabs>
                    <w:spacing w:line="270" w:lineRule="exact"/>
                    <w:jc w:val="center"/>
                    <w:rPr>
                      <w:color w:val="auto"/>
                      <w:szCs w:val="21"/>
                    </w:rPr>
                  </w:pPr>
                  <w:r>
                    <w:rPr>
                      <w:color w:val="auto"/>
                      <w:szCs w:val="21"/>
                    </w:rPr>
                    <w:t>SS</w:t>
                  </w:r>
                </w:p>
              </w:tc>
              <w:tc>
                <w:tcPr>
                  <w:tcW w:w="435" w:type="pct"/>
                  <w:vAlign w:val="center"/>
                </w:tcPr>
                <w:p w14:paraId="6CECDB21">
                  <w:pPr>
                    <w:tabs>
                      <w:tab w:val="left" w:pos="6840"/>
                    </w:tabs>
                    <w:spacing w:line="270" w:lineRule="exact"/>
                    <w:jc w:val="center"/>
                    <w:rPr>
                      <w:color w:val="auto"/>
                      <w:szCs w:val="21"/>
                    </w:rPr>
                  </w:pPr>
                  <w:r>
                    <w:rPr>
                      <w:rFonts w:hint="eastAsia"/>
                      <w:color w:val="auto"/>
                      <w:szCs w:val="21"/>
                    </w:rPr>
                    <w:t>2</w:t>
                  </w:r>
                  <w:r>
                    <w:rPr>
                      <w:rFonts w:hint="eastAsia"/>
                      <w:color w:val="auto"/>
                      <w:szCs w:val="21"/>
                      <w:lang w:val="en-US" w:eastAsia="zh-CN"/>
                    </w:rPr>
                    <w:t>0</w:t>
                  </w:r>
                  <w:r>
                    <w:rPr>
                      <w:color w:val="auto"/>
                      <w:szCs w:val="21"/>
                    </w:rPr>
                    <w:t>0</w:t>
                  </w:r>
                </w:p>
              </w:tc>
              <w:tc>
                <w:tcPr>
                  <w:tcW w:w="782" w:type="dxa"/>
                  <w:vAlign w:val="center"/>
                </w:tcPr>
                <w:p w14:paraId="1C426EC5">
                  <w:pPr>
                    <w:jc w:val="center"/>
                    <w:rPr>
                      <w:color w:val="auto"/>
                      <w:szCs w:val="21"/>
                    </w:rPr>
                  </w:pPr>
                  <w:r>
                    <w:rPr>
                      <w:rFonts w:hint="eastAsia"/>
                      <w:color w:val="auto"/>
                      <w:szCs w:val="21"/>
                      <w:lang w:val="en-US" w:eastAsia="zh-CN"/>
                    </w:rPr>
                    <w:t>0.072</w:t>
                  </w:r>
                </w:p>
              </w:tc>
              <w:tc>
                <w:tcPr>
                  <w:tcW w:w="480" w:type="pct"/>
                  <w:vAlign w:val="center"/>
                </w:tcPr>
                <w:p w14:paraId="74B39F8D">
                  <w:pPr>
                    <w:adjustRightInd w:val="0"/>
                    <w:snapToGrid w:val="0"/>
                    <w:jc w:val="center"/>
                    <w:rPr>
                      <w:color w:val="auto"/>
                      <w:szCs w:val="21"/>
                    </w:rPr>
                  </w:pPr>
                  <w:r>
                    <w:rPr>
                      <w:color w:val="auto"/>
                      <w:szCs w:val="21"/>
                    </w:rPr>
                    <w:t>250</w:t>
                  </w:r>
                </w:p>
              </w:tc>
              <w:tc>
                <w:tcPr>
                  <w:tcW w:w="550" w:type="pct"/>
                  <w:vMerge w:val="continue"/>
                  <w:vAlign w:val="center"/>
                </w:tcPr>
                <w:p w14:paraId="685A5F00">
                  <w:pPr>
                    <w:tabs>
                      <w:tab w:val="left" w:pos="6840"/>
                    </w:tabs>
                    <w:spacing w:line="270" w:lineRule="exact"/>
                    <w:jc w:val="center"/>
                    <w:rPr>
                      <w:color w:val="auto"/>
                      <w:szCs w:val="21"/>
                    </w:rPr>
                  </w:pPr>
                </w:p>
              </w:tc>
            </w:tr>
            <w:tr w14:paraId="789228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32694B3A">
                  <w:pPr>
                    <w:tabs>
                      <w:tab w:val="left" w:pos="6840"/>
                    </w:tabs>
                    <w:spacing w:line="270" w:lineRule="exact"/>
                    <w:jc w:val="center"/>
                    <w:rPr>
                      <w:color w:val="auto"/>
                      <w:szCs w:val="21"/>
                    </w:rPr>
                  </w:pPr>
                </w:p>
              </w:tc>
              <w:tc>
                <w:tcPr>
                  <w:tcW w:w="510" w:type="pct"/>
                  <w:vAlign w:val="center"/>
                </w:tcPr>
                <w:p w14:paraId="73CF11B5">
                  <w:pPr>
                    <w:tabs>
                      <w:tab w:val="left" w:pos="6840"/>
                    </w:tabs>
                    <w:spacing w:line="270" w:lineRule="exact"/>
                    <w:jc w:val="center"/>
                    <w:rPr>
                      <w:color w:val="auto"/>
                      <w:szCs w:val="21"/>
                    </w:rPr>
                  </w:pPr>
                  <w:r>
                    <w:rPr>
                      <w:color w:val="auto"/>
                      <w:szCs w:val="21"/>
                    </w:rPr>
                    <w:t>NH</w:t>
                  </w:r>
                  <w:r>
                    <w:rPr>
                      <w:color w:val="auto"/>
                      <w:szCs w:val="21"/>
                      <w:vertAlign w:val="subscript"/>
                    </w:rPr>
                    <w:t>3</w:t>
                  </w:r>
                  <w:r>
                    <w:rPr>
                      <w:color w:val="auto"/>
                      <w:szCs w:val="21"/>
                    </w:rPr>
                    <w:t>-N</w:t>
                  </w:r>
                </w:p>
              </w:tc>
              <w:tc>
                <w:tcPr>
                  <w:tcW w:w="510" w:type="pct"/>
                  <w:vAlign w:val="center"/>
                </w:tcPr>
                <w:p w14:paraId="4AA8B7A6">
                  <w:pPr>
                    <w:tabs>
                      <w:tab w:val="left" w:pos="6840"/>
                    </w:tabs>
                    <w:spacing w:line="270" w:lineRule="exact"/>
                    <w:jc w:val="center"/>
                    <w:rPr>
                      <w:color w:val="auto"/>
                      <w:szCs w:val="21"/>
                    </w:rPr>
                  </w:pPr>
                  <w:r>
                    <w:rPr>
                      <w:rFonts w:hint="eastAsia"/>
                      <w:color w:val="auto"/>
                      <w:szCs w:val="21"/>
                    </w:rPr>
                    <w:t>30</w:t>
                  </w:r>
                </w:p>
              </w:tc>
              <w:tc>
                <w:tcPr>
                  <w:tcW w:w="513" w:type="pct"/>
                  <w:vAlign w:val="center"/>
                </w:tcPr>
                <w:p w14:paraId="74578621">
                  <w:pPr>
                    <w:jc w:val="center"/>
                    <w:rPr>
                      <w:rFonts w:hint="default" w:eastAsia="宋体"/>
                      <w:color w:val="auto"/>
                      <w:szCs w:val="21"/>
                      <w:lang w:val="en-US" w:eastAsia="zh-CN"/>
                    </w:rPr>
                  </w:pPr>
                  <w:r>
                    <w:rPr>
                      <w:rFonts w:hint="eastAsia"/>
                      <w:color w:val="auto"/>
                      <w:szCs w:val="21"/>
                      <w:lang w:val="en-US" w:eastAsia="zh-CN"/>
                    </w:rPr>
                    <w:t>0.011</w:t>
                  </w:r>
                </w:p>
              </w:tc>
              <w:tc>
                <w:tcPr>
                  <w:tcW w:w="672" w:type="pct"/>
                  <w:vMerge w:val="continue"/>
                  <w:vAlign w:val="center"/>
                </w:tcPr>
                <w:p w14:paraId="32BEDC21">
                  <w:pPr>
                    <w:tabs>
                      <w:tab w:val="left" w:pos="6840"/>
                    </w:tabs>
                    <w:spacing w:line="270" w:lineRule="exact"/>
                    <w:jc w:val="center"/>
                    <w:rPr>
                      <w:color w:val="auto"/>
                      <w:szCs w:val="21"/>
                    </w:rPr>
                  </w:pPr>
                </w:p>
              </w:tc>
              <w:tc>
                <w:tcPr>
                  <w:tcW w:w="435" w:type="pct"/>
                  <w:vAlign w:val="center"/>
                </w:tcPr>
                <w:p w14:paraId="6090C6C1">
                  <w:pPr>
                    <w:tabs>
                      <w:tab w:val="left" w:pos="6840"/>
                    </w:tabs>
                    <w:spacing w:line="270" w:lineRule="exact"/>
                    <w:jc w:val="center"/>
                    <w:rPr>
                      <w:color w:val="auto"/>
                      <w:szCs w:val="21"/>
                    </w:rPr>
                  </w:pPr>
                  <w:r>
                    <w:rPr>
                      <w:color w:val="auto"/>
                      <w:szCs w:val="21"/>
                    </w:rPr>
                    <w:t>NH</w:t>
                  </w:r>
                  <w:r>
                    <w:rPr>
                      <w:color w:val="auto"/>
                      <w:szCs w:val="21"/>
                      <w:vertAlign w:val="subscript"/>
                    </w:rPr>
                    <w:t>3</w:t>
                  </w:r>
                  <w:r>
                    <w:rPr>
                      <w:color w:val="auto"/>
                      <w:szCs w:val="21"/>
                    </w:rPr>
                    <w:t>-N</w:t>
                  </w:r>
                </w:p>
              </w:tc>
              <w:tc>
                <w:tcPr>
                  <w:tcW w:w="435" w:type="pct"/>
                  <w:vAlign w:val="center"/>
                </w:tcPr>
                <w:p w14:paraId="7F0F52F5">
                  <w:pPr>
                    <w:tabs>
                      <w:tab w:val="left" w:pos="6840"/>
                    </w:tabs>
                    <w:spacing w:line="270" w:lineRule="exact"/>
                    <w:jc w:val="center"/>
                    <w:rPr>
                      <w:color w:val="auto"/>
                      <w:szCs w:val="21"/>
                    </w:rPr>
                  </w:pPr>
                  <w:r>
                    <w:rPr>
                      <w:rFonts w:hint="eastAsia"/>
                      <w:color w:val="auto"/>
                      <w:szCs w:val="21"/>
                    </w:rPr>
                    <w:t>30</w:t>
                  </w:r>
                </w:p>
              </w:tc>
              <w:tc>
                <w:tcPr>
                  <w:tcW w:w="782" w:type="dxa"/>
                  <w:vAlign w:val="center"/>
                </w:tcPr>
                <w:p w14:paraId="3F8AAD74">
                  <w:pPr>
                    <w:jc w:val="center"/>
                    <w:rPr>
                      <w:color w:val="auto"/>
                      <w:szCs w:val="21"/>
                    </w:rPr>
                  </w:pPr>
                  <w:r>
                    <w:rPr>
                      <w:rFonts w:hint="eastAsia"/>
                      <w:color w:val="auto"/>
                      <w:szCs w:val="21"/>
                      <w:lang w:val="en-US" w:eastAsia="zh-CN"/>
                    </w:rPr>
                    <w:t>0.011</w:t>
                  </w:r>
                </w:p>
              </w:tc>
              <w:tc>
                <w:tcPr>
                  <w:tcW w:w="480" w:type="pct"/>
                  <w:vAlign w:val="center"/>
                </w:tcPr>
                <w:p w14:paraId="3BBD617B">
                  <w:pPr>
                    <w:adjustRightInd w:val="0"/>
                    <w:snapToGrid w:val="0"/>
                    <w:jc w:val="center"/>
                    <w:rPr>
                      <w:color w:val="auto"/>
                      <w:szCs w:val="21"/>
                    </w:rPr>
                  </w:pPr>
                  <w:r>
                    <w:rPr>
                      <w:color w:val="auto"/>
                      <w:szCs w:val="21"/>
                    </w:rPr>
                    <w:t>35</w:t>
                  </w:r>
                </w:p>
              </w:tc>
              <w:tc>
                <w:tcPr>
                  <w:tcW w:w="550" w:type="pct"/>
                  <w:vMerge w:val="continue"/>
                  <w:vAlign w:val="center"/>
                </w:tcPr>
                <w:p w14:paraId="739EE394">
                  <w:pPr>
                    <w:tabs>
                      <w:tab w:val="left" w:pos="6840"/>
                    </w:tabs>
                    <w:spacing w:line="270" w:lineRule="exact"/>
                    <w:jc w:val="center"/>
                    <w:rPr>
                      <w:color w:val="auto"/>
                      <w:szCs w:val="21"/>
                    </w:rPr>
                  </w:pPr>
                </w:p>
              </w:tc>
            </w:tr>
            <w:tr w14:paraId="61858B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B8D0837">
                  <w:pPr>
                    <w:tabs>
                      <w:tab w:val="left" w:pos="6840"/>
                    </w:tabs>
                    <w:spacing w:line="270" w:lineRule="exact"/>
                    <w:jc w:val="center"/>
                    <w:rPr>
                      <w:color w:val="auto"/>
                      <w:szCs w:val="21"/>
                    </w:rPr>
                  </w:pPr>
                </w:p>
              </w:tc>
              <w:tc>
                <w:tcPr>
                  <w:tcW w:w="510" w:type="pct"/>
                  <w:vAlign w:val="center"/>
                </w:tcPr>
                <w:p w14:paraId="1BAD2911">
                  <w:pPr>
                    <w:tabs>
                      <w:tab w:val="left" w:pos="6840"/>
                    </w:tabs>
                    <w:spacing w:line="270" w:lineRule="exact"/>
                    <w:jc w:val="center"/>
                    <w:rPr>
                      <w:color w:val="auto"/>
                      <w:szCs w:val="21"/>
                    </w:rPr>
                  </w:pPr>
                  <w:r>
                    <w:rPr>
                      <w:color w:val="auto"/>
                      <w:szCs w:val="21"/>
                    </w:rPr>
                    <w:t>TN</w:t>
                  </w:r>
                </w:p>
              </w:tc>
              <w:tc>
                <w:tcPr>
                  <w:tcW w:w="510" w:type="pct"/>
                  <w:vAlign w:val="center"/>
                </w:tcPr>
                <w:p w14:paraId="3D51A8B3">
                  <w:pPr>
                    <w:jc w:val="center"/>
                    <w:rPr>
                      <w:rFonts w:hint="default" w:eastAsia="宋体"/>
                      <w:color w:val="auto"/>
                      <w:szCs w:val="21"/>
                      <w:lang w:val="en-US" w:eastAsia="zh-CN"/>
                    </w:rPr>
                  </w:pPr>
                  <w:r>
                    <w:rPr>
                      <w:rFonts w:hint="eastAsia"/>
                      <w:color w:val="auto"/>
                      <w:szCs w:val="21"/>
                      <w:lang w:val="en-US" w:eastAsia="zh-CN"/>
                    </w:rPr>
                    <w:t>40</w:t>
                  </w:r>
                </w:p>
              </w:tc>
              <w:tc>
                <w:tcPr>
                  <w:tcW w:w="513" w:type="pct"/>
                  <w:vAlign w:val="center"/>
                </w:tcPr>
                <w:p w14:paraId="4B8452AB">
                  <w:pPr>
                    <w:jc w:val="center"/>
                    <w:rPr>
                      <w:rFonts w:hint="default" w:eastAsia="宋体"/>
                      <w:color w:val="auto"/>
                      <w:szCs w:val="21"/>
                      <w:lang w:val="en-US" w:eastAsia="zh-CN"/>
                    </w:rPr>
                  </w:pPr>
                  <w:r>
                    <w:rPr>
                      <w:rFonts w:hint="eastAsia"/>
                      <w:color w:val="auto"/>
                      <w:szCs w:val="21"/>
                      <w:lang w:val="en-US" w:eastAsia="zh-CN"/>
                    </w:rPr>
                    <w:t>0.014</w:t>
                  </w:r>
                </w:p>
              </w:tc>
              <w:tc>
                <w:tcPr>
                  <w:tcW w:w="672" w:type="pct"/>
                  <w:vMerge w:val="continue"/>
                  <w:vAlign w:val="center"/>
                </w:tcPr>
                <w:p w14:paraId="34CA5706">
                  <w:pPr>
                    <w:tabs>
                      <w:tab w:val="left" w:pos="6840"/>
                    </w:tabs>
                    <w:spacing w:line="270" w:lineRule="exact"/>
                    <w:jc w:val="center"/>
                    <w:rPr>
                      <w:color w:val="auto"/>
                      <w:szCs w:val="21"/>
                    </w:rPr>
                  </w:pPr>
                </w:p>
              </w:tc>
              <w:tc>
                <w:tcPr>
                  <w:tcW w:w="435" w:type="pct"/>
                  <w:vAlign w:val="center"/>
                </w:tcPr>
                <w:p w14:paraId="3996B32C">
                  <w:pPr>
                    <w:tabs>
                      <w:tab w:val="left" w:pos="6840"/>
                    </w:tabs>
                    <w:spacing w:line="270" w:lineRule="exact"/>
                    <w:jc w:val="center"/>
                    <w:rPr>
                      <w:color w:val="auto"/>
                      <w:szCs w:val="21"/>
                    </w:rPr>
                  </w:pPr>
                  <w:r>
                    <w:rPr>
                      <w:color w:val="auto"/>
                      <w:szCs w:val="21"/>
                    </w:rPr>
                    <w:t>TN</w:t>
                  </w:r>
                </w:p>
              </w:tc>
              <w:tc>
                <w:tcPr>
                  <w:tcW w:w="435" w:type="pct"/>
                  <w:vAlign w:val="center"/>
                </w:tcPr>
                <w:p w14:paraId="0ADC6B31">
                  <w:pPr>
                    <w:jc w:val="center"/>
                    <w:rPr>
                      <w:rFonts w:hint="default" w:eastAsia="宋体"/>
                      <w:color w:val="auto"/>
                      <w:szCs w:val="21"/>
                      <w:lang w:val="en-US" w:eastAsia="zh-CN"/>
                    </w:rPr>
                  </w:pPr>
                  <w:r>
                    <w:rPr>
                      <w:rFonts w:hint="eastAsia"/>
                      <w:color w:val="auto"/>
                      <w:szCs w:val="21"/>
                      <w:lang w:val="en-US" w:eastAsia="zh-CN"/>
                    </w:rPr>
                    <w:t>40</w:t>
                  </w:r>
                </w:p>
              </w:tc>
              <w:tc>
                <w:tcPr>
                  <w:tcW w:w="782" w:type="dxa"/>
                  <w:vAlign w:val="center"/>
                </w:tcPr>
                <w:p w14:paraId="37A0E4F6">
                  <w:pPr>
                    <w:jc w:val="center"/>
                    <w:rPr>
                      <w:rFonts w:hint="default"/>
                      <w:color w:val="auto"/>
                      <w:szCs w:val="21"/>
                      <w:lang w:val="en-US"/>
                    </w:rPr>
                  </w:pPr>
                  <w:r>
                    <w:rPr>
                      <w:rFonts w:hint="eastAsia"/>
                      <w:color w:val="auto"/>
                      <w:szCs w:val="21"/>
                      <w:lang w:val="en-US" w:eastAsia="zh-CN"/>
                    </w:rPr>
                    <w:t>0.014</w:t>
                  </w:r>
                </w:p>
              </w:tc>
              <w:tc>
                <w:tcPr>
                  <w:tcW w:w="480" w:type="pct"/>
                  <w:vAlign w:val="center"/>
                </w:tcPr>
                <w:p w14:paraId="285E4800">
                  <w:pPr>
                    <w:adjustRightInd w:val="0"/>
                    <w:snapToGrid w:val="0"/>
                    <w:jc w:val="center"/>
                    <w:rPr>
                      <w:color w:val="auto"/>
                      <w:szCs w:val="21"/>
                    </w:rPr>
                  </w:pPr>
                  <w:r>
                    <w:rPr>
                      <w:color w:val="auto"/>
                      <w:szCs w:val="21"/>
                    </w:rPr>
                    <w:t>50</w:t>
                  </w:r>
                </w:p>
              </w:tc>
              <w:tc>
                <w:tcPr>
                  <w:tcW w:w="550" w:type="pct"/>
                  <w:vMerge w:val="continue"/>
                  <w:vAlign w:val="center"/>
                </w:tcPr>
                <w:p w14:paraId="2AEEAFAE">
                  <w:pPr>
                    <w:tabs>
                      <w:tab w:val="left" w:pos="6840"/>
                    </w:tabs>
                    <w:spacing w:line="270" w:lineRule="exact"/>
                    <w:jc w:val="center"/>
                    <w:rPr>
                      <w:color w:val="auto"/>
                      <w:szCs w:val="21"/>
                    </w:rPr>
                  </w:pPr>
                </w:p>
              </w:tc>
            </w:tr>
            <w:tr w14:paraId="2CE88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A828095">
                  <w:pPr>
                    <w:tabs>
                      <w:tab w:val="left" w:pos="6840"/>
                    </w:tabs>
                    <w:spacing w:line="270" w:lineRule="exact"/>
                    <w:jc w:val="center"/>
                    <w:rPr>
                      <w:color w:val="auto"/>
                      <w:szCs w:val="21"/>
                    </w:rPr>
                  </w:pPr>
                </w:p>
              </w:tc>
              <w:tc>
                <w:tcPr>
                  <w:tcW w:w="510" w:type="pct"/>
                  <w:vAlign w:val="center"/>
                </w:tcPr>
                <w:p w14:paraId="6A5E3B7A">
                  <w:pPr>
                    <w:tabs>
                      <w:tab w:val="left" w:pos="6840"/>
                    </w:tabs>
                    <w:spacing w:line="270" w:lineRule="exact"/>
                    <w:jc w:val="center"/>
                    <w:rPr>
                      <w:color w:val="auto"/>
                      <w:szCs w:val="21"/>
                    </w:rPr>
                  </w:pPr>
                  <w:r>
                    <w:rPr>
                      <w:color w:val="auto"/>
                      <w:szCs w:val="21"/>
                    </w:rPr>
                    <w:t>TP</w:t>
                  </w:r>
                </w:p>
              </w:tc>
              <w:tc>
                <w:tcPr>
                  <w:tcW w:w="510" w:type="pct"/>
                  <w:vAlign w:val="center"/>
                </w:tcPr>
                <w:p w14:paraId="4A72476E">
                  <w:pPr>
                    <w:jc w:val="center"/>
                    <w:rPr>
                      <w:rFonts w:hint="eastAsia" w:eastAsia="宋体"/>
                      <w:color w:val="auto"/>
                      <w:szCs w:val="21"/>
                      <w:lang w:eastAsia="zh-CN"/>
                    </w:rPr>
                  </w:pPr>
                  <w:r>
                    <w:rPr>
                      <w:rFonts w:hint="eastAsia"/>
                      <w:color w:val="auto"/>
                      <w:szCs w:val="21"/>
                      <w:lang w:val="en-US" w:eastAsia="zh-CN"/>
                    </w:rPr>
                    <w:t>3</w:t>
                  </w:r>
                </w:p>
              </w:tc>
              <w:tc>
                <w:tcPr>
                  <w:tcW w:w="513" w:type="pct"/>
                  <w:vAlign w:val="center"/>
                </w:tcPr>
                <w:p w14:paraId="258541B0">
                  <w:pPr>
                    <w:jc w:val="center"/>
                    <w:rPr>
                      <w:rFonts w:hint="default" w:eastAsia="宋体"/>
                      <w:color w:val="auto"/>
                      <w:szCs w:val="21"/>
                      <w:lang w:val="en-US" w:eastAsia="zh-CN"/>
                    </w:rPr>
                  </w:pPr>
                  <w:r>
                    <w:rPr>
                      <w:rFonts w:hint="eastAsia"/>
                      <w:color w:val="auto"/>
                      <w:szCs w:val="21"/>
                      <w:lang w:val="en-US" w:eastAsia="zh-CN"/>
                    </w:rPr>
                    <w:t>0.001</w:t>
                  </w:r>
                </w:p>
              </w:tc>
              <w:tc>
                <w:tcPr>
                  <w:tcW w:w="672" w:type="pct"/>
                  <w:vMerge w:val="continue"/>
                  <w:vAlign w:val="center"/>
                </w:tcPr>
                <w:p w14:paraId="6A05D10B">
                  <w:pPr>
                    <w:tabs>
                      <w:tab w:val="left" w:pos="6840"/>
                    </w:tabs>
                    <w:spacing w:line="270" w:lineRule="exact"/>
                    <w:jc w:val="center"/>
                    <w:rPr>
                      <w:color w:val="auto"/>
                      <w:szCs w:val="21"/>
                    </w:rPr>
                  </w:pPr>
                </w:p>
              </w:tc>
              <w:tc>
                <w:tcPr>
                  <w:tcW w:w="435" w:type="pct"/>
                  <w:vAlign w:val="center"/>
                </w:tcPr>
                <w:p w14:paraId="62808A5E">
                  <w:pPr>
                    <w:tabs>
                      <w:tab w:val="left" w:pos="6840"/>
                    </w:tabs>
                    <w:spacing w:line="270" w:lineRule="exact"/>
                    <w:jc w:val="center"/>
                    <w:rPr>
                      <w:color w:val="auto"/>
                      <w:szCs w:val="21"/>
                    </w:rPr>
                  </w:pPr>
                  <w:r>
                    <w:rPr>
                      <w:color w:val="auto"/>
                      <w:szCs w:val="21"/>
                    </w:rPr>
                    <w:t>TP</w:t>
                  </w:r>
                </w:p>
              </w:tc>
              <w:tc>
                <w:tcPr>
                  <w:tcW w:w="435" w:type="pct"/>
                  <w:vAlign w:val="center"/>
                </w:tcPr>
                <w:p w14:paraId="78E49F37">
                  <w:pPr>
                    <w:jc w:val="center"/>
                    <w:rPr>
                      <w:rFonts w:hint="eastAsia" w:eastAsia="宋体"/>
                      <w:color w:val="auto"/>
                      <w:szCs w:val="21"/>
                      <w:lang w:eastAsia="zh-CN"/>
                    </w:rPr>
                  </w:pPr>
                  <w:r>
                    <w:rPr>
                      <w:rFonts w:hint="eastAsia"/>
                      <w:color w:val="auto"/>
                      <w:szCs w:val="21"/>
                      <w:lang w:val="en-US" w:eastAsia="zh-CN"/>
                    </w:rPr>
                    <w:t>3</w:t>
                  </w:r>
                </w:p>
              </w:tc>
              <w:tc>
                <w:tcPr>
                  <w:tcW w:w="782" w:type="dxa"/>
                  <w:vAlign w:val="center"/>
                </w:tcPr>
                <w:p w14:paraId="359C2009">
                  <w:pPr>
                    <w:jc w:val="center"/>
                    <w:rPr>
                      <w:color w:val="auto"/>
                      <w:szCs w:val="21"/>
                    </w:rPr>
                  </w:pPr>
                  <w:r>
                    <w:rPr>
                      <w:rFonts w:hint="eastAsia"/>
                      <w:color w:val="auto"/>
                      <w:szCs w:val="21"/>
                      <w:lang w:val="en-US" w:eastAsia="zh-CN"/>
                    </w:rPr>
                    <w:t>0.001</w:t>
                  </w:r>
                </w:p>
              </w:tc>
              <w:tc>
                <w:tcPr>
                  <w:tcW w:w="480" w:type="pct"/>
                  <w:vAlign w:val="center"/>
                </w:tcPr>
                <w:p w14:paraId="2E3BCE51">
                  <w:pPr>
                    <w:adjustRightInd w:val="0"/>
                    <w:snapToGrid w:val="0"/>
                    <w:jc w:val="center"/>
                    <w:rPr>
                      <w:color w:val="auto"/>
                      <w:szCs w:val="21"/>
                    </w:rPr>
                  </w:pPr>
                  <w:r>
                    <w:rPr>
                      <w:color w:val="auto"/>
                      <w:szCs w:val="21"/>
                    </w:rPr>
                    <w:t>3</w:t>
                  </w:r>
                </w:p>
              </w:tc>
              <w:tc>
                <w:tcPr>
                  <w:tcW w:w="550" w:type="pct"/>
                  <w:vMerge w:val="continue"/>
                  <w:vAlign w:val="center"/>
                </w:tcPr>
                <w:p w14:paraId="29ACA68F">
                  <w:pPr>
                    <w:tabs>
                      <w:tab w:val="left" w:pos="6840"/>
                    </w:tabs>
                    <w:spacing w:line="270" w:lineRule="exact"/>
                    <w:jc w:val="center"/>
                    <w:rPr>
                      <w:color w:val="auto"/>
                      <w:szCs w:val="21"/>
                    </w:rPr>
                  </w:pPr>
                </w:p>
              </w:tc>
            </w:tr>
          </w:tbl>
          <w:p w14:paraId="2CFA4A54">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排放口基本信息</w:t>
            </w:r>
          </w:p>
          <w:p w14:paraId="284DEB88">
            <w:pPr>
              <w:adjustRightInd w:val="0"/>
              <w:snapToGrid w:val="0"/>
              <w:jc w:val="center"/>
              <w:rPr>
                <w:b/>
                <w:bCs/>
                <w:color w:val="auto"/>
                <w:szCs w:val="21"/>
              </w:rPr>
            </w:pPr>
            <w:r>
              <w:rPr>
                <w:b/>
                <w:bCs/>
                <w:color w:val="auto"/>
                <w:szCs w:val="21"/>
              </w:rPr>
              <w:t>表4-</w:t>
            </w:r>
            <w:r>
              <w:rPr>
                <w:rFonts w:hint="eastAsia"/>
                <w:b/>
                <w:bCs/>
                <w:color w:val="auto"/>
                <w:szCs w:val="21"/>
              </w:rPr>
              <w:t>1</w:t>
            </w:r>
            <w:r>
              <w:rPr>
                <w:rFonts w:hint="eastAsia"/>
                <w:b/>
                <w:bCs/>
                <w:color w:val="auto"/>
                <w:szCs w:val="21"/>
                <w:lang w:val="en-US" w:eastAsia="zh-CN"/>
              </w:rPr>
              <w:t>1</w:t>
            </w:r>
            <w:r>
              <w:rPr>
                <w:b/>
                <w:bCs/>
                <w:color w:val="auto"/>
                <w:szCs w:val="21"/>
              </w:rPr>
              <w:t>废水间接排放口基本情况表</w:t>
            </w:r>
          </w:p>
          <w:tbl>
            <w:tblPr>
              <w:tblStyle w:val="27"/>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
              <w:gridCol w:w="721"/>
              <w:gridCol w:w="1046"/>
              <w:gridCol w:w="1730"/>
              <w:gridCol w:w="471"/>
              <w:gridCol w:w="865"/>
              <w:gridCol w:w="456"/>
              <w:gridCol w:w="499"/>
              <w:gridCol w:w="685"/>
              <w:gridCol w:w="1034"/>
              <w:gridCol w:w="427"/>
            </w:tblGrid>
            <w:tr w14:paraId="286EFA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2" w:type="pct"/>
                  <w:vMerge w:val="restart"/>
                  <w:vAlign w:val="center"/>
                </w:tcPr>
                <w:p w14:paraId="1D964DAA">
                  <w:pPr>
                    <w:tabs>
                      <w:tab w:val="left" w:pos="6840"/>
                    </w:tabs>
                    <w:spacing w:line="270" w:lineRule="exact"/>
                    <w:jc w:val="center"/>
                    <w:rPr>
                      <w:b/>
                      <w:bCs/>
                      <w:color w:val="auto"/>
                      <w:szCs w:val="21"/>
                    </w:rPr>
                  </w:pPr>
                  <w:r>
                    <w:rPr>
                      <w:b/>
                      <w:bCs/>
                      <w:color w:val="auto"/>
                      <w:szCs w:val="21"/>
                    </w:rPr>
                    <w:t>序号</w:t>
                  </w:r>
                </w:p>
              </w:tc>
              <w:tc>
                <w:tcPr>
                  <w:tcW w:w="439" w:type="pct"/>
                  <w:vMerge w:val="restart"/>
                  <w:vAlign w:val="center"/>
                </w:tcPr>
                <w:p w14:paraId="05B1F1C1">
                  <w:pPr>
                    <w:tabs>
                      <w:tab w:val="left" w:pos="6840"/>
                    </w:tabs>
                    <w:spacing w:line="270" w:lineRule="exact"/>
                    <w:jc w:val="center"/>
                    <w:rPr>
                      <w:b/>
                      <w:bCs/>
                      <w:color w:val="auto"/>
                      <w:szCs w:val="21"/>
                    </w:rPr>
                  </w:pPr>
                  <w:r>
                    <w:rPr>
                      <w:b/>
                      <w:bCs/>
                      <w:color w:val="auto"/>
                      <w:szCs w:val="21"/>
                    </w:rPr>
                    <w:t>排放口</w:t>
                  </w:r>
                </w:p>
                <w:p w14:paraId="38F413D1">
                  <w:pPr>
                    <w:tabs>
                      <w:tab w:val="left" w:pos="6840"/>
                    </w:tabs>
                    <w:spacing w:line="270" w:lineRule="exact"/>
                    <w:jc w:val="center"/>
                    <w:rPr>
                      <w:b/>
                      <w:bCs/>
                      <w:color w:val="auto"/>
                      <w:szCs w:val="21"/>
                    </w:rPr>
                  </w:pPr>
                  <w:r>
                    <w:rPr>
                      <w:b/>
                      <w:bCs/>
                      <w:color w:val="auto"/>
                      <w:szCs w:val="21"/>
                    </w:rPr>
                    <w:t>编号</w:t>
                  </w:r>
                </w:p>
              </w:tc>
              <w:tc>
                <w:tcPr>
                  <w:tcW w:w="1691" w:type="pct"/>
                  <w:gridSpan w:val="2"/>
                  <w:vAlign w:val="center"/>
                </w:tcPr>
                <w:p w14:paraId="6FDAD1E6">
                  <w:pPr>
                    <w:tabs>
                      <w:tab w:val="left" w:pos="6840"/>
                    </w:tabs>
                    <w:spacing w:line="270" w:lineRule="exact"/>
                    <w:jc w:val="center"/>
                    <w:rPr>
                      <w:b/>
                      <w:bCs/>
                      <w:color w:val="auto"/>
                      <w:szCs w:val="21"/>
                    </w:rPr>
                  </w:pPr>
                  <w:r>
                    <w:rPr>
                      <w:b/>
                      <w:bCs/>
                      <w:color w:val="auto"/>
                      <w:szCs w:val="21"/>
                    </w:rPr>
                    <w:t>地理坐标</w:t>
                  </w:r>
                </w:p>
              </w:tc>
              <w:tc>
                <w:tcPr>
                  <w:tcW w:w="287" w:type="pct"/>
                  <w:vMerge w:val="restart"/>
                  <w:vAlign w:val="center"/>
                </w:tcPr>
                <w:p w14:paraId="388295B6">
                  <w:pPr>
                    <w:tabs>
                      <w:tab w:val="left" w:pos="6840"/>
                    </w:tabs>
                    <w:spacing w:line="270" w:lineRule="exact"/>
                    <w:jc w:val="center"/>
                    <w:rPr>
                      <w:b/>
                      <w:bCs/>
                      <w:color w:val="auto"/>
                      <w:szCs w:val="21"/>
                    </w:rPr>
                  </w:pPr>
                  <w:r>
                    <w:rPr>
                      <w:b/>
                      <w:bCs/>
                      <w:color w:val="auto"/>
                      <w:szCs w:val="21"/>
                    </w:rPr>
                    <w:t>排放</w:t>
                  </w:r>
                </w:p>
                <w:p w14:paraId="16988998">
                  <w:pPr>
                    <w:tabs>
                      <w:tab w:val="left" w:pos="6840"/>
                    </w:tabs>
                    <w:spacing w:line="270" w:lineRule="exact"/>
                    <w:jc w:val="center"/>
                    <w:rPr>
                      <w:b/>
                      <w:bCs/>
                      <w:color w:val="auto"/>
                      <w:szCs w:val="21"/>
                    </w:rPr>
                  </w:pPr>
                  <w:r>
                    <w:rPr>
                      <w:b/>
                      <w:bCs/>
                      <w:color w:val="auto"/>
                      <w:szCs w:val="21"/>
                    </w:rPr>
                    <w:t>去向</w:t>
                  </w:r>
                </w:p>
              </w:tc>
              <w:tc>
                <w:tcPr>
                  <w:tcW w:w="527" w:type="pct"/>
                  <w:vMerge w:val="restart"/>
                  <w:vAlign w:val="center"/>
                </w:tcPr>
                <w:p w14:paraId="27BC7067">
                  <w:pPr>
                    <w:tabs>
                      <w:tab w:val="left" w:pos="6840"/>
                    </w:tabs>
                    <w:spacing w:line="270" w:lineRule="exact"/>
                    <w:jc w:val="center"/>
                    <w:rPr>
                      <w:b/>
                      <w:bCs/>
                      <w:color w:val="auto"/>
                      <w:szCs w:val="21"/>
                    </w:rPr>
                  </w:pPr>
                  <w:r>
                    <w:rPr>
                      <w:b/>
                      <w:bCs/>
                      <w:color w:val="auto"/>
                      <w:szCs w:val="21"/>
                    </w:rPr>
                    <w:t>排放</w:t>
                  </w:r>
                </w:p>
                <w:p w14:paraId="24E31164">
                  <w:pPr>
                    <w:tabs>
                      <w:tab w:val="left" w:pos="6840"/>
                    </w:tabs>
                    <w:spacing w:line="270" w:lineRule="exact"/>
                    <w:jc w:val="center"/>
                    <w:rPr>
                      <w:b/>
                      <w:bCs/>
                      <w:color w:val="auto"/>
                      <w:szCs w:val="21"/>
                    </w:rPr>
                  </w:pPr>
                  <w:r>
                    <w:rPr>
                      <w:b/>
                      <w:bCs/>
                      <w:color w:val="auto"/>
                      <w:szCs w:val="21"/>
                    </w:rPr>
                    <w:t>规律</w:t>
                  </w:r>
                </w:p>
              </w:tc>
              <w:tc>
                <w:tcPr>
                  <w:tcW w:w="278" w:type="pct"/>
                  <w:vMerge w:val="restart"/>
                  <w:vAlign w:val="center"/>
                </w:tcPr>
                <w:p w14:paraId="76813B13">
                  <w:pPr>
                    <w:tabs>
                      <w:tab w:val="left" w:pos="6840"/>
                    </w:tabs>
                    <w:spacing w:line="270" w:lineRule="exact"/>
                    <w:jc w:val="center"/>
                    <w:rPr>
                      <w:b/>
                      <w:bCs/>
                      <w:color w:val="auto"/>
                      <w:szCs w:val="21"/>
                    </w:rPr>
                  </w:pPr>
                  <w:r>
                    <w:rPr>
                      <w:b/>
                      <w:bCs/>
                      <w:color w:val="auto"/>
                      <w:szCs w:val="21"/>
                    </w:rPr>
                    <w:t>间歇排放时段</w:t>
                  </w:r>
                </w:p>
              </w:tc>
              <w:tc>
                <w:tcPr>
                  <w:tcW w:w="1351" w:type="pct"/>
                  <w:gridSpan w:val="3"/>
                  <w:vAlign w:val="center"/>
                </w:tcPr>
                <w:p w14:paraId="123F1299">
                  <w:pPr>
                    <w:tabs>
                      <w:tab w:val="left" w:pos="6840"/>
                    </w:tabs>
                    <w:spacing w:line="270" w:lineRule="exact"/>
                    <w:jc w:val="center"/>
                    <w:rPr>
                      <w:b/>
                      <w:bCs/>
                      <w:color w:val="auto"/>
                      <w:szCs w:val="21"/>
                    </w:rPr>
                  </w:pPr>
                  <w:r>
                    <w:rPr>
                      <w:b/>
                      <w:bCs/>
                      <w:color w:val="auto"/>
                      <w:szCs w:val="21"/>
                    </w:rPr>
                    <w:t>受纳污水处理厂信息</w:t>
                  </w:r>
                </w:p>
              </w:tc>
              <w:tc>
                <w:tcPr>
                  <w:tcW w:w="260" w:type="pct"/>
                  <w:vMerge w:val="restart"/>
                  <w:vAlign w:val="center"/>
                </w:tcPr>
                <w:p w14:paraId="5F419414">
                  <w:pPr>
                    <w:tabs>
                      <w:tab w:val="left" w:pos="6840"/>
                    </w:tabs>
                    <w:spacing w:line="270" w:lineRule="exact"/>
                    <w:jc w:val="center"/>
                    <w:rPr>
                      <w:b/>
                      <w:bCs/>
                      <w:color w:val="auto"/>
                      <w:szCs w:val="21"/>
                    </w:rPr>
                  </w:pPr>
                  <w:r>
                    <w:rPr>
                      <w:rFonts w:hint="eastAsia"/>
                      <w:b/>
                      <w:bCs/>
                      <w:color w:val="auto"/>
                      <w:szCs w:val="21"/>
                    </w:rPr>
                    <w:t>排放口类型</w:t>
                  </w:r>
                </w:p>
              </w:tc>
            </w:tr>
            <w:tr w14:paraId="43A7B0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2" w:type="pct"/>
                  <w:vMerge w:val="continue"/>
                  <w:vAlign w:val="center"/>
                </w:tcPr>
                <w:p w14:paraId="6C46995D">
                  <w:pPr>
                    <w:tabs>
                      <w:tab w:val="left" w:pos="6840"/>
                    </w:tabs>
                    <w:spacing w:line="270" w:lineRule="exact"/>
                    <w:jc w:val="center"/>
                    <w:rPr>
                      <w:b/>
                      <w:bCs/>
                      <w:color w:val="auto"/>
                      <w:szCs w:val="21"/>
                    </w:rPr>
                  </w:pPr>
                </w:p>
              </w:tc>
              <w:tc>
                <w:tcPr>
                  <w:tcW w:w="439" w:type="pct"/>
                  <w:vMerge w:val="continue"/>
                  <w:vAlign w:val="center"/>
                </w:tcPr>
                <w:p w14:paraId="7FF90C58">
                  <w:pPr>
                    <w:tabs>
                      <w:tab w:val="left" w:pos="6840"/>
                    </w:tabs>
                    <w:spacing w:line="270" w:lineRule="exact"/>
                    <w:jc w:val="center"/>
                    <w:rPr>
                      <w:b/>
                      <w:bCs/>
                      <w:color w:val="auto"/>
                      <w:szCs w:val="21"/>
                    </w:rPr>
                  </w:pPr>
                </w:p>
              </w:tc>
              <w:tc>
                <w:tcPr>
                  <w:tcW w:w="637" w:type="pct"/>
                  <w:vAlign w:val="center"/>
                </w:tcPr>
                <w:p w14:paraId="6175FE74">
                  <w:pPr>
                    <w:tabs>
                      <w:tab w:val="left" w:pos="6840"/>
                    </w:tabs>
                    <w:spacing w:line="270" w:lineRule="exact"/>
                    <w:jc w:val="center"/>
                    <w:rPr>
                      <w:b/>
                      <w:bCs/>
                      <w:color w:val="auto"/>
                      <w:szCs w:val="21"/>
                    </w:rPr>
                  </w:pPr>
                  <w:r>
                    <w:rPr>
                      <w:b/>
                      <w:bCs/>
                      <w:color w:val="auto"/>
                      <w:szCs w:val="21"/>
                    </w:rPr>
                    <w:t>经度</w:t>
                  </w:r>
                </w:p>
              </w:tc>
              <w:tc>
                <w:tcPr>
                  <w:tcW w:w="1054" w:type="pct"/>
                  <w:vAlign w:val="center"/>
                </w:tcPr>
                <w:p w14:paraId="3FC27357">
                  <w:pPr>
                    <w:tabs>
                      <w:tab w:val="left" w:pos="6840"/>
                    </w:tabs>
                    <w:spacing w:line="270" w:lineRule="exact"/>
                    <w:jc w:val="center"/>
                    <w:rPr>
                      <w:b/>
                      <w:bCs/>
                      <w:color w:val="auto"/>
                      <w:szCs w:val="21"/>
                    </w:rPr>
                  </w:pPr>
                  <w:r>
                    <w:rPr>
                      <w:b/>
                      <w:bCs/>
                      <w:color w:val="auto"/>
                      <w:szCs w:val="21"/>
                    </w:rPr>
                    <w:t>纬度</w:t>
                  </w:r>
                </w:p>
              </w:tc>
              <w:tc>
                <w:tcPr>
                  <w:tcW w:w="287" w:type="pct"/>
                  <w:vMerge w:val="continue"/>
                  <w:vAlign w:val="center"/>
                </w:tcPr>
                <w:p w14:paraId="7A2B105D">
                  <w:pPr>
                    <w:tabs>
                      <w:tab w:val="left" w:pos="6840"/>
                    </w:tabs>
                    <w:spacing w:line="270" w:lineRule="exact"/>
                    <w:jc w:val="center"/>
                    <w:rPr>
                      <w:b/>
                      <w:bCs/>
                      <w:color w:val="auto"/>
                      <w:szCs w:val="21"/>
                    </w:rPr>
                  </w:pPr>
                </w:p>
              </w:tc>
              <w:tc>
                <w:tcPr>
                  <w:tcW w:w="527" w:type="pct"/>
                  <w:vMerge w:val="continue"/>
                  <w:vAlign w:val="center"/>
                </w:tcPr>
                <w:p w14:paraId="44E36374">
                  <w:pPr>
                    <w:tabs>
                      <w:tab w:val="left" w:pos="6840"/>
                    </w:tabs>
                    <w:spacing w:line="270" w:lineRule="exact"/>
                    <w:jc w:val="center"/>
                    <w:rPr>
                      <w:b/>
                      <w:bCs/>
                      <w:color w:val="auto"/>
                      <w:szCs w:val="21"/>
                    </w:rPr>
                  </w:pPr>
                </w:p>
              </w:tc>
              <w:tc>
                <w:tcPr>
                  <w:tcW w:w="278" w:type="pct"/>
                  <w:vMerge w:val="continue"/>
                  <w:vAlign w:val="center"/>
                </w:tcPr>
                <w:p w14:paraId="25148547">
                  <w:pPr>
                    <w:tabs>
                      <w:tab w:val="left" w:pos="6840"/>
                    </w:tabs>
                    <w:spacing w:line="270" w:lineRule="exact"/>
                    <w:jc w:val="center"/>
                    <w:rPr>
                      <w:b/>
                      <w:bCs/>
                      <w:color w:val="auto"/>
                      <w:szCs w:val="21"/>
                    </w:rPr>
                  </w:pPr>
                </w:p>
              </w:tc>
              <w:tc>
                <w:tcPr>
                  <w:tcW w:w="304" w:type="pct"/>
                  <w:vAlign w:val="center"/>
                </w:tcPr>
                <w:p w14:paraId="11522CA3">
                  <w:pPr>
                    <w:tabs>
                      <w:tab w:val="left" w:pos="6840"/>
                    </w:tabs>
                    <w:spacing w:line="270" w:lineRule="exact"/>
                    <w:jc w:val="center"/>
                    <w:rPr>
                      <w:b/>
                      <w:bCs/>
                      <w:color w:val="auto"/>
                      <w:szCs w:val="21"/>
                    </w:rPr>
                  </w:pPr>
                  <w:r>
                    <w:rPr>
                      <w:b/>
                      <w:bCs/>
                      <w:color w:val="auto"/>
                      <w:szCs w:val="21"/>
                    </w:rPr>
                    <w:t>名称</w:t>
                  </w:r>
                </w:p>
              </w:tc>
              <w:tc>
                <w:tcPr>
                  <w:tcW w:w="417" w:type="pct"/>
                  <w:vAlign w:val="center"/>
                </w:tcPr>
                <w:p w14:paraId="7D470A1A">
                  <w:pPr>
                    <w:tabs>
                      <w:tab w:val="left" w:pos="6840"/>
                    </w:tabs>
                    <w:spacing w:line="270" w:lineRule="exact"/>
                    <w:jc w:val="center"/>
                    <w:rPr>
                      <w:b/>
                      <w:bCs/>
                      <w:color w:val="auto"/>
                      <w:szCs w:val="21"/>
                    </w:rPr>
                  </w:pPr>
                  <w:r>
                    <w:rPr>
                      <w:b/>
                      <w:bCs/>
                      <w:color w:val="auto"/>
                      <w:szCs w:val="21"/>
                    </w:rPr>
                    <w:t>污染物</w:t>
                  </w:r>
                </w:p>
                <w:p w14:paraId="1FE1E62D">
                  <w:pPr>
                    <w:tabs>
                      <w:tab w:val="left" w:pos="6840"/>
                    </w:tabs>
                    <w:spacing w:line="270" w:lineRule="exact"/>
                    <w:jc w:val="center"/>
                    <w:rPr>
                      <w:b/>
                      <w:bCs/>
                      <w:color w:val="auto"/>
                      <w:szCs w:val="21"/>
                    </w:rPr>
                  </w:pPr>
                  <w:r>
                    <w:rPr>
                      <w:b/>
                      <w:bCs/>
                      <w:color w:val="auto"/>
                      <w:szCs w:val="21"/>
                    </w:rPr>
                    <w:t>种类</w:t>
                  </w:r>
                </w:p>
              </w:tc>
              <w:tc>
                <w:tcPr>
                  <w:tcW w:w="629" w:type="pct"/>
                  <w:vAlign w:val="center"/>
                </w:tcPr>
                <w:p w14:paraId="183AEC8F">
                  <w:pPr>
                    <w:jc w:val="center"/>
                    <w:rPr>
                      <w:b/>
                      <w:bCs/>
                      <w:color w:val="auto"/>
                      <w:kern w:val="0"/>
                      <w:szCs w:val="21"/>
                    </w:rPr>
                  </w:pPr>
                  <w:r>
                    <w:rPr>
                      <w:b/>
                      <w:bCs/>
                      <w:color w:val="auto"/>
                      <w:kern w:val="0"/>
                      <w:szCs w:val="21"/>
                    </w:rPr>
                    <w:t>国家或地方污染物排放</w:t>
                  </w:r>
                  <w:r>
                    <w:rPr>
                      <w:rFonts w:hint="eastAsia"/>
                      <w:b/>
                      <w:bCs/>
                      <w:color w:val="auto"/>
                      <w:kern w:val="0"/>
                      <w:szCs w:val="21"/>
                      <w:lang w:eastAsia="zh-CN"/>
                    </w:rPr>
                    <w:t>标准</w:t>
                  </w:r>
                  <w:r>
                    <w:rPr>
                      <w:b/>
                      <w:bCs/>
                      <w:color w:val="auto"/>
                      <w:kern w:val="0"/>
                      <w:szCs w:val="21"/>
                    </w:rPr>
                    <w:t>浓度限值</w:t>
                  </w:r>
                </w:p>
                <w:p w14:paraId="0064F562">
                  <w:pPr>
                    <w:jc w:val="center"/>
                    <w:rPr>
                      <w:b/>
                      <w:bCs/>
                      <w:color w:val="auto"/>
                      <w:kern w:val="0"/>
                      <w:szCs w:val="21"/>
                    </w:rPr>
                  </w:pPr>
                  <w:r>
                    <w:rPr>
                      <w:b/>
                      <w:bCs/>
                      <w:color w:val="auto"/>
                      <w:kern w:val="0"/>
                      <w:szCs w:val="21"/>
                    </w:rPr>
                    <w:t>（mg/L）</w:t>
                  </w:r>
                </w:p>
              </w:tc>
              <w:tc>
                <w:tcPr>
                  <w:tcW w:w="260" w:type="pct"/>
                  <w:vMerge w:val="continue"/>
                  <w:vAlign w:val="center"/>
                </w:tcPr>
                <w:p w14:paraId="0AEE448F">
                  <w:pPr>
                    <w:tabs>
                      <w:tab w:val="left" w:pos="6840"/>
                    </w:tabs>
                    <w:spacing w:line="270" w:lineRule="exact"/>
                    <w:jc w:val="center"/>
                    <w:rPr>
                      <w:b/>
                      <w:bCs/>
                      <w:color w:val="auto"/>
                      <w:szCs w:val="21"/>
                    </w:rPr>
                  </w:pPr>
                </w:p>
              </w:tc>
            </w:tr>
            <w:tr w14:paraId="05AE64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2" w:type="pct"/>
                  <w:vMerge w:val="restart"/>
                  <w:vAlign w:val="center"/>
                </w:tcPr>
                <w:p w14:paraId="6A14A1A2">
                  <w:pPr>
                    <w:tabs>
                      <w:tab w:val="left" w:pos="6840"/>
                    </w:tabs>
                    <w:spacing w:line="270" w:lineRule="exact"/>
                    <w:jc w:val="center"/>
                    <w:rPr>
                      <w:color w:val="auto"/>
                      <w:szCs w:val="21"/>
                    </w:rPr>
                  </w:pPr>
                  <w:r>
                    <w:rPr>
                      <w:color w:val="auto"/>
                      <w:szCs w:val="21"/>
                    </w:rPr>
                    <w:t>1</w:t>
                  </w:r>
                </w:p>
              </w:tc>
              <w:tc>
                <w:tcPr>
                  <w:tcW w:w="439" w:type="pct"/>
                  <w:vMerge w:val="restart"/>
                  <w:vAlign w:val="center"/>
                </w:tcPr>
                <w:p w14:paraId="2EA68794">
                  <w:pPr>
                    <w:tabs>
                      <w:tab w:val="left" w:pos="6840"/>
                    </w:tabs>
                    <w:spacing w:line="270" w:lineRule="exact"/>
                    <w:jc w:val="center"/>
                    <w:rPr>
                      <w:color w:val="auto"/>
                      <w:szCs w:val="21"/>
                    </w:rPr>
                  </w:pPr>
                  <w:r>
                    <w:rPr>
                      <w:color w:val="auto"/>
                      <w:szCs w:val="21"/>
                    </w:rPr>
                    <w:t>DW001</w:t>
                  </w:r>
                </w:p>
              </w:tc>
              <w:tc>
                <w:tcPr>
                  <w:tcW w:w="637" w:type="pct"/>
                  <w:vMerge w:val="restart"/>
                  <w:vAlign w:val="center"/>
                </w:tcPr>
                <w:p w14:paraId="0E67A2FB">
                  <w:pPr>
                    <w:tabs>
                      <w:tab w:val="left" w:pos="6840"/>
                    </w:tabs>
                    <w:spacing w:line="270" w:lineRule="exact"/>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119.560562</w:t>
                  </w:r>
                </w:p>
              </w:tc>
              <w:tc>
                <w:tcPr>
                  <w:tcW w:w="1054" w:type="pct"/>
                  <w:vMerge w:val="restart"/>
                  <w:vAlign w:val="center"/>
                </w:tcPr>
                <w:p w14:paraId="0563EFCC">
                  <w:pPr>
                    <w:tabs>
                      <w:tab w:val="left" w:pos="6840"/>
                    </w:tabs>
                    <w:spacing w:line="270" w:lineRule="exact"/>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31.762331</w:t>
                  </w:r>
                </w:p>
              </w:tc>
              <w:tc>
                <w:tcPr>
                  <w:tcW w:w="287" w:type="pct"/>
                  <w:vMerge w:val="restart"/>
                  <w:vAlign w:val="center"/>
                </w:tcPr>
                <w:p w14:paraId="4E2CFF8C">
                  <w:pPr>
                    <w:tabs>
                      <w:tab w:val="left" w:pos="6840"/>
                    </w:tabs>
                    <w:spacing w:line="270" w:lineRule="exact"/>
                    <w:jc w:val="center"/>
                    <w:rPr>
                      <w:color w:val="auto"/>
                      <w:szCs w:val="21"/>
                    </w:rPr>
                  </w:pPr>
                  <w:r>
                    <w:rPr>
                      <w:color w:val="auto"/>
                      <w:szCs w:val="21"/>
                    </w:rPr>
                    <w:t>进入城市污水处理厂</w:t>
                  </w:r>
                </w:p>
              </w:tc>
              <w:tc>
                <w:tcPr>
                  <w:tcW w:w="527" w:type="pct"/>
                  <w:vMerge w:val="restart"/>
                  <w:vAlign w:val="center"/>
                </w:tcPr>
                <w:p w14:paraId="36B8B4E5">
                  <w:pPr>
                    <w:tabs>
                      <w:tab w:val="left" w:pos="6840"/>
                    </w:tabs>
                    <w:spacing w:line="270" w:lineRule="exact"/>
                    <w:jc w:val="center"/>
                    <w:rPr>
                      <w:color w:val="auto"/>
                      <w:szCs w:val="21"/>
                    </w:rPr>
                  </w:pPr>
                  <w:r>
                    <w:rPr>
                      <w:color w:val="auto"/>
                      <w:szCs w:val="21"/>
                    </w:rPr>
                    <w:t>间断排放，排放期间流量不稳定且无规律，但不属于冲击型排放</w:t>
                  </w:r>
                </w:p>
              </w:tc>
              <w:tc>
                <w:tcPr>
                  <w:tcW w:w="278" w:type="pct"/>
                  <w:vMerge w:val="restart"/>
                  <w:vAlign w:val="center"/>
                </w:tcPr>
                <w:p w14:paraId="26AF3572">
                  <w:pPr>
                    <w:tabs>
                      <w:tab w:val="left" w:pos="6840"/>
                    </w:tabs>
                    <w:spacing w:line="270" w:lineRule="exact"/>
                    <w:jc w:val="center"/>
                    <w:rPr>
                      <w:color w:val="auto"/>
                      <w:szCs w:val="21"/>
                    </w:rPr>
                  </w:pPr>
                  <w:r>
                    <w:rPr>
                      <w:color w:val="auto"/>
                      <w:szCs w:val="21"/>
                    </w:rPr>
                    <w:t>/</w:t>
                  </w:r>
                </w:p>
              </w:tc>
              <w:tc>
                <w:tcPr>
                  <w:tcW w:w="304" w:type="pct"/>
                  <w:vMerge w:val="restart"/>
                  <w:vAlign w:val="center"/>
                </w:tcPr>
                <w:p w14:paraId="6B6D23B0">
                  <w:pPr>
                    <w:tabs>
                      <w:tab w:val="left" w:pos="6840"/>
                    </w:tabs>
                    <w:spacing w:line="270" w:lineRule="exact"/>
                    <w:jc w:val="center"/>
                    <w:rPr>
                      <w:rFonts w:hint="eastAsia" w:eastAsia="宋体"/>
                      <w:color w:val="auto"/>
                      <w:szCs w:val="21"/>
                      <w:lang w:eastAsia="zh-CN"/>
                    </w:rPr>
                  </w:pPr>
                  <w:r>
                    <w:rPr>
                      <w:rFonts w:hint="eastAsia"/>
                      <w:color w:val="auto"/>
                      <w:szCs w:val="21"/>
                    </w:rPr>
                    <w:t>金坛</w:t>
                  </w:r>
                  <w:r>
                    <w:rPr>
                      <w:rFonts w:hint="eastAsia"/>
                      <w:color w:val="auto"/>
                      <w:szCs w:val="21"/>
                      <w:lang w:eastAsia="zh-CN"/>
                    </w:rPr>
                    <w:t>第二污水处理有限公司</w:t>
                  </w:r>
                </w:p>
              </w:tc>
              <w:tc>
                <w:tcPr>
                  <w:tcW w:w="417" w:type="pct"/>
                  <w:vAlign w:val="center"/>
                </w:tcPr>
                <w:p w14:paraId="7F3507C6">
                  <w:pPr>
                    <w:tabs>
                      <w:tab w:val="left" w:pos="6840"/>
                    </w:tabs>
                    <w:spacing w:line="270" w:lineRule="exact"/>
                    <w:jc w:val="center"/>
                    <w:rPr>
                      <w:color w:val="auto"/>
                      <w:szCs w:val="21"/>
                    </w:rPr>
                  </w:pPr>
                  <w:r>
                    <w:rPr>
                      <w:color w:val="auto"/>
                      <w:szCs w:val="21"/>
                    </w:rPr>
                    <w:t>pH</w:t>
                  </w:r>
                </w:p>
              </w:tc>
              <w:tc>
                <w:tcPr>
                  <w:tcW w:w="629" w:type="pct"/>
                  <w:vAlign w:val="center"/>
                </w:tcPr>
                <w:p w14:paraId="48F6288D">
                  <w:pPr>
                    <w:tabs>
                      <w:tab w:val="left" w:pos="6840"/>
                    </w:tabs>
                    <w:spacing w:line="270" w:lineRule="exact"/>
                    <w:jc w:val="center"/>
                    <w:rPr>
                      <w:color w:val="auto"/>
                      <w:szCs w:val="21"/>
                    </w:rPr>
                  </w:pPr>
                  <w:r>
                    <w:rPr>
                      <w:color w:val="auto"/>
                      <w:szCs w:val="21"/>
                    </w:rPr>
                    <w:t>6~9</w:t>
                  </w:r>
                </w:p>
              </w:tc>
              <w:tc>
                <w:tcPr>
                  <w:tcW w:w="260" w:type="pct"/>
                  <w:vMerge w:val="restart"/>
                  <w:vAlign w:val="center"/>
                </w:tcPr>
                <w:p w14:paraId="55E28449">
                  <w:pPr>
                    <w:tabs>
                      <w:tab w:val="left" w:pos="6840"/>
                    </w:tabs>
                    <w:spacing w:line="270" w:lineRule="exact"/>
                    <w:jc w:val="center"/>
                    <w:rPr>
                      <w:color w:val="auto"/>
                      <w:szCs w:val="21"/>
                    </w:rPr>
                  </w:pPr>
                  <w:r>
                    <w:rPr>
                      <w:rFonts w:hint="eastAsia"/>
                      <w:color w:val="auto"/>
                      <w:szCs w:val="21"/>
                    </w:rPr>
                    <w:t>生活污水排放口-一般排放口</w:t>
                  </w:r>
                </w:p>
              </w:tc>
            </w:tr>
            <w:tr w14:paraId="5FCEC2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2" w:type="pct"/>
                  <w:vMerge w:val="continue"/>
                  <w:vAlign w:val="center"/>
                </w:tcPr>
                <w:p w14:paraId="3CCEAE96">
                  <w:pPr>
                    <w:tabs>
                      <w:tab w:val="left" w:pos="6840"/>
                    </w:tabs>
                    <w:spacing w:line="270" w:lineRule="exact"/>
                    <w:jc w:val="center"/>
                    <w:rPr>
                      <w:color w:val="auto"/>
                      <w:szCs w:val="21"/>
                    </w:rPr>
                  </w:pPr>
                </w:p>
              </w:tc>
              <w:tc>
                <w:tcPr>
                  <w:tcW w:w="439" w:type="pct"/>
                  <w:vMerge w:val="continue"/>
                  <w:vAlign w:val="center"/>
                </w:tcPr>
                <w:p w14:paraId="0A0F5385">
                  <w:pPr>
                    <w:tabs>
                      <w:tab w:val="left" w:pos="6840"/>
                    </w:tabs>
                    <w:spacing w:line="270" w:lineRule="exact"/>
                    <w:jc w:val="center"/>
                    <w:rPr>
                      <w:color w:val="auto"/>
                      <w:szCs w:val="21"/>
                    </w:rPr>
                  </w:pPr>
                </w:p>
              </w:tc>
              <w:tc>
                <w:tcPr>
                  <w:tcW w:w="637" w:type="pct"/>
                  <w:vMerge w:val="continue"/>
                  <w:vAlign w:val="center"/>
                </w:tcPr>
                <w:p w14:paraId="7B994F3F">
                  <w:pPr>
                    <w:tabs>
                      <w:tab w:val="left" w:pos="6840"/>
                    </w:tabs>
                    <w:spacing w:line="270" w:lineRule="exact"/>
                    <w:jc w:val="center"/>
                    <w:rPr>
                      <w:color w:val="auto"/>
                      <w:szCs w:val="21"/>
                    </w:rPr>
                  </w:pPr>
                </w:p>
              </w:tc>
              <w:tc>
                <w:tcPr>
                  <w:tcW w:w="1054" w:type="pct"/>
                  <w:vMerge w:val="continue"/>
                  <w:vAlign w:val="center"/>
                </w:tcPr>
                <w:p w14:paraId="442C0AAD">
                  <w:pPr>
                    <w:tabs>
                      <w:tab w:val="left" w:pos="6840"/>
                    </w:tabs>
                    <w:spacing w:line="270" w:lineRule="exact"/>
                    <w:jc w:val="center"/>
                    <w:rPr>
                      <w:color w:val="auto"/>
                      <w:szCs w:val="21"/>
                    </w:rPr>
                  </w:pPr>
                </w:p>
              </w:tc>
              <w:tc>
                <w:tcPr>
                  <w:tcW w:w="287" w:type="pct"/>
                  <w:vMerge w:val="continue"/>
                  <w:vAlign w:val="center"/>
                </w:tcPr>
                <w:p w14:paraId="5F36F95D">
                  <w:pPr>
                    <w:tabs>
                      <w:tab w:val="left" w:pos="6840"/>
                    </w:tabs>
                    <w:spacing w:line="270" w:lineRule="exact"/>
                    <w:jc w:val="center"/>
                    <w:rPr>
                      <w:color w:val="auto"/>
                      <w:szCs w:val="21"/>
                    </w:rPr>
                  </w:pPr>
                </w:p>
              </w:tc>
              <w:tc>
                <w:tcPr>
                  <w:tcW w:w="527" w:type="pct"/>
                  <w:vMerge w:val="continue"/>
                  <w:vAlign w:val="center"/>
                </w:tcPr>
                <w:p w14:paraId="2BBCE6AC">
                  <w:pPr>
                    <w:tabs>
                      <w:tab w:val="left" w:pos="6840"/>
                    </w:tabs>
                    <w:spacing w:line="270" w:lineRule="exact"/>
                    <w:jc w:val="center"/>
                    <w:rPr>
                      <w:color w:val="auto"/>
                      <w:szCs w:val="21"/>
                    </w:rPr>
                  </w:pPr>
                </w:p>
              </w:tc>
              <w:tc>
                <w:tcPr>
                  <w:tcW w:w="278" w:type="pct"/>
                  <w:vMerge w:val="continue"/>
                  <w:vAlign w:val="center"/>
                </w:tcPr>
                <w:p w14:paraId="06BB258C">
                  <w:pPr>
                    <w:tabs>
                      <w:tab w:val="left" w:pos="6840"/>
                    </w:tabs>
                    <w:spacing w:line="270" w:lineRule="exact"/>
                    <w:jc w:val="center"/>
                    <w:rPr>
                      <w:color w:val="auto"/>
                      <w:szCs w:val="21"/>
                    </w:rPr>
                  </w:pPr>
                </w:p>
              </w:tc>
              <w:tc>
                <w:tcPr>
                  <w:tcW w:w="304" w:type="pct"/>
                  <w:vMerge w:val="continue"/>
                  <w:vAlign w:val="center"/>
                </w:tcPr>
                <w:p w14:paraId="0767EDD7">
                  <w:pPr>
                    <w:tabs>
                      <w:tab w:val="left" w:pos="6840"/>
                    </w:tabs>
                    <w:spacing w:line="270" w:lineRule="exact"/>
                    <w:jc w:val="center"/>
                    <w:rPr>
                      <w:color w:val="auto"/>
                      <w:szCs w:val="21"/>
                    </w:rPr>
                  </w:pPr>
                </w:p>
              </w:tc>
              <w:tc>
                <w:tcPr>
                  <w:tcW w:w="417" w:type="pct"/>
                  <w:vAlign w:val="center"/>
                </w:tcPr>
                <w:p w14:paraId="11E382DF">
                  <w:pPr>
                    <w:tabs>
                      <w:tab w:val="left" w:pos="6840"/>
                    </w:tabs>
                    <w:spacing w:line="270" w:lineRule="exact"/>
                    <w:jc w:val="center"/>
                    <w:rPr>
                      <w:color w:val="auto"/>
                      <w:szCs w:val="21"/>
                    </w:rPr>
                  </w:pPr>
                  <w:r>
                    <w:rPr>
                      <w:color w:val="auto"/>
                      <w:szCs w:val="21"/>
                    </w:rPr>
                    <w:t>COD</w:t>
                  </w:r>
                </w:p>
              </w:tc>
              <w:tc>
                <w:tcPr>
                  <w:tcW w:w="629" w:type="pct"/>
                  <w:vAlign w:val="center"/>
                </w:tcPr>
                <w:p w14:paraId="49DC0693">
                  <w:pPr>
                    <w:tabs>
                      <w:tab w:val="left" w:pos="6840"/>
                    </w:tabs>
                    <w:spacing w:line="270" w:lineRule="exact"/>
                    <w:jc w:val="center"/>
                    <w:rPr>
                      <w:color w:val="auto"/>
                      <w:szCs w:val="21"/>
                    </w:rPr>
                  </w:pPr>
                  <w:r>
                    <w:rPr>
                      <w:rFonts w:hint="eastAsia"/>
                      <w:color w:val="auto"/>
                      <w:szCs w:val="21"/>
                    </w:rPr>
                    <w:t>50</w:t>
                  </w:r>
                </w:p>
              </w:tc>
              <w:tc>
                <w:tcPr>
                  <w:tcW w:w="260" w:type="pct"/>
                  <w:vMerge w:val="continue"/>
                  <w:vAlign w:val="center"/>
                </w:tcPr>
                <w:p w14:paraId="13EBF81E">
                  <w:pPr>
                    <w:tabs>
                      <w:tab w:val="left" w:pos="6840"/>
                    </w:tabs>
                    <w:spacing w:line="270" w:lineRule="exact"/>
                    <w:jc w:val="center"/>
                    <w:rPr>
                      <w:color w:val="auto"/>
                      <w:szCs w:val="21"/>
                    </w:rPr>
                  </w:pPr>
                </w:p>
              </w:tc>
            </w:tr>
            <w:tr w14:paraId="342FD7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2" w:type="pct"/>
                  <w:vMerge w:val="continue"/>
                  <w:vAlign w:val="center"/>
                </w:tcPr>
                <w:p w14:paraId="15638D2B">
                  <w:pPr>
                    <w:tabs>
                      <w:tab w:val="left" w:pos="6840"/>
                    </w:tabs>
                    <w:spacing w:line="270" w:lineRule="exact"/>
                    <w:jc w:val="center"/>
                    <w:rPr>
                      <w:color w:val="auto"/>
                      <w:szCs w:val="21"/>
                    </w:rPr>
                  </w:pPr>
                </w:p>
              </w:tc>
              <w:tc>
                <w:tcPr>
                  <w:tcW w:w="439" w:type="pct"/>
                  <w:vMerge w:val="continue"/>
                  <w:vAlign w:val="center"/>
                </w:tcPr>
                <w:p w14:paraId="54BD9EB5">
                  <w:pPr>
                    <w:tabs>
                      <w:tab w:val="left" w:pos="6840"/>
                    </w:tabs>
                    <w:spacing w:line="270" w:lineRule="exact"/>
                    <w:jc w:val="center"/>
                    <w:rPr>
                      <w:color w:val="auto"/>
                      <w:szCs w:val="21"/>
                    </w:rPr>
                  </w:pPr>
                </w:p>
              </w:tc>
              <w:tc>
                <w:tcPr>
                  <w:tcW w:w="637" w:type="pct"/>
                  <w:vMerge w:val="continue"/>
                  <w:vAlign w:val="center"/>
                </w:tcPr>
                <w:p w14:paraId="24845263">
                  <w:pPr>
                    <w:tabs>
                      <w:tab w:val="left" w:pos="6840"/>
                    </w:tabs>
                    <w:spacing w:line="270" w:lineRule="exact"/>
                    <w:jc w:val="center"/>
                    <w:rPr>
                      <w:color w:val="auto"/>
                      <w:szCs w:val="21"/>
                    </w:rPr>
                  </w:pPr>
                </w:p>
              </w:tc>
              <w:tc>
                <w:tcPr>
                  <w:tcW w:w="1054" w:type="pct"/>
                  <w:vMerge w:val="continue"/>
                  <w:vAlign w:val="center"/>
                </w:tcPr>
                <w:p w14:paraId="65844313">
                  <w:pPr>
                    <w:tabs>
                      <w:tab w:val="left" w:pos="6840"/>
                    </w:tabs>
                    <w:spacing w:line="270" w:lineRule="exact"/>
                    <w:jc w:val="center"/>
                    <w:rPr>
                      <w:color w:val="auto"/>
                      <w:szCs w:val="21"/>
                    </w:rPr>
                  </w:pPr>
                </w:p>
              </w:tc>
              <w:tc>
                <w:tcPr>
                  <w:tcW w:w="287" w:type="pct"/>
                  <w:vMerge w:val="continue"/>
                  <w:vAlign w:val="center"/>
                </w:tcPr>
                <w:p w14:paraId="68C19203">
                  <w:pPr>
                    <w:tabs>
                      <w:tab w:val="left" w:pos="6840"/>
                    </w:tabs>
                    <w:spacing w:line="270" w:lineRule="exact"/>
                    <w:jc w:val="center"/>
                    <w:rPr>
                      <w:color w:val="auto"/>
                      <w:szCs w:val="21"/>
                    </w:rPr>
                  </w:pPr>
                </w:p>
              </w:tc>
              <w:tc>
                <w:tcPr>
                  <w:tcW w:w="527" w:type="pct"/>
                  <w:vMerge w:val="continue"/>
                  <w:vAlign w:val="center"/>
                </w:tcPr>
                <w:p w14:paraId="0C4848B7">
                  <w:pPr>
                    <w:tabs>
                      <w:tab w:val="left" w:pos="6840"/>
                    </w:tabs>
                    <w:spacing w:line="270" w:lineRule="exact"/>
                    <w:jc w:val="center"/>
                    <w:rPr>
                      <w:color w:val="auto"/>
                      <w:szCs w:val="21"/>
                    </w:rPr>
                  </w:pPr>
                </w:p>
              </w:tc>
              <w:tc>
                <w:tcPr>
                  <w:tcW w:w="278" w:type="pct"/>
                  <w:vMerge w:val="continue"/>
                  <w:vAlign w:val="center"/>
                </w:tcPr>
                <w:p w14:paraId="5DD9E239">
                  <w:pPr>
                    <w:tabs>
                      <w:tab w:val="left" w:pos="6840"/>
                    </w:tabs>
                    <w:spacing w:line="270" w:lineRule="exact"/>
                    <w:jc w:val="center"/>
                    <w:rPr>
                      <w:color w:val="auto"/>
                      <w:szCs w:val="21"/>
                    </w:rPr>
                  </w:pPr>
                </w:p>
              </w:tc>
              <w:tc>
                <w:tcPr>
                  <w:tcW w:w="304" w:type="pct"/>
                  <w:vMerge w:val="continue"/>
                  <w:vAlign w:val="center"/>
                </w:tcPr>
                <w:p w14:paraId="222329D5">
                  <w:pPr>
                    <w:tabs>
                      <w:tab w:val="left" w:pos="6840"/>
                    </w:tabs>
                    <w:spacing w:line="270" w:lineRule="exact"/>
                    <w:jc w:val="center"/>
                    <w:rPr>
                      <w:color w:val="auto"/>
                      <w:szCs w:val="21"/>
                    </w:rPr>
                  </w:pPr>
                </w:p>
              </w:tc>
              <w:tc>
                <w:tcPr>
                  <w:tcW w:w="417" w:type="pct"/>
                  <w:vAlign w:val="center"/>
                </w:tcPr>
                <w:p w14:paraId="2B9A8D5A">
                  <w:pPr>
                    <w:tabs>
                      <w:tab w:val="left" w:pos="6840"/>
                    </w:tabs>
                    <w:spacing w:line="270" w:lineRule="exact"/>
                    <w:jc w:val="center"/>
                    <w:rPr>
                      <w:color w:val="auto"/>
                      <w:szCs w:val="21"/>
                    </w:rPr>
                  </w:pPr>
                  <w:r>
                    <w:rPr>
                      <w:color w:val="auto"/>
                      <w:szCs w:val="21"/>
                    </w:rPr>
                    <w:t>SS</w:t>
                  </w:r>
                </w:p>
              </w:tc>
              <w:tc>
                <w:tcPr>
                  <w:tcW w:w="629" w:type="pct"/>
                  <w:vAlign w:val="center"/>
                </w:tcPr>
                <w:p w14:paraId="0EA5D832">
                  <w:pPr>
                    <w:tabs>
                      <w:tab w:val="left" w:pos="6840"/>
                    </w:tabs>
                    <w:spacing w:line="270" w:lineRule="exact"/>
                    <w:jc w:val="center"/>
                    <w:rPr>
                      <w:color w:val="auto"/>
                      <w:szCs w:val="21"/>
                    </w:rPr>
                  </w:pPr>
                  <w:r>
                    <w:rPr>
                      <w:rFonts w:hint="eastAsia"/>
                      <w:color w:val="auto"/>
                      <w:szCs w:val="21"/>
                    </w:rPr>
                    <w:t>10</w:t>
                  </w:r>
                </w:p>
              </w:tc>
              <w:tc>
                <w:tcPr>
                  <w:tcW w:w="260" w:type="pct"/>
                  <w:vMerge w:val="continue"/>
                  <w:vAlign w:val="center"/>
                </w:tcPr>
                <w:p w14:paraId="76E215CC">
                  <w:pPr>
                    <w:tabs>
                      <w:tab w:val="left" w:pos="6840"/>
                    </w:tabs>
                    <w:spacing w:line="270" w:lineRule="exact"/>
                    <w:jc w:val="center"/>
                    <w:rPr>
                      <w:color w:val="auto"/>
                      <w:szCs w:val="21"/>
                    </w:rPr>
                  </w:pPr>
                </w:p>
              </w:tc>
            </w:tr>
            <w:tr w14:paraId="766EE3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2" w:type="pct"/>
                  <w:vMerge w:val="continue"/>
                  <w:vAlign w:val="center"/>
                </w:tcPr>
                <w:p w14:paraId="6D18B36F">
                  <w:pPr>
                    <w:tabs>
                      <w:tab w:val="left" w:pos="6840"/>
                    </w:tabs>
                    <w:spacing w:line="270" w:lineRule="exact"/>
                    <w:jc w:val="center"/>
                    <w:rPr>
                      <w:color w:val="auto"/>
                      <w:szCs w:val="21"/>
                    </w:rPr>
                  </w:pPr>
                </w:p>
              </w:tc>
              <w:tc>
                <w:tcPr>
                  <w:tcW w:w="439" w:type="pct"/>
                  <w:vMerge w:val="continue"/>
                  <w:vAlign w:val="center"/>
                </w:tcPr>
                <w:p w14:paraId="168CB88C">
                  <w:pPr>
                    <w:tabs>
                      <w:tab w:val="left" w:pos="6840"/>
                    </w:tabs>
                    <w:spacing w:line="270" w:lineRule="exact"/>
                    <w:jc w:val="center"/>
                    <w:rPr>
                      <w:color w:val="auto"/>
                      <w:szCs w:val="21"/>
                    </w:rPr>
                  </w:pPr>
                </w:p>
              </w:tc>
              <w:tc>
                <w:tcPr>
                  <w:tcW w:w="637" w:type="pct"/>
                  <w:vMerge w:val="continue"/>
                  <w:vAlign w:val="center"/>
                </w:tcPr>
                <w:p w14:paraId="406B1FCF">
                  <w:pPr>
                    <w:tabs>
                      <w:tab w:val="left" w:pos="6840"/>
                    </w:tabs>
                    <w:spacing w:line="270" w:lineRule="exact"/>
                    <w:jc w:val="center"/>
                    <w:rPr>
                      <w:color w:val="auto"/>
                      <w:szCs w:val="21"/>
                    </w:rPr>
                  </w:pPr>
                </w:p>
              </w:tc>
              <w:tc>
                <w:tcPr>
                  <w:tcW w:w="1054" w:type="pct"/>
                  <w:vMerge w:val="continue"/>
                  <w:vAlign w:val="center"/>
                </w:tcPr>
                <w:p w14:paraId="10900C58">
                  <w:pPr>
                    <w:tabs>
                      <w:tab w:val="left" w:pos="6840"/>
                    </w:tabs>
                    <w:spacing w:line="270" w:lineRule="exact"/>
                    <w:jc w:val="center"/>
                    <w:rPr>
                      <w:color w:val="auto"/>
                      <w:szCs w:val="21"/>
                    </w:rPr>
                  </w:pPr>
                </w:p>
              </w:tc>
              <w:tc>
                <w:tcPr>
                  <w:tcW w:w="287" w:type="pct"/>
                  <w:vMerge w:val="continue"/>
                  <w:vAlign w:val="center"/>
                </w:tcPr>
                <w:p w14:paraId="0C8C533D">
                  <w:pPr>
                    <w:tabs>
                      <w:tab w:val="left" w:pos="6840"/>
                    </w:tabs>
                    <w:spacing w:line="270" w:lineRule="exact"/>
                    <w:jc w:val="center"/>
                    <w:rPr>
                      <w:color w:val="auto"/>
                      <w:szCs w:val="21"/>
                    </w:rPr>
                  </w:pPr>
                </w:p>
              </w:tc>
              <w:tc>
                <w:tcPr>
                  <w:tcW w:w="527" w:type="pct"/>
                  <w:vMerge w:val="continue"/>
                  <w:vAlign w:val="center"/>
                </w:tcPr>
                <w:p w14:paraId="23AB16FD">
                  <w:pPr>
                    <w:tabs>
                      <w:tab w:val="left" w:pos="6840"/>
                    </w:tabs>
                    <w:spacing w:line="270" w:lineRule="exact"/>
                    <w:jc w:val="center"/>
                    <w:rPr>
                      <w:color w:val="auto"/>
                      <w:szCs w:val="21"/>
                    </w:rPr>
                  </w:pPr>
                </w:p>
              </w:tc>
              <w:tc>
                <w:tcPr>
                  <w:tcW w:w="278" w:type="pct"/>
                  <w:vMerge w:val="continue"/>
                  <w:vAlign w:val="center"/>
                </w:tcPr>
                <w:p w14:paraId="142D39BA">
                  <w:pPr>
                    <w:tabs>
                      <w:tab w:val="left" w:pos="6840"/>
                    </w:tabs>
                    <w:spacing w:line="270" w:lineRule="exact"/>
                    <w:jc w:val="center"/>
                    <w:rPr>
                      <w:color w:val="auto"/>
                      <w:szCs w:val="21"/>
                    </w:rPr>
                  </w:pPr>
                </w:p>
              </w:tc>
              <w:tc>
                <w:tcPr>
                  <w:tcW w:w="304" w:type="pct"/>
                  <w:vMerge w:val="continue"/>
                  <w:vAlign w:val="center"/>
                </w:tcPr>
                <w:p w14:paraId="5E2DE83E">
                  <w:pPr>
                    <w:tabs>
                      <w:tab w:val="left" w:pos="6840"/>
                    </w:tabs>
                    <w:spacing w:line="270" w:lineRule="exact"/>
                    <w:jc w:val="center"/>
                    <w:rPr>
                      <w:color w:val="auto"/>
                      <w:szCs w:val="21"/>
                    </w:rPr>
                  </w:pPr>
                </w:p>
              </w:tc>
              <w:tc>
                <w:tcPr>
                  <w:tcW w:w="417" w:type="pct"/>
                  <w:vAlign w:val="center"/>
                </w:tcPr>
                <w:p w14:paraId="418E85CE">
                  <w:pPr>
                    <w:tabs>
                      <w:tab w:val="left" w:pos="6840"/>
                    </w:tabs>
                    <w:spacing w:line="270" w:lineRule="exact"/>
                    <w:jc w:val="center"/>
                    <w:rPr>
                      <w:color w:val="auto"/>
                      <w:szCs w:val="21"/>
                    </w:rPr>
                  </w:pPr>
                  <w:r>
                    <w:rPr>
                      <w:color w:val="auto"/>
                      <w:szCs w:val="21"/>
                    </w:rPr>
                    <w:t>NH</w:t>
                  </w:r>
                  <w:r>
                    <w:rPr>
                      <w:color w:val="auto"/>
                      <w:szCs w:val="21"/>
                      <w:vertAlign w:val="subscript"/>
                    </w:rPr>
                    <w:t>3</w:t>
                  </w:r>
                  <w:r>
                    <w:rPr>
                      <w:color w:val="auto"/>
                      <w:szCs w:val="21"/>
                    </w:rPr>
                    <w:t>-N</w:t>
                  </w:r>
                </w:p>
              </w:tc>
              <w:tc>
                <w:tcPr>
                  <w:tcW w:w="629" w:type="pct"/>
                  <w:vAlign w:val="center"/>
                </w:tcPr>
                <w:p w14:paraId="68693CF2">
                  <w:pPr>
                    <w:tabs>
                      <w:tab w:val="left" w:pos="6840"/>
                    </w:tabs>
                    <w:spacing w:line="270" w:lineRule="exact"/>
                    <w:jc w:val="center"/>
                    <w:rPr>
                      <w:color w:val="auto"/>
                      <w:szCs w:val="21"/>
                    </w:rPr>
                  </w:pPr>
                  <w:r>
                    <w:rPr>
                      <w:rFonts w:hint="eastAsia"/>
                      <w:color w:val="auto"/>
                      <w:szCs w:val="21"/>
                    </w:rPr>
                    <w:t>4</w:t>
                  </w:r>
                </w:p>
              </w:tc>
              <w:tc>
                <w:tcPr>
                  <w:tcW w:w="260" w:type="pct"/>
                  <w:vMerge w:val="continue"/>
                  <w:vAlign w:val="center"/>
                </w:tcPr>
                <w:p w14:paraId="39ACEE69">
                  <w:pPr>
                    <w:tabs>
                      <w:tab w:val="left" w:pos="6840"/>
                    </w:tabs>
                    <w:spacing w:line="270" w:lineRule="exact"/>
                    <w:jc w:val="center"/>
                    <w:rPr>
                      <w:color w:val="auto"/>
                      <w:szCs w:val="21"/>
                    </w:rPr>
                  </w:pPr>
                </w:p>
              </w:tc>
            </w:tr>
            <w:tr w14:paraId="6DF02C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2" w:type="pct"/>
                  <w:vMerge w:val="continue"/>
                  <w:vAlign w:val="center"/>
                </w:tcPr>
                <w:p w14:paraId="233E4F40">
                  <w:pPr>
                    <w:tabs>
                      <w:tab w:val="left" w:pos="6840"/>
                    </w:tabs>
                    <w:spacing w:line="270" w:lineRule="exact"/>
                    <w:jc w:val="center"/>
                    <w:rPr>
                      <w:color w:val="auto"/>
                      <w:szCs w:val="21"/>
                    </w:rPr>
                  </w:pPr>
                </w:p>
              </w:tc>
              <w:tc>
                <w:tcPr>
                  <w:tcW w:w="439" w:type="pct"/>
                  <w:vMerge w:val="continue"/>
                  <w:vAlign w:val="center"/>
                </w:tcPr>
                <w:p w14:paraId="12D6A8EF">
                  <w:pPr>
                    <w:tabs>
                      <w:tab w:val="left" w:pos="6840"/>
                    </w:tabs>
                    <w:spacing w:line="270" w:lineRule="exact"/>
                    <w:jc w:val="center"/>
                    <w:rPr>
                      <w:color w:val="auto"/>
                      <w:szCs w:val="21"/>
                    </w:rPr>
                  </w:pPr>
                </w:p>
              </w:tc>
              <w:tc>
                <w:tcPr>
                  <w:tcW w:w="637" w:type="pct"/>
                  <w:vMerge w:val="continue"/>
                  <w:vAlign w:val="center"/>
                </w:tcPr>
                <w:p w14:paraId="74C3B003">
                  <w:pPr>
                    <w:tabs>
                      <w:tab w:val="left" w:pos="6840"/>
                    </w:tabs>
                    <w:spacing w:line="270" w:lineRule="exact"/>
                    <w:jc w:val="center"/>
                    <w:rPr>
                      <w:color w:val="auto"/>
                      <w:szCs w:val="21"/>
                    </w:rPr>
                  </w:pPr>
                </w:p>
              </w:tc>
              <w:tc>
                <w:tcPr>
                  <w:tcW w:w="1054" w:type="pct"/>
                  <w:vMerge w:val="continue"/>
                  <w:vAlign w:val="center"/>
                </w:tcPr>
                <w:p w14:paraId="69864743">
                  <w:pPr>
                    <w:tabs>
                      <w:tab w:val="left" w:pos="6840"/>
                    </w:tabs>
                    <w:spacing w:line="270" w:lineRule="exact"/>
                    <w:jc w:val="center"/>
                    <w:rPr>
                      <w:color w:val="auto"/>
                      <w:szCs w:val="21"/>
                    </w:rPr>
                  </w:pPr>
                </w:p>
              </w:tc>
              <w:tc>
                <w:tcPr>
                  <w:tcW w:w="287" w:type="pct"/>
                  <w:vMerge w:val="continue"/>
                  <w:vAlign w:val="center"/>
                </w:tcPr>
                <w:p w14:paraId="273FD6CA">
                  <w:pPr>
                    <w:tabs>
                      <w:tab w:val="left" w:pos="6840"/>
                    </w:tabs>
                    <w:spacing w:line="270" w:lineRule="exact"/>
                    <w:jc w:val="center"/>
                    <w:rPr>
                      <w:color w:val="auto"/>
                      <w:szCs w:val="21"/>
                    </w:rPr>
                  </w:pPr>
                </w:p>
              </w:tc>
              <w:tc>
                <w:tcPr>
                  <w:tcW w:w="527" w:type="pct"/>
                  <w:vMerge w:val="continue"/>
                  <w:vAlign w:val="center"/>
                </w:tcPr>
                <w:p w14:paraId="03663BAD">
                  <w:pPr>
                    <w:tabs>
                      <w:tab w:val="left" w:pos="6840"/>
                    </w:tabs>
                    <w:spacing w:line="270" w:lineRule="exact"/>
                    <w:jc w:val="center"/>
                    <w:rPr>
                      <w:color w:val="auto"/>
                      <w:szCs w:val="21"/>
                    </w:rPr>
                  </w:pPr>
                </w:p>
              </w:tc>
              <w:tc>
                <w:tcPr>
                  <w:tcW w:w="278" w:type="pct"/>
                  <w:vMerge w:val="continue"/>
                  <w:vAlign w:val="center"/>
                </w:tcPr>
                <w:p w14:paraId="7D0706EE">
                  <w:pPr>
                    <w:tabs>
                      <w:tab w:val="left" w:pos="6840"/>
                    </w:tabs>
                    <w:spacing w:line="270" w:lineRule="exact"/>
                    <w:jc w:val="center"/>
                    <w:rPr>
                      <w:color w:val="auto"/>
                      <w:szCs w:val="21"/>
                    </w:rPr>
                  </w:pPr>
                </w:p>
              </w:tc>
              <w:tc>
                <w:tcPr>
                  <w:tcW w:w="304" w:type="pct"/>
                  <w:vMerge w:val="continue"/>
                  <w:vAlign w:val="center"/>
                </w:tcPr>
                <w:p w14:paraId="4B50DE30">
                  <w:pPr>
                    <w:tabs>
                      <w:tab w:val="left" w:pos="6840"/>
                    </w:tabs>
                    <w:spacing w:line="270" w:lineRule="exact"/>
                    <w:jc w:val="center"/>
                    <w:rPr>
                      <w:color w:val="auto"/>
                      <w:szCs w:val="21"/>
                    </w:rPr>
                  </w:pPr>
                </w:p>
              </w:tc>
              <w:tc>
                <w:tcPr>
                  <w:tcW w:w="417" w:type="pct"/>
                  <w:vAlign w:val="center"/>
                </w:tcPr>
                <w:p w14:paraId="0C67708A">
                  <w:pPr>
                    <w:tabs>
                      <w:tab w:val="left" w:pos="6840"/>
                    </w:tabs>
                    <w:spacing w:line="270" w:lineRule="exact"/>
                    <w:jc w:val="center"/>
                    <w:rPr>
                      <w:color w:val="auto"/>
                      <w:szCs w:val="21"/>
                    </w:rPr>
                  </w:pPr>
                  <w:r>
                    <w:rPr>
                      <w:color w:val="auto"/>
                      <w:szCs w:val="21"/>
                    </w:rPr>
                    <w:t>TP</w:t>
                  </w:r>
                </w:p>
              </w:tc>
              <w:tc>
                <w:tcPr>
                  <w:tcW w:w="629" w:type="pct"/>
                  <w:vAlign w:val="center"/>
                </w:tcPr>
                <w:p w14:paraId="123FF23D">
                  <w:pPr>
                    <w:tabs>
                      <w:tab w:val="left" w:pos="6840"/>
                    </w:tabs>
                    <w:spacing w:line="270" w:lineRule="exact"/>
                    <w:jc w:val="center"/>
                    <w:rPr>
                      <w:color w:val="auto"/>
                      <w:szCs w:val="21"/>
                    </w:rPr>
                  </w:pPr>
                  <w:r>
                    <w:rPr>
                      <w:rFonts w:hint="eastAsia"/>
                      <w:color w:val="auto"/>
                      <w:szCs w:val="21"/>
                    </w:rPr>
                    <w:t>0.5</w:t>
                  </w:r>
                </w:p>
              </w:tc>
              <w:tc>
                <w:tcPr>
                  <w:tcW w:w="260" w:type="pct"/>
                  <w:vMerge w:val="continue"/>
                  <w:vAlign w:val="center"/>
                </w:tcPr>
                <w:p w14:paraId="74A3D2A4">
                  <w:pPr>
                    <w:tabs>
                      <w:tab w:val="left" w:pos="6840"/>
                    </w:tabs>
                    <w:spacing w:line="270" w:lineRule="exact"/>
                    <w:jc w:val="center"/>
                    <w:rPr>
                      <w:color w:val="auto"/>
                      <w:szCs w:val="21"/>
                    </w:rPr>
                  </w:pPr>
                </w:p>
              </w:tc>
            </w:tr>
            <w:tr w14:paraId="1C2403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2" w:type="pct"/>
                  <w:vMerge w:val="continue"/>
                  <w:vAlign w:val="center"/>
                </w:tcPr>
                <w:p w14:paraId="2A39C0C7">
                  <w:pPr>
                    <w:tabs>
                      <w:tab w:val="left" w:pos="6840"/>
                    </w:tabs>
                    <w:spacing w:line="270" w:lineRule="exact"/>
                    <w:jc w:val="center"/>
                    <w:rPr>
                      <w:color w:val="auto"/>
                      <w:szCs w:val="21"/>
                    </w:rPr>
                  </w:pPr>
                </w:p>
              </w:tc>
              <w:tc>
                <w:tcPr>
                  <w:tcW w:w="439" w:type="pct"/>
                  <w:vMerge w:val="continue"/>
                  <w:vAlign w:val="center"/>
                </w:tcPr>
                <w:p w14:paraId="1F3535A9">
                  <w:pPr>
                    <w:tabs>
                      <w:tab w:val="left" w:pos="6840"/>
                    </w:tabs>
                    <w:spacing w:line="270" w:lineRule="exact"/>
                    <w:jc w:val="center"/>
                    <w:rPr>
                      <w:color w:val="auto"/>
                      <w:szCs w:val="21"/>
                    </w:rPr>
                  </w:pPr>
                </w:p>
              </w:tc>
              <w:tc>
                <w:tcPr>
                  <w:tcW w:w="637" w:type="pct"/>
                  <w:vMerge w:val="continue"/>
                  <w:vAlign w:val="center"/>
                </w:tcPr>
                <w:p w14:paraId="73C89FFD">
                  <w:pPr>
                    <w:tabs>
                      <w:tab w:val="left" w:pos="6840"/>
                    </w:tabs>
                    <w:spacing w:line="270" w:lineRule="exact"/>
                    <w:jc w:val="center"/>
                    <w:rPr>
                      <w:color w:val="auto"/>
                      <w:szCs w:val="21"/>
                    </w:rPr>
                  </w:pPr>
                </w:p>
              </w:tc>
              <w:tc>
                <w:tcPr>
                  <w:tcW w:w="1054" w:type="pct"/>
                  <w:vMerge w:val="continue"/>
                  <w:vAlign w:val="center"/>
                </w:tcPr>
                <w:p w14:paraId="72860E6E">
                  <w:pPr>
                    <w:tabs>
                      <w:tab w:val="left" w:pos="6840"/>
                    </w:tabs>
                    <w:spacing w:line="270" w:lineRule="exact"/>
                    <w:jc w:val="center"/>
                    <w:rPr>
                      <w:color w:val="auto"/>
                      <w:szCs w:val="21"/>
                    </w:rPr>
                  </w:pPr>
                </w:p>
              </w:tc>
              <w:tc>
                <w:tcPr>
                  <w:tcW w:w="287" w:type="pct"/>
                  <w:vMerge w:val="continue"/>
                  <w:vAlign w:val="center"/>
                </w:tcPr>
                <w:p w14:paraId="1AB1AEC1">
                  <w:pPr>
                    <w:tabs>
                      <w:tab w:val="left" w:pos="6840"/>
                    </w:tabs>
                    <w:spacing w:line="270" w:lineRule="exact"/>
                    <w:jc w:val="center"/>
                    <w:rPr>
                      <w:color w:val="auto"/>
                      <w:szCs w:val="21"/>
                    </w:rPr>
                  </w:pPr>
                </w:p>
              </w:tc>
              <w:tc>
                <w:tcPr>
                  <w:tcW w:w="527" w:type="pct"/>
                  <w:vMerge w:val="continue"/>
                  <w:vAlign w:val="center"/>
                </w:tcPr>
                <w:p w14:paraId="546EF92C">
                  <w:pPr>
                    <w:tabs>
                      <w:tab w:val="left" w:pos="6840"/>
                    </w:tabs>
                    <w:spacing w:line="270" w:lineRule="exact"/>
                    <w:jc w:val="center"/>
                    <w:rPr>
                      <w:color w:val="auto"/>
                      <w:szCs w:val="21"/>
                    </w:rPr>
                  </w:pPr>
                </w:p>
              </w:tc>
              <w:tc>
                <w:tcPr>
                  <w:tcW w:w="278" w:type="pct"/>
                  <w:vMerge w:val="continue"/>
                  <w:vAlign w:val="center"/>
                </w:tcPr>
                <w:p w14:paraId="753F708F">
                  <w:pPr>
                    <w:tabs>
                      <w:tab w:val="left" w:pos="6840"/>
                    </w:tabs>
                    <w:spacing w:line="270" w:lineRule="exact"/>
                    <w:jc w:val="center"/>
                    <w:rPr>
                      <w:color w:val="auto"/>
                      <w:szCs w:val="21"/>
                    </w:rPr>
                  </w:pPr>
                </w:p>
              </w:tc>
              <w:tc>
                <w:tcPr>
                  <w:tcW w:w="304" w:type="pct"/>
                  <w:vMerge w:val="continue"/>
                  <w:vAlign w:val="center"/>
                </w:tcPr>
                <w:p w14:paraId="2D03300D">
                  <w:pPr>
                    <w:tabs>
                      <w:tab w:val="left" w:pos="6840"/>
                    </w:tabs>
                    <w:spacing w:line="270" w:lineRule="exact"/>
                    <w:jc w:val="center"/>
                    <w:rPr>
                      <w:color w:val="auto"/>
                      <w:szCs w:val="21"/>
                    </w:rPr>
                  </w:pPr>
                </w:p>
              </w:tc>
              <w:tc>
                <w:tcPr>
                  <w:tcW w:w="417" w:type="pct"/>
                  <w:vAlign w:val="center"/>
                </w:tcPr>
                <w:p w14:paraId="6C2ABD0C">
                  <w:pPr>
                    <w:tabs>
                      <w:tab w:val="left" w:pos="6840"/>
                    </w:tabs>
                    <w:spacing w:line="270" w:lineRule="exact"/>
                    <w:jc w:val="center"/>
                    <w:rPr>
                      <w:color w:val="auto"/>
                      <w:szCs w:val="21"/>
                    </w:rPr>
                  </w:pPr>
                  <w:r>
                    <w:rPr>
                      <w:color w:val="auto"/>
                      <w:szCs w:val="21"/>
                    </w:rPr>
                    <w:t>TN</w:t>
                  </w:r>
                </w:p>
              </w:tc>
              <w:tc>
                <w:tcPr>
                  <w:tcW w:w="629" w:type="pct"/>
                  <w:vAlign w:val="center"/>
                </w:tcPr>
                <w:p w14:paraId="4D457C9F">
                  <w:pPr>
                    <w:tabs>
                      <w:tab w:val="left" w:pos="6840"/>
                    </w:tabs>
                    <w:spacing w:line="270" w:lineRule="exact"/>
                    <w:jc w:val="center"/>
                    <w:rPr>
                      <w:color w:val="auto"/>
                      <w:szCs w:val="21"/>
                    </w:rPr>
                  </w:pPr>
                  <w:r>
                    <w:rPr>
                      <w:rFonts w:hint="eastAsia"/>
                      <w:color w:val="auto"/>
                      <w:szCs w:val="21"/>
                    </w:rPr>
                    <w:t>12</w:t>
                  </w:r>
                </w:p>
              </w:tc>
              <w:tc>
                <w:tcPr>
                  <w:tcW w:w="260" w:type="pct"/>
                  <w:vMerge w:val="continue"/>
                  <w:vAlign w:val="center"/>
                </w:tcPr>
                <w:p w14:paraId="66F49DB6">
                  <w:pPr>
                    <w:tabs>
                      <w:tab w:val="left" w:pos="6840"/>
                    </w:tabs>
                    <w:spacing w:line="270" w:lineRule="exact"/>
                    <w:jc w:val="center"/>
                    <w:rPr>
                      <w:color w:val="auto"/>
                      <w:szCs w:val="21"/>
                    </w:rPr>
                  </w:pPr>
                </w:p>
              </w:tc>
            </w:tr>
          </w:tbl>
          <w:p w14:paraId="21055137">
            <w:pPr>
              <w:spacing w:before="120" w:beforeLines="50"/>
              <w:ind w:firstLine="422" w:firstLineChars="200"/>
              <w:jc w:val="center"/>
              <w:rPr>
                <w:b/>
                <w:bCs/>
                <w:color w:val="auto"/>
                <w:kern w:val="0"/>
                <w:szCs w:val="21"/>
              </w:rPr>
            </w:pPr>
            <w:r>
              <w:rPr>
                <w:b/>
                <w:bCs/>
                <w:color w:val="auto"/>
                <w:kern w:val="0"/>
                <w:szCs w:val="21"/>
              </w:rPr>
              <w:t>表4-</w:t>
            </w:r>
            <w:r>
              <w:rPr>
                <w:rFonts w:hint="eastAsia"/>
                <w:b/>
                <w:bCs/>
                <w:color w:val="auto"/>
                <w:kern w:val="0"/>
                <w:szCs w:val="21"/>
              </w:rPr>
              <w:t>1</w:t>
            </w:r>
            <w:r>
              <w:rPr>
                <w:rFonts w:hint="eastAsia"/>
                <w:b/>
                <w:bCs/>
                <w:color w:val="auto"/>
                <w:kern w:val="0"/>
                <w:szCs w:val="21"/>
                <w:lang w:val="en-US" w:eastAsia="zh-CN"/>
              </w:rPr>
              <w:t>2</w:t>
            </w:r>
            <w:r>
              <w:rPr>
                <w:b/>
                <w:bCs/>
                <w:color w:val="auto"/>
                <w:kern w:val="0"/>
                <w:szCs w:val="21"/>
              </w:rPr>
              <w:t>废水污染物排放执行标准表</w:t>
            </w:r>
          </w:p>
          <w:tbl>
            <w:tblPr>
              <w:tblStyle w:val="27"/>
              <w:tblW w:w="4998" w:type="pct"/>
              <w:tblInd w:w="5"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66"/>
              <w:gridCol w:w="842"/>
              <w:gridCol w:w="1251"/>
              <w:gridCol w:w="3373"/>
              <w:gridCol w:w="1382"/>
              <w:gridCol w:w="692"/>
            </w:tblGrid>
            <w:tr w14:paraId="5928AB7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restart"/>
                  <w:tcBorders>
                    <w:tl2br w:val="nil"/>
                    <w:tr2bl w:val="nil"/>
                  </w:tcBorders>
                  <w:vAlign w:val="center"/>
                </w:tcPr>
                <w:p w14:paraId="13F7E96E">
                  <w:pPr>
                    <w:jc w:val="center"/>
                    <w:rPr>
                      <w:b/>
                      <w:bCs/>
                      <w:color w:val="auto"/>
                      <w:kern w:val="0"/>
                      <w:szCs w:val="21"/>
                    </w:rPr>
                  </w:pPr>
                  <w:r>
                    <w:rPr>
                      <w:b/>
                      <w:bCs/>
                      <w:color w:val="auto"/>
                      <w:kern w:val="0"/>
                      <w:szCs w:val="21"/>
                    </w:rPr>
                    <w:t>序号</w:t>
                  </w:r>
                </w:p>
              </w:tc>
              <w:tc>
                <w:tcPr>
                  <w:tcW w:w="513" w:type="pct"/>
                  <w:vMerge w:val="restart"/>
                  <w:tcBorders>
                    <w:tl2br w:val="nil"/>
                    <w:tr2bl w:val="nil"/>
                  </w:tcBorders>
                  <w:vAlign w:val="center"/>
                </w:tcPr>
                <w:p w14:paraId="332C8574">
                  <w:pPr>
                    <w:jc w:val="center"/>
                    <w:rPr>
                      <w:b/>
                      <w:bCs/>
                      <w:color w:val="auto"/>
                      <w:kern w:val="0"/>
                      <w:szCs w:val="21"/>
                    </w:rPr>
                  </w:pPr>
                  <w:r>
                    <w:rPr>
                      <w:b/>
                      <w:bCs/>
                      <w:color w:val="auto"/>
                      <w:kern w:val="0"/>
                      <w:szCs w:val="21"/>
                    </w:rPr>
                    <w:t>排放口编号</w:t>
                  </w:r>
                </w:p>
              </w:tc>
              <w:tc>
                <w:tcPr>
                  <w:tcW w:w="762" w:type="pct"/>
                  <w:vMerge w:val="restart"/>
                  <w:tcBorders>
                    <w:tl2br w:val="nil"/>
                    <w:tr2bl w:val="nil"/>
                  </w:tcBorders>
                  <w:vAlign w:val="center"/>
                </w:tcPr>
                <w:p w14:paraId="33375306">
                  <w:pPr>
                    <w:jc w:val="center"/>
                    <w:rPr>
                      <w:b/>
                      <w:bCs/>
                      <w:color w:val="auto"/>
                      <w:kern w:val="0"/>
                      <w:szCs w:val="21"/>
                    </w:rPr>
                  </w:pPr>
                </w:p>
                <w:p w14:paraId="27742705">
                  <w:pPr>
                    <w:jc w:val="center"/>
                    <w:rPr>
                      <w:b/>
                      <w:bCs/>
                      <w:color w:val="auto"/>
                      <w:kern w:val="0"/>
                      <w:szCs w:val="21"/>
                    </w:rPr>
                  </w:pPr>
                  <w:r>
                    <w:rPr>
                      <w:b/>
                      <w:bCs/>
                      <w:color w:val="auto"/>
                      <w:kern w:val="0"/>
                      <w:szCs w:val="21"/>
                    </w:rPr>
                    <w:t>污染物种类</w:t>
                  </w:r>
                </w:p>
              </w:tc>
              <w:tc>
                <w:tcPr>
                  <w:tcW w:w="3318" w:type="pct"/>
                  <w:gridSpan w:val="3"/>
                  <w:tcBorders>
                    <w:tl2br w:val="nil"/>
                    <w:tr2bl w:val="nil"/>
                  </w:tcBorders>
                  <w:vAlign w:val="center"/>
                </w:tcPr>
                <w:p w14:paraId="621295D9">
                  <w:pPr>
                    <w:jc w:val="center"/>
                    <w:rPr>
                      <w:b/>
                      <w:bCs/>
                      <w:color w:val="auto"/>
                      <w:kern w:val="0"/>
                      <w:szCs w:val="21"/>
                    </w:rPr>
                  </w:pPr>
                  <w:r>
                    <w:rPr>
                      <w:b/>
                      <w:bCs/>
                      <w:color w:val="auto"/>
                      <w:kern w:val="0"/>
                      <w:szCs w:val="21"/>
                    </w:rPr>
                    <w:t>国家或地方排放标准及其他按规定商议的排放协议</w:t>
                  </w:r>
                </w:p>
              </w:tc>
            </w:tr>
            <w:tr w14:paraId="4E62CE8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76B72263">
                  <w:pPr>
                    <w:jc w:val="center"/>
                    <w:rPr>
                      <w:b/>
                      <w:bCs/>
                      <w:color w:val="auto"/>
                      <w:kern w:val="0"/>
                      <w:szCs w:val="21"/>
                    </w:rPr>
                  </w:pPr>
                </w:p>
              </w:tc>
              <w:tc>
                <w:tcPr>
                  <w:tcW w:w="513" w:type="pct"/>
                  <w:vMerge w:val="continue"/>
                  <w:tcBorders>
                    <w:tl2br w:val="nil"/>
                    <w:tr2bl w:val="nil"/>
                  </w:tcBorders>
                  <w:vAlign w:val="center"/>
                </w:tcPr>
                <w:p w14:paraId="24737C28">
                  <w:pPr>
                    <w:jc w:val="center"/>
                    <w:rPr>
                      <w:b/>
                      <w:bCs/>
                      <w:color w:val="auto"/>
                      <w:kern w:val="0"/>
                      <w:szCs w:val="21"/>
                    </w:rPr>
                  </w:pPr>
                </w:p>
              </w:tc>
              <w:tc>
                <w:tcPr>
                  <w:tcW w:w="762" w:type="pct"/>
                  <w:vMerge w:val="continue"/>
                  <w:tcBorders>
                    <w:tl2br w:val="nil"/>
                    <w:tr2bl w:val="nil"/>
                  </w:tcBorders>
                  <w:vAlign w:val="center"/>
                </w:tcPr>
                <w:p w14:paraId="2A1E76AB">
                  <w:pPr>
                    <w:jc w:val="center"/>
                    <w:rPr>
                      <w:b/>
                      <w:bCs/>
                      <w:color w:val="auto"/>
                      <w:kern w:val="0"/>
                      <w:szCs w:val="21"/>
                    </w:rPr>
                  </w:pPr>
                </w:p>
              </w:tc>
              <w:tc>
                <w:tcPr>
                  <w:tcW w:w="2055" w:type="pct"/>
                  <w:tcBorders>
                    <w:tl2br w:val="nil"/>
                    <w:tr2bl w:val="nil"/>
                  </w:tcBorders>
                  <w:vAlign w:val="center"/>
                </w:tcPr>
                <w:p w14:paraId="4549922F">
                  <w:pPr>
                    <w:jc w:val="center"/>
                    <w:rPr>
                      <w:b/>
                      <w:bCs/>
                      <w:color w:val="auto"/>
                      <w:kern w:val="0"/>
                      <w:szCs w:val="21"/>
                    </w:rPr>
                  </w:pPr>
                  <w:r>
                    <w:rPr>
                      <w:b/>
                      <w:bCs/>
                      <w:color w:val="auto"/>
                      <w:kern w:val="0"/>
                      <w:szCs w:val="21"/>
                    </w:rPr>
                    <w:t>名称</w:t>
                  </w:r>
                </w:p>
              </w:tc>
              <w:tc>
                <w:tcPr>
                  <w:tcW w:w="1263" w:type="pct"/>
                  <w:gridSpan w:val="2"/>
                  <w:tcBorders>
                    <w:tl2br w:val="nil"/>
                    <w:tr2bl w:val="nil"/>
                  </w:tcBorders>
                  <w:vAlign w:val="center"/>
                </w:tcPr>
                <w:p w14:paraId="1E0958A1">
                  <w:pPr>
                    <w:jc w:val="center"/>
                    <w:rPr>
                      <w:b/>
                      <w:bCs/>
                      <w:color w:val="auto"/>
                      <w:kern w:val="0"/>
                      <w:szCs w:val="21"/>
                    </w:rPr>
                  </w:pPr>
                  <w:r>
                    <w:rPr>
                      <w:b/>
                      <w:bCs/>
                      <w:color w:val="auto"/>
                      <w:kern w:val="0"/>
                      <w:szCs w:val="21"/>
                    </w:rPr>
                    <w:t>浓度限值（mg/L）</w:t>
                  </w:r>
                </w:p>
              </w:tc>
            </w:tr>
            <w:tr w14:paraId="4A550D8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restart"/>
                  <w:tcBorders>
                    <w:tl2br w:val="nil"/>
                    <w:tr2bl w:val="nil"/>
                  </w:tcBorders>
                  <w:vAlign w:val="center"/>
                </w:tcPr>
                <w:p w14:paraId="0DC1B98D">
                  <w:pPr>
                    <w:jc w:val="center"/>
                    <w:rPr>
                      <w:color w:val="auto"/>
                      <w:kern w:val="0"/>
                      <w:szCs w:val="21"/>
                    </w:rPr>
                  </w:pPr>
                  <w:r>
                    <w:rPr>
                      <w:color w:val="auto"/>
                      <w:kern w:val="0"/>
                      <w:szCs w:val="21"/>
                    </w:rPr>
                    <w:t>1</w:t>
                  </w:r>
                </w:p>
              </w:tc>
              <w:tc>
                <w:tcPr>
                  <w:tcW w:w="513" w:type="pct"/>
                  <w:vMerge w:val="restart"/>
                  <w:tcBorders>
                    <w:tl2br w:val="nil"/>
                    <w:tr2bl w:val="nil"/>
                  </w:tcBorders>
                  <w:vAlign w:val="center"/>
                </w:tcPr>
                <w:p w14:paraId="4A13C205">
                  <w:pPr>
                    <w:jc w:val="center"/>
                    <w:rPr>
                      <w:color w:val="auto"/>
                      <w:kern w:val="0"/>
                      <w:szCs w:val="21"/>
                    </w:rPr>
                  </w:pPr>
                  <w:r>
                    <w:rPr>
                      <w:color w:val="auto"/>
                      <w:kern w:val="0"/>
                      <w:szCs w:val="21"/>
                    </w:rPr>
                    <w:t>DW</w:t>
                  </w:r>
                  <w:r>
                    <w:rPr>
                      <w:rFonts w:hint="eastAsia"/>
                      <w:color w:val="auto"/>
                      <w:kern w:val="0"/>
                      <w:szCs w:val="21"/>
                    </w:rPr>
                    <w:t>0</w:t>
                  </w:r>
                  <w:r>
                    <w:rPr>
                      <w:color w:val="auto"/>
                      <w:kern w:val="0"/>
                      <w:szCs w:val="21"/>
                    </w:rPr>
                    <w:t>01</w:t>
                  </w:r>
                </w:p>
              </w:tc>
              <w:tc>
                <w:tcPr>
                  <w:tcW w:w="762" w:type="pct"/>
                  <w:vMerge w:val="restart"/>
                  <w:tcBorders>
                    <w:tl2br w:val="nil"/>
                    <w:tr2bl w:val="nil"/>
                  </w:tcBorders>
                  <w:vAlign w:val="center"/>
                </w:tcPr>
                <w:p w14:paraId="7D85241B">
                  <w:pPr>
                    <w:jc w:val="center"/>
                    <w:rPr>
                      <w:color w:val="auto"/>
                      <w:kern w:val="0"/>
                      <w:szCs w:val="21"/>
                    </w:rPr>
                  </w:pPr>
                  <w:r>
                    <w:rPr>
                      <w:rFonts w:hint="eastAsia"/>
                      <w:color w:val="auto"/>
                      <w:kern w:val="0"/>
                      <w:szCs w:val="21"/>
                    </w:rPr>
                    <w:t>pH、</w:t>
                  </w:r>
                  <w:r>
                    <w:rPr>
                      <w:color w:val="auto"/>
                      <w:kern w:val="0"/>
                      <w:szCs w:val="21"/>
                    </w:rPr>
                    <w:t>COD、SS、NH</w:t>
                  </w:r>
                  <w:r>
                    <w:rPr>
                      <w:color w:val="auto"/>
                      <w:kern w:val="0"/>
                      <w:szCs w:val="21"/>
                      <w:vertAlign w:val="subscript"/>
                    </w:rPr>
                    <w:t>3</w:t>
                  </w:r>
                  <w:r>
                    <w:rPr>
                      <w:color w:val="auto"/>
                      <w:kern w:val="0"/>
                      <w:szCs w:val="21"/>
                    </w:rPr>
                    <w:t>-N、TP、TN</w:t>
                  </w:r>
                </w:p>
              </w:tc>
              <w:tc>
                <w:tcPr>
                  <w:tcW w:w="2055" w:type="pct"/>
                  <w:vMerge w:val="restart"/>
                  <w:tcBorders>
                    <w:tl2br w:val="nil"/>
                    <w:tr2bl w:val="nil"/>
                  </w:tcBorders>
                  <w:vAlign w:val="center"/>
                </w:tcPr>
                <w:p w14:paraId="65FA8E3D">
                  <w:pPr>
                    <w:jc w:val="center"/>
                    <w:rPr>
                      <w:color w:val="auto"/>
                      <w:kern w:val="0"/>
                      <w:szCs w:val="21"/>
                    </w:rPr>
                  </w:pPr>
                  <w:r>
                    <w:rPr>
                      <w:color w:val="auto"/>
                      <w:kern w:val="0"/>
                      <w:szCs w:val="21"/>
                    </w:rPr>
                    <w:t>金坛</w:t>
                  </w:r>
                  <w:r>
                    <w:rPr>
                      <w:rFonts w:hint="eastAsia"/>
                      <w:color w:val="auto"/>
                      <w:kern w:val="0"/>
                      <w:szCs w:val="21"/>
                      <w:lang w:eastAsia="zh-CN"/>
                    </w:rPr>
                    <w:t>第二污水处理有限公司</w:t>
                  </w:r>
                  <w:r>
                    <w:rPr>
                      <w:color w:val="auto"/>
                      <w:kern w:val="0"/>
                      <w:szCs w:val="21"/>
                    </w:rPr>
                    <w:t>接管标准</w:t>
                  </w:r>
                </w:p>
              </w:tc>
              <w:tc>
                <w:tcPr>
                  <w:tcW w:w="842" w:type="pct"/>
                  <w:tcBorders>
                    <w:tl2br w:val="nil"/>
                    <w:tr2bl w:val="nil"/>
                  </w:tcBorders>
                  <w:vAlign w:val="center"/>
                </w:tcPr>
                <w:p w14:paraId="3054F328">
                  <w:pPr>
                    <w:jc w:val="center"/>
                    <w:rPr>
                      <w:color w:val="auto"/>
                      <w:kern w:val="0"/>
                      <w:szCs w:val="21"/>
                    </w:rPr>
                  </w:pPr>
                  <w:r>
                    <w:rPr>
                      <w:rFonts w:hint="eastAsia"/>
                      <w:color w:val="auto"/>
                      <w:kern w:val="0"/>
                      <w:szCs w:val="21"/>
                    </w:rPr>
                    <w:t>pH</w:t>
                  </w:r>
                </w:p>
              </w:tc>
              <w:tc>
                <w:tcPr>
                  <w:tcW w:w="421" w:type="pct"/>
                  <w:tcBorders>
                    <w:tl2br w:val="nil"/>
                    <w:tr2bl w:val="nil"/>
                  </w:tcBorders>
                  <w:vAlign w:val="center"/>
                </w:tcPr>
                <w:p w14:paraId="6DB66437">
                  <w:pPr>
                    <w:jc w:val="center"/>
                    <w:rPr>
                      <w:color w:val="auto"/>
                      <w:kern w:val="0"/>
                      <w:szCs w:val="21"/>
                    </w:rPr>
                  </w:pPr>
                  <w:r>
                    <w:rPr>
                      <w:rFonts w:hint="eastAsia"/>
                      <w:color w:val="auto"/>
                      <w:kern w:val="0"/>
                      <w:szCs w:val="21"/>
                    </w:rPr>
                    <w:t>6~9</w:t>
                  </w:r>
                </w:p>
              </w:tc>
            </w:tr>
            <w:tr w14:paraId="740DE31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446467D7">
                  <w:pPr>
                    <w:jc w:val="center"/>
                    <w:rPr>
                      <w:color w:val="auto"/>
                      <w:kern w:val="0"/>
                      <w:szCs w:val="21"/>
                    </w:rPr>
                  </w:pPr>
                </w:p>
              </w:tc>
              <w:tc>
                <w:tcPr>
                  <w:tcW w:w="513" w:type="pct"/>
                  <w:vMerge w:val="continue"/>
                  <w:tcBorders>
                    <w:tl2br w:val="nil"/>
                    <w:tr2bl w:val="nil"/>
                  </w:tcBorders>
                  <w:vAlign w:val="center"/>
                </w:tcPr>
                <w:p w14:paraId="66AC435C">
                  <w:pPr>
                    <w:jc w:val="center"/>
                    <w:rPr>
                      <w:color w:val="auto"/>
                      <w:kern w:val="0"/>
                      <w:szCs w:val="21"/>
                    </w:rPr>
                  </w:pPr>
                </w:p>
              </w:tc>
              <w:tc>
                <w:tcPr>
                  <w:tcW w:w="762" w:type="pct"/>
                  <w:vMerge w:val="continue"/>
                  <w:tcBorders>
                    <w:tl2br w:val="nil"/>
                    <w:tr2bl w:val="nil"/>
                  </w:tcBorders>
                  <w:vAlign w:val="center"/>
                </w:tcPr>
                <w:p w14:paraId="5DAE6D7A">
                  <w:pPr>
                    <w:jc w:val="center"/>
                    <w:rPr>
                      <w:color w:val="auto"/>
                      <w:kern w:val="0"/>
                      <w:szCs w:val="21"/>
                    </w:rPr>
                  </w:pPr>
                </w:p>
              </w:tc>
              <w:tc>
                <w:tcPr>
                  <w:tcW w:w="2055" w:type="pct"/>
                  <w:vMerge w:val="continue"/>
                  <w:tcBorders>
                    <w:tl2br w:val="nil"/>
                    <w:tr2bl w:val="nil"/>
                  </w:tcBorders>
                  <w:vAlign w:val="center"/>
                </w:tcPr>
                <w:p w14:paraId="3A884947">
                  <w:pPr>
                    <w:jc w:val="center"/>
                    <w:rPr>
                      <w:color w:val="auto"/>
                      <w:kern w:val="0"/>
                      <w:szCs w:val="21"/>
                    </w:rPr>
                  </w:pPr>
                </w:p>
              </w:tc>
              <w:tc>
                <w:tcPr>
                  <w:tcW w:w="842" w:type="pct"/>
                  <w:tcBorders>
                    <w:tl2br w:val="nil"/>
                    <w:tr2bl w:val="nil"/>
                  </w:tcBorders>
                  <w:vAlign w:val="center"/>
                </w:tcPr>
                <w:p w14:paraId="2D642839">
                  <w:pPr>
                    <w:jc w:val="center"/>
                    <w:rPr>
                      <w:color w:val="auto"/>
                      <w:kern w:val="0"/>
                      <w:szCs w:val="21"/>
                    </w:rPr>
                  </w:pPr>
                  <w:r>
                    <w:rPr>
                      <w:color w:val="auto"/>
                      <w:kern w:val="0"/>
                      <w:szCs w:val="21"/>
                    </w:rPr>
                    <w:t>COD</w:t>
                  </w:r>
                </w:p>
              </w:tc>
              <w:tc>
                <w:tcPr>
                  <w:tcW w:w="696" w:type="dxa"/>
                  <w:tcBorders>
                    <w:tl2br w:val="nil"/>
                    <w:tr2bl w:val="nil"/>
                  </w:tcBorders>
                  <w:vAlign w:val="center"/>
                </w:tcPr>
                <w:p w14:paraId="47AA498B">
                  <w:pPr>
                    <w:adjustRightInd w:val="0"/>
                    <w:snapToGrid w:val="0"/>
                    <w:jc w:val="center"/>
                    <w:rPr>
                      <w:color w:val="auto"/>
                      <w:kern w:val="0"/>
                      <w:szCs w:val="21"/>
                    </w:rPr>
                  </w:pPr>
                  <w:r>
                    <w:rPr>
                      <w:color w:val="auto"/>
                      <w:szCs w:val="21"/>
                    </w:rPr>
                    <w:t>500</w:t>
                  </w:r>
                </w:p>
              </w:tc>
            </w:tr>
            <w:tr w14:paraId="4CCD496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547AC126">
                  <w:pPr>
                    <w:jc w:val="center"/>
                    <w:rPr>
                      <w:color w:val="auto"/>
                      <w:kern w:val="0"/>
                      <w:szCs w:val="21"/>
                    </w:rPr>
                  </w:pPr>
                </w:p>
              </w:tc>
              <w:tc>
                <w:tcPr>
                  <w:tcW w:w="513" w:type="pct"/>
                  <w:vMerge w:val="continue"/>
                  <w:tcBorders>
                    <w:tl2br w:val="nil"/>
                    <w:tr2bl w:val="nil"/>
                  </w:tcBorders>
                  <w:vAlign w:val="center"/>
                </w:tcPr>
                <w:p w14:paraId="577B9B7B">
                  <w:pPr>
                    <w:jc w:val="center"/>
                    <w:rPr>
                      <w:color w:val="auto"/>
                      <w:kern w:val="0"/>
                      <w:szCs w:val="21"/>
                    </w:rPr>
                  </w:pPr>
                </w:p>
              </w:tc>
              <w:tc>
                <w:tcPr>
                  <w:tcW w:w="762" w:type="pct"/>
                  <w:vMerge w:val="continue"/>
                  <w:tcBorders>
                    <w:tl2br w:val="nil"/>
                    <w:tr2bl w:val="nil"/>
                  </w:tcBorders>
                  <w:vAlign w:val="center"/>
                </w:tcPr>
                <w:p w14:paraId="22996507">
                  <w:pPr>
                    <w:jc w:val="center"/>
                    <w:rPr>
                      <w:color w:val="auto"/>
                      <w:kern w:val="0"/>
                      <w:szCs w:val="21"/>
                    </w:rPr>
                  </w:pPr>
                </w:p>
              </w:tc>
              <w:tc>
                <w:tcPr>
                  <w:tcW w:w="2055" w:type="pct"/>
                  <w:vMerge w:val="continue"/>
                  <w:tcBorders>
                    <w:tl2br w:val="nil"/>
                    <w:tr2bl w:val="nil"/>
                  </w:tcBorders>
                  <w:vAlign w:val="center"/>
                </w:tcPr>
                <w:p w14:paraId="2A751055">
                  <w:pPr>
                    <w:jc w:val="center"/>
                    <w:rPr>
                      <w:color w:val="auto"/>
                      <w:kern w:val="0"/>
                      <w:szCs w:val="21"/>
                    </w:rPr>
                  </w:pPr>
                </w:p>
              </w:tc>
              <w:tc>
                <w:tcPr>
                  <w:tcW w:w="842" w:type="pct"/>
                  <w:tcBorders>
                    <w:tl2br w:val="nil"/>
                    <w:tr2bl w:val="nil"/>
                  </w:tcBorders>
                  <w:vAlign w:val="center"/>
                </w:tcPr>
                <w:p w14:paraId="12832A72">
                  <w:pPr>
                    <w:jc w:val="center"/>
                    <w:rPr>
                      <w:color w:val="auto"/>
                      <w:kern w:val="0"/>
                      <w:szCs w:val="21"/>
                    </w:rPr>
                  </w:pPr>
                  <w:r>
                    <w:rPr>
                      <w:color w:val="auto"/>
                      <w:kern w:val="0"/>
                      <w:szCs w:val="21"/>
                    </w:rPr>
                    <w:t>SS</w:t>
                  </w:r>
                </w:p>
              </w:tc>
              <w:tc>
                <w:tcPr>
                  <w:tcW w:w="696" w:type="dxa"/>
                  <w:tcBorders>
                    <w:tl2br w:val="nil"/>
                    <w:tr2bl w:val="nil"/>
                  </w:tcBorders>
                  <w:vAlign w:val="center"/>
                </w:tcPr>
                <w:p w14:paraId="5383B0C9">
                  <w:pPr>
                    <w:adjustRightInd w:val="0"/>
                    <w:snapToGrid w:val="0"/>
                    <w:jc w:val="center"/>
                    <w:rPr>
                      <w:color w:val="auto"/>
                      <w:kern w:val="0"/>
                      <w:szCs w:val="21"/>
                    </w:rPr>
                  </w:pPr>
                  <w:r>
                    <w:rPr>
                      <w:color w:val="auto"/>
                      <w:szCs w:val="21"/>
                    </w:rPr>
                    <w:t>250</w:t>
                  </w:r>
                </w:p>
              </w:tc>
            </w:tr>
            <w:tr w14:paraId="29183A9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4C64F722">
                  <w:pPr>
                    <w:jc w:val="center"/>
                    <w:rPr>
                      <w:color w:val="auto"/>
                      <w:kern w:val="0"/>
                      <w:szCs w:val="21"/>
                    </w:rPr>
                  </w:pPr>
                </w:p>
              </w:tc>
              <w:tc>
                <w:tcPr>
                  <w:tcW w:w="513" w:type="pct"/>
                  <w:vMerge w:val="continue"/>
                  <w:tcBorders>
                    <w:tl2br w:val="nil"/>
                    <w:tr2bl w:val="nil"/>
                  </w:tcBorders>
                  <w:vAlign w:val="center"/>
                </w:tcPr>
                <w:p w14:paraId="530C2B8F">
                  <w:pPr>
                    <w:jc w:val="center"/>
                    <w:rPr>
                      <w:color w:val="auto"/>
                      <w:kern w:val="0"/>
                      <w:szCs w:val="21"/>
                    </w:rPr>
                  </w:pPr>
                </w:p>
              </w:tc>
              <w:tc>
                <w:tcPr>
                  <w:tcW w:w="762" w:type="pct"/>
                  <w:vMerge w:val="continue"/>
                  <w:tcBorders>
                    <w:tl2br w:val="nil"/>
                    <w:tr2bl w:val="nil"/>
                  </w:tcBorders>
                  <w:vAlign w:val="center"/>
                </w:tcPr>
                <w:p w14:paraId="5AD3D6D0">
                  <w:pPr>
                    <w:jc w:val="center"/>
                    <w:rPr>
                      <w:color w:val="auto"/>
                      <w:kern w:val="0"/>
                      <w:szCs w:val="21"/>
                    </w:rPr>
                  </w:pPr>
                </w:p>
              </w:tc>
              <w:tc>
                <w:tcPr>
                  <w:tcW w:w="2055" w:type="pct"/>
                  <w:vMerge w:val="continue"/>
                  <w:tcBorders>
                    <w:tl2br w:val="nil"/>
                    <w:tr2bl w:val="nil"/>
                  </w:tcBorders>
                  <w:vAlign w:val="center"/>
                </w:tcPr>
                <w:p w14:paraId="2B8E7D68">
                  <w:pPr>
                    <w:jc w:val="center"/>
                    <w:rPr>
                      <w:color w:val="auto"/>
                      <w:kern w:val="0"/>
                      <w:szCs w:val="21"/>
                    </w:rPr>
                  </w:pPr>
                </w:p>
              </w:tc>
              <w:tc>
                <w:tcPr>
                  <w:tcW w:w="842" w:type="pct"/>
                  <w:tcBorders>
                    <w:tl2br w:val="nil"/>
                    <w:tr2bl w:val="nil"/>
                  </w:tcBorders>
                  <w:vAlign w:val="center"/>
                </w:tcPr>
                <w:p w14:paraId="054C6347">
                  <w:pPr>
                    <w:jc w:val="center"/>
                    <w:rPr>
                      <w:color w:val="auto"/>
                      <w:kern w:val="0"/>
                      <w:szCs w:val="21"/>
                    </w:rPr>
                  </w:pPr>
                  <w:r>
                    <w:rPr>
                      <w:color w:val="auto"/>
                      <w:kern w:val="0"/>
                      <w:szCs w:val="21"/>
                    </w:rPr>
                    <w:t>NH</w:t>
                  </w:r>
                  <w:r>
                    <w:rPr>
                      <w:color w:val="auto"/>
                      <w:kern w:val="0"/>
                      <w:szCs w:val="21"/>
                      <w:vertAlign w:val="subscript"/>
                    </w:rPr>
                    <w:t>3</w:t>
                  </w:r>
                  <w:r>
                    <w:rPr>
                      <w:color w:val="auto"/>
                      <w:kern w:val="0"/>
                      <w:szCs w:val="21"/>
                    </w:rPr>
                    <w:t>-N</w:t>
                  </w:r>
                </w:p>
              </w:tc>
              <w:tc>
                <w:tcPr>
                  <w:tcW w:w="696" w:type="dxa"/>
                  <w:tcBorders>
                    <w:tl2br w:val="nil"/>
                    <w:tr2bl w:val="nil"/>
                  </w:tcBorders>
                  <w:vAlign w:val="center"/>
                </w:tcPr>
                <w:p w14:paraId="438163DB">
                  <w:pPr>
                    <w:adjustRightInd w:val="0"/>
                    <w:snapToGrid w:val="0"/>
                    <w:jc w:val="center"/>
                    <w:rPr>
                      <w:color w:val="auto"/>
                      <w:kern w:val="0"/>
                      <w:szCs w:val="21"/>
                    </w:rPr>
                  </w:pPr>
                  <w:r>
                    <w:rPr>
                      <w:color w:val="auto"/>
                      <w:szCs w:val="21"/>
                    </w:rPr>
                    <w:t>35</w:t>
                  </w:r>
                </w:p>
              </w:tc>
            </w:tr>
            <w:tr w14:paraId="5E4A865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6" w:type="pct"/>
                  <w:vMerge w:val="continue"/>
                  <w:tcBorders>
                    <w:tl2br w:val="nil"/>
                    <w:tr2bl w:val="nil"/>
                  </w:tcBorders>
                  <w:vAlign w:val="center"/>
                </w:tcPr>
                <w:p w14:paraId="43EA21D2">
                  <w:pPr>
                    <w:jc w:val="center"/>
                    <w:rPr>
                      <w:color w:val="auto"/>
                      <w:kern w:val="0"/>
                      <w:szCs w:val="21"/>
                    </w:rPr>
                  </w:pPr>
                </w:p>
              </w:tc>
              <w:tc>
                <w:tcPr>
                  <w:tcW w:w="513" w:type="pct"/>
                  <w:vMerge w:val="continue"/>
                  <w:tcBorders>
                    <w:tl2br w:val="nil"/>
                    <w:tr2bl w:val="nil"/>
                  </w:tcBorders>
                  <w:vAlign w:val="center"/>
                </w:tcPr>
                <w:p w14:paraId="063648B1">
                  <w:pPr>
                    <w:jc w:val="center"/>
                    <w:rPr>
                      <w:color w:val="auto"/>
                      <w:kern w:val="0"/>
                      <w:szCs w:val="21"/>
                    </w:rPr>
                  </w:pPr>
                </w:p>
              </w:tc>
              <w:tc>
                <w:tcPr>
                  <w:tcW w:w="762" w:type="pct"/>
                  <w:vMerge w:val="continue"/>
                  <w:tcBorders>
                    <w:tl2br w:val="nil"/>
                    <w:tr2bl w:val="nil"/>
                  </w:tcBorders>
                  <w:vAlign w:val="center"/>
                </w:tcPr>
                <w:p w14:paraId="06DE39AE">
                  <w:pPr>
                    <w:jc w:val="center"/>
                    <w:rPr>
                      <w:color w:val="auto"/>
                      <w:kern w:val="0"/>
                      <w:szCs w:val="21"/>
                    </w:rPr>
                  </w:pPr>
                </w:p>
              </w:tc>
              <w:tc>
                <w:tcPr>
                  <w:tcW w:w="2055" w:type="pct"/>
                  <w:vMerge w:val="continue"/>
                  <w:tcBorders>
                    <w:tl2br w:val="nil"/>
                    <w:tr2bl w:val="nil"/>
                  </w:tcBorders>
                  <w:vAlign w:val="center"/>
                </w:tcPr>
                <w:p w14:paraId="04DEF754">
                  <w:pPr>
                    <w:jc w:val="center"/>
                    <w:rPr>
                      <w:color w:val="auto"/>
                      <w:kern w:val="0"/>
                      <w:szCs w:val="21"/>
                    </w:rPr>
                  </w:pPr>
                </w:p>
              </w:tc>
              <w:tc>
                <w:tcPr>
                  <w:tcW w:w="842" w:type="pct"/>
                  <w:tcBorders>
                    <w:tl2br w:val="nil"/>
                    <w:tr2bl w:val="nil"/>
                  </w:tcBorders>
                  <w:vAlign w:val="center"/>
                </w:tcPr>
                <w:p w14:paraId="7F2D3C9B">
                  <w:pPr>
                    <w:jc w:val="center"/>
                    <w:rPr>
                      <w:color w:val="auto"/>
                      <w:kern w:val="0"/>
                      <w:szCs w:val="21"/>
                    </w:rPr>
                  </w:pPr>
                  <w:r>
                    <w:rPr>
                      <w:color w:val="auto"/>
                      <w:kern w:val="0"/>
                      <w:szCs w:val="21"/>
                    </w:rPr>
                    <w:t>TN</w:t>
                  </w:r>
                </w:p>
              </w:tc>
              <w:tc>
                <w:tcPr>
                  <w:tcW w:w="696" w:type="dxa"/>
                  <w:tcBorders>
                    <w:tl2br w:val="nil"/>
                    <w:tr2bl w:val="nil"/>
                  </w:tcBorders>
                  <w:vAlign w:val="center"/>
                </w:tcPr>
                <w:p w14:paraId="20D909F9">
                  <w:pPr>
                    <w:adjustRightInd w:val="0"/>
                    <w:snapToGrid w:val="0"/>
                    <w:jc w:val="center"/>
                    <w:rPr>
                      <w:color w:val="auto"/>
                      <w:kern w:val="0"/>
                      <w:szCs w:val="21"/>
                    </w:rPr>
                  </w:pPr>
                  <w:r>
                    <w:rPr>
                      <w:color w:val="auto"/>
                      <w:szCs w:val="21"/>
                    </w:rPr>
                    <w:t>50</w:t>
                  </w:r>
                </w:p>
              </w:tc>
            </w:tr>
            <w:tr w14:paraId="4760775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2D4F1C15">
                  <w:pPr>
                    <w:jc w:val="center"/>
                    <w:rPr>
                      <w:color w:val="auto"/>
                      <w:kern w:val="0"/>
                      <w:szCs w:val="21"/>
                    </w:rPr>
                  </w:pPr>
                </w:p>
              </w:tc>
              <w:tc>
                <w:tcPr>
                  <w:tcW w:w="513" w:type="pct"/>
                  <w:vMerge w:val="continue"/>
                  <w:tcBorders>
                    <w:tl2br w:val="nil"/>
                    <w:tr2bl w:val="nil"/>
                  </w:tcBorders>
                  <w:vAlign w:val="center"/>
                </w:tcPr>
                <w:p w14:paraId="260BAD2A">
                  <w:pPr>
                    <w:jc w:val="center"/>
                    <w:rPr>
                      <w:color w:val="auto"/>
                      <w:kern w:val="0"/>
                      <w:szCs w:val="21"/>
                    </w:rPr>
                  </w:pPr>
                </w:p>
              </w:tc>
              <w:tc>
                <w:tcPr>
                  <w:tcW w:w="762" w:type="pct"/>
                  <w:vMerge w:val="continue"/>
                  <w:tcBorders>
                    <w:tl2br w:val="nil"/>
                    <w:tr2bl w:val="nil"/>
                  </w:tcBorders>
                  <w:vAlign w:val="center"/>
                </w:tcPr>
                <w:p w14:paraId="1EAA7370">
                  <w:pPr>
                    <w:jc w:val="center"/>
                    <w:rPr>
                      <w:color w:val="auto"/>
                      <w:kern w:val="0"/>
                      <w:szCs w:val="21"/>
                    </w:rPr>
                  </w:pPr>
                </w:p>
              </w:tc>
              <w:tc>
                <w:tcPr>
                  <w:tcW w:w="2055" w:type="pct"/>
                  <w:vMerge w:val="continue"/>
                  <w:tcBorders>
                    <w:tl2br w:val="nil"/>
                    <w:tr2bl w:val="nil"/>
                  </w:tcBorders>
                  <w:vAlign w:val="center"/>
                </w:tcPr>
                <w:p w14:paraId="32BDFAEA">
                  <w:pPr>
                    <w:jc w:val="center"/>
                    <w:rPr>
                      <w:color w:val="auto"/>
                      <w:kern w:val="0"/>
                      <w:szCs w:val="21"/>
                    </w:rPr>
                  </w:pPr>
                </w:p>
              </w:tc>
              <w:tc>
                <w:tcPr>
                  <w:tcW w:w="842" w:type="pct"/>
                  <w:tcBorders>
                    <w:tl2br w:val="nil"/>
                    <w:tr2bl w:val="nil"/>
                  </w:tcBorders>
                  <w:vAlign w:val="center"/>
                </w:tcPr>
                <w:p w14:paraId="3AA9C8FC">
                  <w:pPr>
                    <w:jc w:val="center"/>
                    <w:rPr>
                      <w:color w:val="auto"/>
                      <w:kern w:val="0"/>
                      <w:szCs w:val="21"/>
                    </w:rPr>
                  </w:pPr>
                  <w:r>
                    <w:rPr>
                      <w:color w:val="auto"/>
                      <w:kern w:val="0"/>
                      <w:szCs w:val="21"/>
                    </w:rPr>
                    <w:t>TP</w:t>
                  </w:r>
                </w:p>
              </w:tc>
              <w:tc>
                <w:tcPr>
                  <w:tcW w:w="696" w:type="dxa"/>
                  <w:tcBorders>
                    <w:tl2br w:val="nil"/>
                    <w:tr2bl w:val="nil"/>
                  </w:tcBorders>
                  <w:vAlign w:val="center"/>
                </w:tcPr>
                <w:p w14:paraId="49AF28F6">
                  <w:pPr>
                    <w:adjustRightInd w:val="0"/>
                    <w:snapToGrid w:val="0"/>
                    <w:jc w:val="center"/>
                    <w:rPr>
                      <w:color w:val="auto"/>
                      <w:kern w:val="0"/>
                      <w:szCs w:val="21"/>
                    </w:rPr>
                  </w:pPr>
                  <w:r>
                    <w:rPr>
                      <w:color w:val="auto"/>
                      <w:szCs w:val="21"/>
                    </w:rPr>
                    <w:t>3</w:t>
                  </w:r>
                </w:p>
              </w:tc>
            </w:tr>
          </w:tbl>
          <w:p w14:paraId="65FC3C8F">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b/>
                <w:bCs/>
                <w:color w:val="auto"/>
                <w:sz w:val="24"/>
              </w:rPr>
            </w:pPr>
            <w:r>
              <w:rPr>
                <w:rFonts w:hint="eastAsia"/>
                <w:b/>
                <w:bCs/>
                <w:color w:val="auto"/>
                <w:sz w:val="24"/>
                <w:lang w:val="en-US" w:eastAsia="zh-CN"/>
              </w:rPr>
              <w:t>5、</w:t>
            </w:r>
            <w:r>
              <w:rPr>
                <w:b/>
                <w:bCs/>
                <w:color w:val="auto"/>
                <w:sz w:val="24"/>
              </w:rPr>
              <w:t>监测要求</w:t>
            </w:r>
          </w:p>
          <w:p w14:paraId="568DC60B">
            <w:pPr>
              <w:pStyle w:val="6"/>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根据</w:t>
            </w:r>
            <w:r>
              <w:rPr>
                <w:rFonts w:hint="default" w:ascii="Times New Roman" w:hAnsi="Times New Roman" w:eastAsia="宋体" w:cs="Times New Roman"/>
                <w:bCs/>
                <w:color w:val="auto"/>
                <w:kern w:val="2"/>
                <w:sz w:val="24"/>
                <w:szCs w:val="24"/>
                <w:highlight w:val="none"/>
                <w:lang w:val="en-US" w:eastAsia="zh-CN" w:bidi="ar-SA"/>
              </w:rPr>
              <w:t>《排污许可证申请与核发技术规范橡胶和塑料制品工业》（HJ1122—2020）</w:t>
            </w:r>
            <w:r>
              <w:rPr>
                <w:rFonts w:hint="eastAsia" w:ascii="Times New Roman" w:hAnsi="Times New Roman" w:eastAsia="宋体" w:cs="Times New Roman"/>
                <w:bCs/>
                <w:color w:val="auto"/>
                <w:kern w:val="2"/>
                <w:sz w:val="24"/>
                <w:szCs w:val="24"/>
                <w:highlight w:val="none"/>
                <w:lang w:val="en-US" w:eastAsia="zh-CN" w:bidi="ar-SA"/>
              </w:rPr>
              <w:t>要求，生活污水接管排放的不要求开展自行监测。</w:t>
            </w:r>
          </w:p>
          <w:p w14:paraId="3F8047B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6、</w:t>
            </w:r>
            <w:r>
              <w:rPr>
                <w:rFonts w:hint="eastAsia" w:ascii="Times New Roman" w:hAnsi="Times New Roman" w:eastAsia="宋体" w:cs="Times New Roman"/>
                <w:b/>
                <w:bCs w:val="0"/>
                <w:color w:val="auto"/>
                <w:sz w:val="24"/>
                <w:highlight w:val="none"/>
                <w:lang w:val="en-US" w:eastAsia="zh-CN"/>
              </w:rPr>
              <w:t>排污口规范化设置</w:t>
            </w:r>
          </w:p>
          <w:p w14:paraId="656E3BB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本项目依托</w:t>
            </w:r>
            <w:r>
              <w:rPr>
                <w:rFonts w:hint="eastAsia" w:cs="Times New Roman"/>
                <w:bCs/>
                <w:color w:val="auto"/>
                <w:sz w:val="24"/>
                <w:highlight w:val="none"/>
                <w:lang w:val="en-US" w:eastAsia="zh-CN"/>
              </w:rPr>
              <w:t>出租方现有</w:t>
            </w:r>
            <w:r>
              <w:rPr>
                <w:rFonts w:hint="eastAsia" w:ascii="Times New Roman" w:hAnsi="Times New Roman" w:eastAsia="宋体" w:cs="Times New Roman"/>
                <w:bCs/>
                <w:color w:val="auto"/>
                <w:sz w:val="24"/>
                <w:highlight w:val="none"/>
                <w:lang w:val="en-US" w:eastAsia="zh-CN"/>
              </w:rPr>
              <w:t>雨水和污水排放口，不改变现有排水系统。目前项目所在地地块内已实施“雨污分流”，并设置规范化雨水排放口、污水接管口各1个，具备采样、监测条件，接管口附近应树立环保图形标志牌。</w:t>
            </w:r>
          </w:p>
          <w:p w14:paraId="570FCFF3">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7、</w:t>
            </w:r>
            <w:r>
              <w:rPr>
                <w:rFonts w:hint="default" w:ascii="Times New Roman" w:hAnsi="Times New Roman" w:eastAsia="宋体" w:cs="Times New Roman"/>
                <w:b/>
                <w:bCs w:val="0"/>
                <w:color w:val="auto"/>
                <w:sz w:val="24"/>
                <w:highlight w:val="none"/>
                <w:lang w:val="en-US" w:eastAsia="zh-CN"/>
              </w:rPr>
              <w:t>环境影响分析小结</w:t>
            </w:r>
          </w:p>
          <w:p w14:paraId="45BF55E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本项目生活污水可达标接入市政污水管网进</w:t>
            </w:r>
            <w:r>
              <w:rPr>
                <w:rFonts w:hint="eastAsia" w:ascii="Times New Roman" w:hAnsi="Times New Roman" w:eastAsia="宋体" w:cs="Times New Roman"/>
                <w:bCs/>
                <w:color w:val="auto"/>
                <w:sz w:val="24"/>
                <w:highlight w:val="none"/>
                <w:lang w:val="en-US" w:eastAsia="zh-CN"/>
              </w:rPr>
              <w:t>金坛</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集中处理，尾水排入</w:t>
            </w:r>
            <w:r>
              <w:rPr>
                <w:rFonts w:hint="eastAsia" w:ascii="Times New Roman" w:hAnsi="Times New Roman" w:eastAsia="宋体" w:cs="Times New Roman"/>
                <w:bCs/>
                <w:color w:val="auto"/>
                <w:sz w:val="24"/>
                <w:highlight w:val="none"/>
                <w:lang w:val="en-US" w:eastAsia="zh-CN"/>
              </w:rPr>
              <w:t>尧塘河</w:t>
            </w:r>
            <w:r>
              <w:rPr>
                <w:rFonts w:hint="default" w:ascii="Times New Roman" w:hAnsi="Times New Roman" w:eastAsia="宋体" w:cs="Times New Roman"/>
                <w:bCs/>
                <w:color w:val="auto"/>
                <w:sz w:val="24"/>
                <w:highlight w:val="none"/>
                <w:lang w:val="en-US" w:eastAsia="zh-CN"/>
              </w:rPr>
              <w:t>。故本项目废水排放对地表水环境影响很小，是可以接受的。</w:t>
            </w:r>
          </w:p>
          <w:p w14:paraId="772700D5">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bCs/>
                <w:color w:val="auto"/>
                <w:sz w:val="24"/>
                <w:highlight w:val="none"/>
              </w:rPr>
            </w:pPr>
            <w:r>
              <w:rPr>
                <w:rFonts w:hint="eastAsia" w:cs="Times New Roman"/>
                <w:b/>
                <w:color w:val="auto"/>
                <w:sz w:val="24"/>
                <w:highlight w:val="none"/>
                <w:lang w:eastAsia="zh-CN"/>
              </w:rPr>
              <w:t>三</w:t>
            </w:r>
            <w:r>
              <w:rPr>
                <w:rFonts w:hint="default" w:ascii="Times New Roman" w:hAnsi="Times New Roman" w:cs="Times New Roman"/>
                <w:b/>
                <w:color w:val="auto"/>
                <w:sz w:val="24"/>
                <w:highlight w:val="none"/>
              </w:rPr>
              <w:t>、噪声</w:t>
            </w:r>
          </w:p>
          <w:p w14:paraId="42DD8506">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z w:val="24"/>
                <w:highlight w:val="none"/>
              </w:rPr>
            </w:pPr>
            <w:r>
              <w:rPr>
                <w:rFonts w:hint="eastAsia" w:cs="Times New Roman"/>
                <w:b/>
                <w:bCs w:val="0"/>
                <w:color w:val="auto"/>
                <w:sz w:val="24"/>
                <w:highlight w:val="none"/>
                <w:lang w:val="en-US" w:eastAsia="zh-CN"/>
              </w:rPr>
              <w:t>1、</w:t>
            </w:r>
            <w:r>
              <w:rPr>
                <w:rFonts w:hint="default" w:ascii="Times New Roman" w:hAnsi="Times New Roman" w:eastAsia="宋体" w:cs="Times New Roman"/>
                <w:b/>
                <w:bCs w:val="0"/>
                <w:color w:val="auto"/>
                <w:sz w:val="24"/>
                <w:highlight w:val="none"/>
                <w:lang w:val="en-US" w:eastAsia="zh-CN"/>
              </w:rPr>
              <w:t>噪声产生及排放情况</w:t>
            </w:r>
          </w:p>
          <w:p w14:paraId="1851AD3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本项目高噪声源主要为</w:t>
            </w:r>
            <w:r>
              <w:rPr>
                <w:rFonts w:hint="eastAsia" w:ascii="Times New Roman" w:hAnsi="Times New Roman" w:eastAsia="宋体" w:cs="Times New Roman"/>
                <w:bCs/>
                <w:color w:val="auto"/>
                <w:sz w:val="24"/>
                <w:highlight w:val="none"/>
                <w:lang w:val="en-US" w:eastAsia="zh-CN"/>
              </w:rPr>
              <w:t>挤出机</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压塑机、</w:t>
            </w:r>
            <w:r>
              <w:rPr>
                <w:rFonts w:hint="default" w:ascii="Times New Roman" w:hAnsi="Times New Roman" w:eastAsia="宋体" w:cs="Times New Roman"/>
                <w:bCs/>
                <w:color w:val="auto"/>
                <w:sz w:val="24"/>
                <w:highlight w:val="none"/>
                <w:lang w:val="en-US" w:eastAsia="zh-CN"/>
              </w:rPr>
              <w:t>吹塑机、空压机等设备，项目噪声源距离1米处声压级在7</w:t>
            </w:r>
            <w:r>
              <w:rPr>
                <w:rFonts w:hint="eastAsia"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8</w:t>
            </w:r>
            <w:r>
              <w:rPr>
                <w:rFonts w:hint="eastAsia" w:cs="Times New Roman"/>
                <w:bCs/>
                <w:color w:val="auto"/>
                <w:sz w:val="24"/>
                <w:highlight w:val="none"/>
                <w:lang w:val="en-US" w:eastAsia="zh-CN"/>
              </w:rPr>
              <w:t>0</w:t>
            </w:r>
            <w:r>
              <w:rPr>
                <w:rFonts w:hint="default" w:ascii="Times New Roman" w:hAnsi="Times New Roman" w:eastAsia="宋体" w:cs="Times New Roman"/>
                <w:bCs/>
                <w:color w:val="auto"/>
                <w:sz w:val="24"/>
                <w:highlight w:val="none"/>
                <w:lang w:val="en-US" w:eastAsia="zh-CN"/>
              </w:rPr>
              <w:t>dB(A)之间。</w:t>
            </w:r>
          </w:p>
          <w:p w14:paraId="140AB0F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p w14:paraId="3A8B1386">
            <w:pPr>
              <w:adjustRightInd w:val="0"/>
              <w:snapToGrid w:val="0"/>
              <w:spacing w:line="360" w:lineRule="auto"/>
              <w:rPr>
                <w:rFonts w:hint="default" w:ascii="Times New Roman" w:hAnsi="Times New Roman" w:cs="Times New Roman"/>
                <w:bCs/>
                <w:color w:val="auto"/>
                <w:sz w:val="24"/>
                <w:szCs w:val="22"/>
              </w:rPr>
            </w:pPr>
          </w:p>
        </w:tc>
      </w:tr>
    </w:tbl>
    <w:p w14:paraId="459BBA11">
      <w:pPr>
        <w:pStyle w:val="22"/>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7" w:type="default"/>
          <w:pgSz w:w="11906" w:h="16838"/>
          <w:pgMar w:top="1701" w:right="1531" w:bottom="1701" w:left="1531" w:header="851" w:footer="1134" w:gutter="0"/>
          <w:pgBorders>
            <w:top w:val="none" w:sz="0" w:space="0"/>
            <w:left w:val="none" w:sz="0" w:space="0"/>
            <w:bottom w:val="none" w:sz="0" w:space="0"/>
            <w:right w:val="none" w:sz="0" w:space="0"/>
          </w:pgBorders>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2"/>
      </w:tblGrid>
      <w:tr w14:paraId="0711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8" w:hRule="atLeast"/>
        </w:trPr>
        <w:tc>
          <w:tcPr>
            <w:tcW w:w="13652" w:type="dxa"/>
          </w:tcPr>
          <w:p w14:paraId="48CDB2C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表4-1</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本项目主要噪声污染源一览表</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室内声源</w:t>
            </w:r>
            <w:r>
              <w:rPr>
                <w:rFonts w:hint="default" w:ascii="Times New Roman" w:hAnsi="Times New Roman" w:cs="Times New Roman"/>
                <w:b/>
                <w:bCs/>
                <w:color w:val="auto"/>
                <w:sz w:val="21"/>
                <w:szCs w:val="21"/>
                <w:lang w:eastAsia="zh-CN"/>
              </w:rPr>
              <w:t>）</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0"/>
              <w:gridCol w:w="572"/>
              <w:gridCol w:w="1194"/>
              <w:gridCol w:w="1305"/>
              <w:gridCol w:w="618"/>
              <w:gridCol w:w="1484"/>
              <w:gridCol w:w="1081"/>
              <w:gridCol w:w="565"/>
              <w:gridCol w:w="565"/>
              <w:gridCol w:w="616"/>
              <w:gridCol w:w="704"/>
              <w:gridCol w:w="699"/>
              <w:gridCol w:w="543"/>
              <w:gridCol w:w="973"/>
              <w:gridCol w:w="973"/>
              <w:gridCol w:w="1036"/>
            </w:tblGrid>
            <w:tr w14:paraId="0AC49F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 w:type="pct"/>
                  <w:vMerge w:val="restart"/>
                  <w:noWrap w:val="0"/>
                  <w:vAlign w:val="center"/>
                </w:tcPr>
                <w:p w14:paraId="2E934BF9">
                  <w:pPr>
                    <w:adjustRightInd w:val="0"/>
                    <w:snapToGrid w:val="0"/>
                    <w:ind w:left="-105" w:leftChars="-50" w:right="-105" w:rightChars="-50"/>
                    <w:jc w:val="center"/>
                    <w:rPr>
                      <w:b/>
                      <w:color w:val="auto"/>
                    </w:rPr>
                  </w:pPr>
                  <w:r>
                    <w:rPr>
                      <w:rFonts w:hAnsi="宋体"/>
                      <w:b/>
                      <w:color w:val="auto"/>
                    </w:rPr>
                    <w:t>序号</w:t>
                  </w:r>
                </w:p>
              </w:tc>
              <w:tc>
                <w:tcPr>
                  <w:tcW w:w="212" w:type="pct"/>
                  <w:vMerge w:val="restart"/>
                  <w:noWrap w:val="0"/>
                  <w:vAlign w:val="center"/>
                </w:tcPr>
                <w:p w14:paraId="45D07EA6">
                  <w:pPr>
                    <w:adjustRightInd w:val="0"/>
                    <w:snapToGrid w:val="0"/>
                    <w:ind w:left="-105" w:leftChars="-50" w:right="-105" w:rightChars="-50"/>
                    <w:jc w:val="center"/>
                    <w:rPr>
                      <w:b/>
                      <w:color w:val="auto"/>
                    </w:rPr>
                  </w:pPr>
                  <w:r>
                    <w:rPr>
                      <w:rFonts w:hAnsi="宋体"/>
                      <w:b/>
                      <w:color w:val="auto"/>
                    </w:rPr>
                    <w:t>建筑物名称</w:t>
                  </w:r>
                </w:p>
              </w:tc>
              <w:tc>
                <w:tcPr>
                  <w:tcW w:w="444" w:type="pct"/>
                  <w:vMerge w:val="restart"/>
                  <w:noWrap w:val="0"/>
                  <w:vAlign w:val="center"/>
                </w:tcPr>
                <w:p w14:paraId="3FB73874">
                  <w:pPr>
                    <w:adjustRightInd w:val="0"/>
                    <w:snapToGrid w:val="0"/>
                    <w:ind w:left="-105" w:leftChars="-50" w:right="-105" w:rightChars="-50"/>
                    <w:jc w:val="center"/>
                    <w:rPr>
                      <w:b/>
                      <w:color w:val="auto"/>
                    </w:rPr>
                  </w:pPr>
                  <w:r>
                    <w:rPr>
                      <w:rFonts w:hAnsi="宋体"/>
                      <w:b/>
                      <w:color w:val="auto"/>
                    </w:rPr>
                    <w:t>声源名称</w:t>
                  </w:r>
                </w:p>
              </w:tc>
              <w:tc>
                <w:tcPr>
                  <w:tcW w:w="485" w:type="pct"/>
                  <w:vMerge w:val="restart"/>
                  <w:noWrap w:val="0"/>
                  <w:vAlign w:val="center"/>
                </w:tcPr>
                <w:p w14:paraId="73B17264">
                  <w:pPr>
                    <w:adjustRightInd w:val="0"/>
                    <w:snapToGrid w:val="0"/>
                    <w:ind w:left="-105" w:leftChars="-50" w:right="-105" w:rightChars="-50"/>
                    <w:jc w:val="center"/>
                    <w:rPr>
                      <w:rFonts w:hAnsi="宋体"/>
                      <w:b/>
                      <w:color w:val="auto"/>
                    </w:rPr>
                  </w:pPr>
                  <w:r>
                    <w:rPr>
                      <w:rFonts w:hAnsi="宋体"/>
                      <w:b/>
                      <w:color w:val="auto"/>
                    </w:rPr>
                    <w:t>型号</w:t>
                  </w:r>
                </w:p>
              </w:tc>
              <w:tc>
                <w:tcPr>
                  <w:tcW w:w="230" w:type="pct"/>
                  <w:vMerge w:val="restart"/>
                  <w:noWrap w:val="0"/>
                  <w:vAlign w:val="center"/>
                </w:tcPr>
                <w:p w14:paraId="60A58A9E">
                  <w:pPr>
                    <w:adjustRightInd w:val="0"/>
                    <w:snapToGrid w:val="0"/>
                    <w:ind w:left="-105" w:leftChars="-50" w:right="-105" w:rightChars="-50"/>
                    <w:jc w:val="center"/>
                    <w:rPr>
                      <w:b/>
                      <w:color w:val="auto"/>
                    </w:rPr>
                  </w:pPr>
                  <w:r>
                    <w:rPr>
                      <w:rFonts w:hint="default" w:ascii="Times New Roman" w:hAnsi="Times New Roman" w:cs="Times New Roman"/>
                      <w:b/>
                      <w:bCs/>
                      <w:color w:val="auto"/>
                      <w:lang w:val="en-US" w:eastAsia="zh-CN"/>
                    </w:rPr>
                    <w:t>数量</w:t>
                  </w:r>
                </w:p>
              </w:tc>
              <w:tc>
                <w:tcPr>
                  <w:tcW w:w="552" w:type="pct"/>
                  <w:noWrap w:val="0"/>
                  <w:vAlign w:val="center"/>
                </w:tcPr>
                <w:p w14:paraId="7C68DC38">
                  <w:pPr>
                    <w:adjustRightInd w:val="0"/>
                    <w:snapToGrid w:val="0"/>
                    <w:ind w:left="-105" w:leftChars="-50" w:right="-105" w:rightChars="-50"/>
                    <w:jc w:val="center"/>
                    <w:rPr>
                      <w:b/>
                      <w:color w:val="auto"/>
                    </w:rPr>
                  </w:pPr>
                  <w:r>
                    <w:rPr>
                      <w:rFonts w:hAnsi="宋体"/>
                      <w:b/>
                      <w:color w:val="auto"/>
                    </w:rPr>
                    <w:t>声源源强</w:t>
                  </w:r>
                </w:p>
              </w:tc>
              <w:tc>
                <w:tcPr>
                  <w:tcW w:w="402" w:type="pct"/>
                  <w:vMerge w:val="restart"/>
                  <w:noWrap w:val="0"/>
                  <w:vAlign w:val="center"/>
                </w:tcPr>
                <w:p w14:paraId="6D8FAADD">
                  <w:pPr>
                    <w:adjustRightInd w:val="0"/>
                    <w:snapToGrid w:val="0"/>
                    <w:ind w:left="-105" w:leftChars="-50" w:right="-105" w:rightChars="-50"/>
                    <w:jc w:val="center"/>
                    <w:rPr>
                      <w:b/>
                      <w:color w:val="auto"/>
                    </w:rPr>
                  </w:pPr>
                  <w:r>
                    <w:rPr>
                      <w:rFonts w:hAnsi="宋体"/>
                      <w:b/>
                      <w:color w:val="auto"/>
                    </w:rPr>
                    <w:t>声源控制措施</w:t>
                  </w:r>
                </w:p>
              </w:tc>
              <w:tc>
                <w:tcPr>
                  <w:tcW w:w="650" w:type="pct"/>
                  <w:gridSpan w:val="3"/>
                  <w:noWrap w:val="0"/>
                  <w:vAlign w:val="center"/>
                </w:tcPr>
                <w:p w14:paraId="4FD8F020">
                  <w:pPr>
                    <w:adjustRightInd w:val="0"/>
                    <w:snapToGrid w:val="0"/>
                    <w:ind w:left="-105" w:leftChars="-50" w:right="-105" w:rightChars="-50"/>
                    <w:jc w:val="center"/>
                    <w:rPr>
                      <w:b/>
                      <w:color w:val="auto"/>
                    </w:rPr>
                  </w:pPr>
                  <w:r>
                    <w:rPr>
                      <w:rFonts w:hAnsi="宋体"/>
                      <w:b/>
                      <w:color w:val="auto"/>
                    </w:rPr>
                    <w:t>空间相对位置</w:t>
                  </w:r>
                  <w:r>
                    <w:rPr>
                      <w:b/>
                      <w:color w:val="auto"/>
                    </w:rPr>
                    <w:t>/m</w:t>
                  </w:r>
                </w:p>
              </w:tc>
              <w:tc>
                <w:tcPr>
                  <w:tcW w:w="262" w:type="pct"/>
                  <w:vMerge w:val="restart"/>
                  <w:noWrap w:val="0"/>
                  <w:vAlign w:val="center"/>
                </w:tcPr>
                <w:p w14:paraId="05063CCA">
                  <w:pPr>
                    <w:adjustRightInd w:val="0"/>
                    <w:snapToGrid w:val="0"/>
                    <w:ind w:left="-105" w:leftChars="-50" w:right="-105" w:rightChars="-50"/>
                    <w:jc w:val="center"/>
                    <w:rPr>
                      <w:b/>
                      <w:color w:val="auto"/>
                    </w:rPr>
                  </w:pPr>
                  <w:r>
                    <w:rPr>
                      <w:rFonts w:hAnsi="宋体"/>
                      <w:b/>
                      <w:color w:val="auto"/>
                    </w:rPr>
                    <w:t>距室内边界</w:t>
                  </w:r>
                  <w:r>
                    <w:rPr>
                      <w:rFonts w:hint="eastAsia" w:hAnsi="宋体"/>
                      <w:b/>
                      <w:color w:val="auto"/>
                      <w:lang w:eastAsia="zh-CN"/>
                    </w:rPr>
                    <w:t>最近</w:t>
                  </w:r>
                  <w:r>
                    <w:rPr>
                      <w:rFonts w:hAnsi="宋体"/>
                      <w:b/>
                      <w:color w:val="auto"/>
                    </w:rPr>
                    <w:t>距离</w:t>
                  </w:r>
                  <w:r>
                    <w:rPr>
                      <w:b/>
                      <w:color w:val="auto"/>
                    </w:rPr>
                    <w:t>/m</w:t>
                  </w:r>
                </w:p>
              </w:tc>
              <w:tc>
                <w:tcPr>
                  <w:tcW w:w="260" w:type="pct"/>
                  <w:vMerge w:val="restart"/>
                  <w:noWrap w:val="0"/>
                  <w:vAlign w:val="center"/>
                </w:tcPr>
                <w:p w14:paraId="5860D4EC">
                  <w:pPr>
                    <w:adjustRightInd w:val="0"/>
                    <w:snapToGrid w:val="0"/>
                    <w:ind w:left="-105" w:leftChars="-50" w:right="-105" w:rightChars="-50"/>
                    <w:jc w:val="center"/>
                    <w:rPr>
                      <w:b/>
                      <w:color w:val="auto"/>
                    </w:rPr>
                  </w:pPr>
                  <w:r>
                    <w:rPr>
                      <w:rFonts w:hAnsi="宋体"/>
                      <w:b/>
                      <w:color w:val="auto"/>
                    </w:rPr>
                    <w:t>室内边界声级</w:t>
                  </w:r>
                </w:p>
              </w:tc>
              <w:tc>
                <w:tcPr>
                  <w:tcW w:w="202" w:type="pct"/>
                  <w:vMerge w:val="restart"/>
                  <w:noWrap w:val="0"/>
                  <w:vAlign w:val="center"/>
                </w:tcPr>
                <w:p w14:paraId="22353CF7">
                  <w:pPr>
                    <w:adjustRightInd w:val="0"/>
                    <w:snapToGrid w:val="0"/>
                    <w:ind w:left="-105" w:leftChars="-50" w:right="-105" w:rightChars="-50"/>
                    <w:jc w:val="center"/>
                    <w:rPr>
                      <w:b/>
                      <w:color w:val="auto"/>
                    </w:rPr>
                  </w:pPr>
                  <w:r>
                    <w:rPr>
                      <w:rFonts w:hAnsi="宋体"/>
                      <w:b/>
                      <w:color w:val="auto"/>
                    </w:rPr>
                    <w:t>运行时段</w:t>
                  </w:r>
                </w:p>
              </w:tc>
              <w:tc>
                <w:tcPr>
                  <w:tcW w:w="362" w:type="pct"/>
                  <w:vMerge w:val="restart"/>
                  <w:noWrap w:val="0"/>
                  <w:vAlign w:val="center"/>
                </w:tcPr>
                <w:p w14:paraId="625751F1">
                  <w:pPr>
                    <w:adjustRightInd w:val="0"/>
                    <w:snapToGrid w:val="0"/>
                    <w:ind w:left="-105" w:leftChars="-50" w:right="-105" w:rightChars="-50"/>
                    <w:jc w:val="center"/>
                    <w:rPr>
                      <w:b/>
                      <w:color w:val="auto"/>
                    </w:rPr>
                  </w:pPr>
                  <w:r>
                    <w:rPr>
                      <w:rFonts w:hAnsi="宋体"/>
                      <w:b/>
                      <w:color w:val="auto"/>
                    </w:rPr>
                    <w:t>建筑物插入损失</w:t>
                  </w:r>
                  <w:r>
                    <w:rPr>
                      <w:b/>
                      <w:color w:val="auto"/>
                    </w:rPr>
                    <w:t>/dB(A)</w:t>
                  </w:r>
                </w:p>
              </w:tc>
              <w:tc>
                <w:tcPr>
                  <w:tcW w:w="748" w:type="pct"/>
                  <w:gridSpan w:val="2"/>
                  <w:noWrap w:val="0"/>
                  <w:vAlign w:val="center"/>
                </w:tcPr>
                <w:p w14:paraId="07131D65">
                  <w:pPr>
                    <w:adjustRightInd w:val="0"/>
                    <w:snapToGrid w:val="0"/>
                    <w:ind w:left="-105" w:leftChars="-50" w:right="-105" w:rightChars="-50"/>
                    <w:jc w:val="center"/>
                    <w:rPr>
                      <w:b/>
                      <w:color w:val="auto"/>
                    </w:rPr>
                  </w:pPr>
                  <w:r>
                    <w:rPr>
                      <w:rFonts w:hAnsi="宋体"/>
                      <w:b/>
                      <w:color w:val="auto"/>
                    </w:rPr>
                    <w:t>建筑物外噪声</w:t>
                  </w:r>
                </w:p>
              </w:tc>
            </w:tr>
            <w:tr w14:paraId="0AA55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 w:type="pct"/>
                  <w:vMerge w:val="continue"/>
                  <w:noWrap w:val="0"/>
                  <w:vAlign w:val="center"/>
                </w:tcPr>
                <w:p w14:paraId="060D3891">
                  <w:pPr>
                    <w:adjustRightInd w:val="0"/>
                    <w:snapToGrid w:val="0"/>
                    <w:ind w:left="-105" w:leftChars="-50" w:right="-105" w:rightChars="-50"/>
                    <w:jc w:val="center"/>
                    <w:rPr>
                      <w:b/>
                      <w:color w:val="auto"/>
                    </w:rPr>
                  </w:pPr>
                </w:p>
              </w:tc>
              <w:tc>
                <w:tcPr>
                  <w:tcW w:w="212" w:type="pct"/>
                  <w:vMerge w:val="continue"/>
                  <w:noWrap w:val="0"/>
                  <w:vAlign w:val="center"/>
                </w:tcPr>
                <w:p w14:paraId="148A34C3">
                  <w:pPr>
                    <w:adjustRightInd w:val="0"/>
                    <w:snapToGrid w:val="0"/>
                    <w:ind w:left="-105" w:leftChars="-50" w:right="-105" w:rightChars="-50"/>
                    <w:jc w:val="center"/>
                    <w:rPr>
                      <w:b/>
                      <w:color w:val="auto"/>
                    </w:rPr>
                  </w:pPr>
                </w:p>
              </w:tc>
              <w:tc>
                <w:tcPr>
                  <w:tcW w:w="444" w:type="pct"/>
                  <w:vMerge w:val="continue"/>
                  <w:noWrap w:val="0"/>
                  <w:vAlign w:val="center"/>
                </w:tcPr>
                <w:p w14:paraId="736F756B">
                  <w:pPr>
                    <w:adjustRightInd w:val="0"/>
                    <w:snapToGrid w:val="0"/>
                    <w:ind w:left="-105" w:leftChars="-50" w:right="-105" w:rightChars="-50"/>
                    <w:jc w:val="center"/>
                    <w:rPr>
                      <w:b/>
                      <w:color w:val="auto"/>
                    </w:rPr>
                  </w:pPr>
                </w:p>
              </w:tc>
              <w:tc>
                <w:tcPr>
                  <w:tcW w:w="485" w:type="pct"/>
                  <w:vMerge w:val="continue"/>
                  <w:noWrap w:val="0"/>
                  <w:vAlign w:val="center"/>
                </w:tcPr>
                <w:p w14:paraId="19E9B2F2">
                  <w:pPr>
                    <w:adjustRightInd w:val="0"/>
                    <w:snapToGrid w:val="0"/>
                    <w:ind w:left="-105" w:leftChars="-50" w:right="-105" w:rightChars="-50"/>
                    <w:jc w:val="center"/>
                    <w:rPr>
                      <w:b/>
                      <w:color w:val="auto"/>
                    </w:rPr>
                  </w:pPr>
                </w:p>
              </w:tc>
              <w:tc>
                <w:tcPr>
                  <w:tcW w:w="230" w:type="pct"/>
                  <w:vMerge w:val="continue"/>
                  <w:noWrap w:val="0"/>
                  <w:vAlign w:val="center"/>
                </w:tcPr>
                <w:p w14:paraId="6B326A5B">
                  <w:pPr>
                    <w:adjustRightInd w:val="0"/>
                    <w:snapToGrid w:val="0"/>
                    <w:ind w:left="-105" w:leftChars="-50" w:right="-105" w:rightChars="-50"/>
                    <w:jc w:val="center"/>
                    <w:rPr>
                      <w:b/>
                      <w:color w:val="auto"/>
                    </w:rPr>
                  </w:pPr>
                </w:p>
              </w:tc>
              <w:tc>
                <w:tcPr>
                  <w:tcW w:w="552" w:type="pct"/>
                  <w:noWrap w:val="0"/>
                  <w:vAlign w:val="center"/>
                </w:tcPr>
                <w:p w14:paraId="510836C5">
                  <w:pPr>
                    <w:adjustRightInd w:val="0"/>
                    <w:snapToGrid w:val="0"/>
                    <w:ind w:left="-105" w:leftChars="-50" w:right="-105" w:rightChars="-50"/>
                    <w:jc w:val="center"/>
                    <w:rPr>
                      <w:b/>
                      <w:color w:val="auto"/>
                    </w:rPr>
                  </w:pPr>
                  <w:r>
                    <w:rPr>
                      <w:rFonts w:hAnsi="宋体"/>
                      <w:b/>
                      <w:color w:val="auto"/>
                    </w:rPr>
                    <w:t>声</w:t>
                  </w:r>
                  <w:r>
                    <w:rPr>
                      <w:rFonts w:hint="eastAsia" w:hAnsi="宋体"/>
                      <w:b/>
                      <w:color w:val="auto"/>
                      <w:lang w:eastAsia="zh-CN"/>
                    </w:rPr>
                    <w:t>功率</w:t>
                  </w:r>
                  <w:r>
                    <w:rPr>
                      <w:rFonts w:hAnsi="宋体"/>
                      <w:b/>
                      <w:color w:val="auto"/>
                    </w:rPr>
                    <w:t>级</w:t>
                  </w:r>
                  <w:r>
                    <w:rPr>
                      <w:b/>
                      <w:color w:val="auto"/>
                    </w:rPr>
                    <w:t>/dB(A)</w:t>
                  </w:r>
                </w:p>
              </w:tc>
              <w:tc>
                <w:tcPr>
                  <w:tcW w:w="402" w:type="pct"/>
                  <w:vMerge w:val="continue"/>
                  <w:noWrap w:val="0"/>
                  <w:vAlign w:val="center"/>
                </w:tcPr>
                <w:p w14:paraId="71481876">
                  <w:pPr>
                    <w:adjustRightInd w:val="0"/>
                    <w:snapToGrid w:val="0"/>
                    <w:ind w:left="-105" w:leftChars="-50" w:right="-105" w:rightChars="-50"/>
                    <w:jc w:val="center"/>
                    <w:rPr>
                      <w:b/>
                      <w:color w:val="auto"/>
                    </w:rPr>
                  </w:pPr>
                </w:p>
              </w:tc>
              <w:tc>
                <w:tcPr>
                  <w:tcW w:w="210" w:type="pct"/>
                  <w:noWrap w:val="0"/>
                  <w:vAlign w:val="center"/>
                </w:tcPr>
                <w:p w14:paraId="62E7BAF9">
                  <w:pPr>
                    <w:adjustRightInd w:val="0"/>
                    <w:snapToGrid w:val="0"/>
                    <w:ind w:left="-105" w:leftChars="-50" w:right="-105" w:rightChars="-50"/>
                    <w:jc w:val="center"/>
                    <w:rPr>
                      <w:b/>
                      <w:color w:val="auto"/>
                    </w:rPr>
                  </w:pPr>
                  <w:r>
                    <w:rPr>
                      <w:b/>
                      <w:color w:val="auto"/>
                    </w:rPr>
                    <w:t>X</w:t>
                  </w:r>
                </w:p>
              </w:tc>
              <w:tc>
                <w:tcPr>
                  <w:tcW w:w="210" w:type="pct"/>
                  <w:noWrap w:val="0"/>
                  <w:vAlign w:val="center"/>
                </w:tcPr>
                <w:p w14:paraId="5BBEC22C">
                  <w:pPr>
                    <w:adjustRightInd w:val="0"/>
                    <w:snapToGrid w:val="0"/>
                    <w:ind w:left="-105" w:leftChars="-50" w:right="-105" w:rightChars="-50"/>
                    <w:jc w:val="center"/>
                    <w:rPr>
                      <w:b/>
                      <w:color w:val="auto"/>
                    </w:rPr>
                  </w:pPr>
                  <w:r>
                    <w:rPr>
                      <w:b/>
                      <w:color w:val="auto"/>
                    </w:rPr>
                    <w:t>Y</w:t>
                  </w:r>
                </w:p>
              </w:tc>
              <w:tc>
                <w:tcPr>
                  <w:tcW w:w="229" w:type="pct"/>
                  <w:noWrap w:val="0"/>
                  <w:vAlign w:val="center"/>
                </w:tcPr>
                <w:p w14:paraId="16F127A4">
                  <w:pPr>
                    <w:adjustRightInd w:val="0"/>
                    <w:snapToGrid w:val="0"/>
                    <w:ind w:left="-105" w:leftChars="-50" w:right="-105" w:rightChars="-50"/>
                    <w:jc w:val="center"/>
                    <w:rPr>
                      <w:b/>
                      <w:color w:val="auto"/>
                    </w:rPr>
                  </w:pPr>
                  <w:r>
                    <w:rPr>
                      <w:b/>
                      <w:color w:val="auto"/>
                    </w:rPr>
                    <w:t>Z</w:t>
                  </w:r>
                </w:p>
              </w:tc>
              <w:tc>
                <w:tcPr>
                  <w:tcW w:w="262" w:type="pct"/>
                  <w:vMerge w:val="continue"/>
                  <w:noWrap w:val="0"/>
                  <w:vAlign w:val="center"/>
                </w:tcPr>
                <w:p w14:paraId="157CBDDC">
                  <w:pPr>
                    <w:adjustRightInd w:val="0"/>
                    <w:snapToGrid w:val="0"/>
                    <w:ind w:left="-105" w:leftChars="-50" w:right="-105" w:rightChars="-50"/>
                    <w:jc w:val="center"/>
                    <w:rPr>
                      <w:b/>
                      <w:color w:val="auto"/>
                    </w:rPr>
                  </w:pPr>
                </w:p>
              </w:tc>
              <w:tc>
                <w:tcPr>
                  <w:tcW w:w="260" w:type="pct"/>
                  <w:vMerge w:val="continue"/>
                  <w:noWrap w:val="0"/>
                  <w:vAlign w:val="center"/>
                </w:tcPr>
                <w:p w14:paraId="350E5C91">
                  <w:pPr>
                    <w:adjustRightInd w:val="0"/>
                    <w:snapToGrid w:val="0"/>
                    <w:ind w:left="-105" w:leftChars="-50" w:right="-105" w:rightChars="-50"/>
                    <w:jc w:val="center"/>
                    <w:rPr>
                      <w:b/>
                      <w:color w:val="auto"/>
                    </w:rPr>
                  </w:pPr>
                </w:p>
              </w:tc>
              <w:tc>
                <w:tcPr>
                  <w:tcW w:w="202" w:type="pct"/>
                  <w:vMerge w:val="continue"/>
                  <w:noWrap w:val="0"/>
                  <w:vAlign w:val="center"/>
                </w:tcPr>
                <w:p w14:paraId="72CCCD6B">
                  <w:pPr>
                    <w:adjustRightInd w:val="0"/>
                    <w:snapToGrid w:val="0"/>
                    <w:ind w:left="-105" w:leftChars="-50" w:right="-105" w:rightChars="-50"/>
                    <w:jc w:val="center"/>
                    <w:rPr>
                      <w:b/>
                      <w:color w:val="auto"/>
                    </w:rPr>
                  </w:pPr>
                </w:p>
              </w:tc>
              <w:tc>
                <w:tcPr>
                  <w:tcW w:w="362" w:type="pct"/>
                  <w:vMerge w:val="continue"/>
                  <w:noWrap w:val="0"/>
                  <w:vAlign w:val="center"/>
                </w:tcPr>
                <w:p w14:paraId="13BA154E">
                  <w:pPr>
                    <w:adjustRightInd w:val="0"/>
                    <w:snapToGrid w:val="0"/>
                    <w:ind w:left="-105" w:leftChars="-50" w:right="-105" w:rightChars="-50"/>
                    <w:jc w:val="center"/>
                    <w:rPr>
                      <w:b/>
                      <w:color w:val="auto"/>
                    </w:rPr>
                  </w:pPr>
                </w:p>
              </w:tc>
              <w:tc>
                <w:tcPr>
                  <w:tcW w:w="362" w:type="pct"/>
                  <w:noWrap w:val="0"/>
                  <w:vAlign w:val="center"/>
                </w:tcPr>
                <w:p w14:paraId="6098E981">
                  <w:pPr>
                    <w:adjustRightInd w:val="0"/>
                    <w:snapToGrid w:val="0"/>
                    <w:ind w:left="-105" w:leftChars="-50" w:right="-105" w:rightChars="-50"/>
                    <w:jc w:val="center"/>
                    <w:rPr>
                      <w:b/>
                      <w:color w:val="auto"/>
                    </w:rPr>
                  </w:pPr>
                  <w:r>
                    <w:rPr>
                      <w:rFonts w:hAnsi="宋体"/>
                      <w:b/>
                      <w:color w:val="auto"/>
                    </w:rPr>
                    <w:t>声压级</w:t>
                  </w:r>
                  <w:r>
                    <w:rPr>
                      <w:b/>
                      <w:color w:val="auto"/>
                    </w:rPr>
                    <w:t>/dB(A)</w:t>
                  </w:r>
                </w:p>
              </w:tc>
              <w:tc>
                <w:tcPr>
                  <w:tcW w:w="385" w:type="pct"/>
                  <w:noWrap w:val="0"/>
                  <w:vAlign w:val="center"/>
                </w:tcPr>
                <w:p w14:paraId="6BBD0963">
                  <w:pPr>
                    <w:adjustRightInd w:val="0"/>
                    <w:snapToGrid w:val="0"/>
                    <w:ind w:left="-105" w:leftChars="-50" w:right="-105" w:rightChars="-50"/>
                    <w:jc w:val="center"/>
                    <w:rPr>
                      <w:b/>
                      <w:color w:val="auto"/>
                    </w:rPr>
                  </w:pPr>
                  <w:r>
                    <w:rPr>
                      <w:rFonts w:hAnsi="宋体"/>
                      <w:b/>
                      <w:color w:val="auto"/>
                    </w:rPr>
                    <w:t>建筑物外距离</w:t>
                  </w:r>
                </w:p>
              </w:tc>
            </w:tr>
            <w:tr w14:paraId="28CE18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 w:type="pct"/>
                  <w:noWrap w:val="0"/>
                  <w:vAlign w:val="center"/>
                </w:tcPr>
                <w:p w14:paraId="162199DC">
                  <w:pPr>
                    <w:adjustRightInd w:val="0"/>
                    <w:snapToGrid w:val="0"/>
                    <w:ind w:left="-105" w:leftChars="-50" w:right="-105" w:rightChars="-50"/>
                    <w:jc w:val="center"/>
                    <w:rPr>
                      <w:color w:val="auto"/>
                    </w:rPr>
                  </w:pPr>
                  <w:r>
                    <w:rPr>
                      <w:color w:val="auto"/>
                    </w:rPr>
                    <w:t>1</w:t>
                  </w:r>
                </w:p>
              </w:tc>
              <w:tc>
                <w:tcPr>
                  <w:tcW w:w="212" w:type="pct"/>
                  <w:vMerge w:val="restart"/>
                  <w:noWrap w:val="0"/>
                  <w:vAlign w:val="center"/>
                </w:tcPr>
                <w:p w14:paraId="519D738A">
                  <w:pPr>
                    <w:adjustRightInd w:val="0"/>
                    <w:snapToGrid w:val="0"/>
                    <w:ind w:left="-105" w:leftChars="-50" w:right="-105" w:rightChars="-50"/>
                    <w:jc w:val="center"/>
                    <w:rPr>
                      <w:rFonts w:hint="eastAsia" w:hAnsi="宋体"/>
                      <w:color w:val="auto"/>
                      <w:lang w:eastAsia="zh-CN"/>
                    </w:rPr>
                  </w:pPr>
                  <w:r>
                    <w:rPr>
                      <w:rFonts w:hint="eastAsia" w:hAnsi="宋体"/>
                      <w:color w:val="auto"/>
                      <w:lang w:eastAsia="zh-CN"/>
                    </w:rPr>
                    <w:t>车间</w:t>
                  </w:r>
                </w:p>
              </w:tc>
              <w:tc>
                <w:tcPr>
                  <w:tcW w:w="444" w:type="pct"/>
                  <w:noWrap w:val="0"/>
                  <w:vAlign w:val="center"/>
                </w:tcPr>
                <w:p w14:paraId="1BE835D9">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ascii="Times New Roman" w:hAnsi="Times New Roman" w:eastAsia="宋体" w:cs="Times New Roman"/>
                      <w:color w:val="auto"/>
                      <w:sz w:val="21"/>
                      <w:szCs w:val="21"/>
                      <w:lang w:val="en-US" w:eastAsia="zh-CN"/>
                    </w:rPr>
                  </w:pPr>
                  <w:r>
                    <w:rPr>
                      <w:rFonts w:hint="eastAsia"/>
                      <w:lang w:val="en-US" w:eastAsia="zh-CN"/>
                    </w:rPr>
                    <w:t>1#</w:t>
                  </w:r>
                  <w:r>
                    <w:rPr>
                      <w:rFonts w:hint="eastAsia"/>
                    </w:rPr>
                    <w:t>挤出机</w:t>
                  </w:r>
                </w:p>
              </w:tc>
              <w:tc>
                <w:tcPr>
                  <w:tcW w:w="485" w:type="pct"/>
                  <w:noWrap w:val="0"/>
                  <w:vAlign w:val="center"/>
                </w:tcPr>
                <w:p w14:paraId="558A638A">
                  <w:pPr>
                    <w:widowControl/>
                    <w:adjustRightInd w:val="0"/>
                    <w:snapToGrid w:val="0"/>
                    <w:ind w:left="-105" w:leftChars="-50" w:right="-105" w:rightChars="-50"/>
                    <w:jc w:val="center"/>
                    <w:textAlignment w:val="center"/>
                    <w:rPr>
                      <w:rFonts w:hint="eastAsia" w:eastAsia="宋体"/>
                      <w:color w:val="auto"/>
                      <w:szCs w:val="21"/>
                      <w:lang w:eastAsia="zh-CN"/>
                    </w:rPr>
                  </w:pPr>
                  <w:r>
                    <w:rPr>
                      <w:rFonts w:hint="eastAsia"/>
                    </w:rPr>
                    <w:t>螺杆式65</w:t>
                  </w:r>
                </w:p>
              </w:tc>
              <w:tc>
                <w:tcPr>
                  <w:tcW w:w="230" w:type="pct"/>
                  <w:noWrap w:val="0"/>
                  <w:vAlign w:val="center"/>
                </w:tcPr>
                <w:p w14:paraId="06427E6D">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Cs w:val="21"/>
                      <w:lang w:val="en-US" w:eastAsia="zh-CN"/>
                    </w:rPr>
                  </w:pPr>
                  <w:r>
                    <w:rPr>
                      <w:rFonts w:hint="eastAsia" w:cs="Times New Roman"/>
                      <w:bCs/>
                      <w:color w:val="auto"/>
                      <w:sz w:val="21"/>
                      <w:szCs w:val="21"/>
                      <w:lang w:val="en-US" w:eastAsia="zh-CN"/>
                    </w:rPr>
                    <w:t>1</w:t>
                  </w:r>
                </w:p>
              </w:tc>
              <w:tc>
                <w:tcPr>
                  <w:tcW w:w="552" w:type="pct"/>
                  <w:noWrap w:val="0"/>
                  <w:vAlign w:val="center"/>
                </w:tcPr>
                <w:p w14:paraId="32B015BE">
                  <w:pPr>
                    <w:jc w:val="center"/>
                    <w:rPr>
                      <w:rFonts w:hint="default"/>
                      <w:color w:val="auto"/>
                      <w:szCs w:val="21"/>
                      <w:lang w:val="en-US" w:eastAsia="zh-CN"/>
                    </w:rPr>
                  </w:pPr>
                  <w:r>
                    <w:rPr>
                      <w:rFonts w:hint="eastAsia"/>
                      <w:color w:val="auto"/>
                      <w:szCs w:val="21"/>
                      <w:lang w:val="en-US" w:eastAsia="zh-CN"/>
                    </w:rPr>
                    <w:t>75</w:t>
                  </w:r>
                </w:p>
              </w:tc>
              <w:tc>
                <w:tcPr>
                  <w:tcW w:w="402" w:type="pct"/>
                  <w:vMerge w:val="restart"/>
                  <w:noWrap w:val="0"/>
                  <w:vAlign w:val="center"/>
                </w:tcPr>
                <w:p w14:paraId="4FC6A535">
                  <w:pPr>
                    <w:adjustRightInd w:val="0"/>
                    <w:snapToGrid w:val="0"/>
                    <w:ind w:left="-105" w:leftChars="-50" w:right="-105" w:rightChars="-50"/>
                    <w:jc w:val="center"/>
                    <w:rPr>
                      <w:rFonts w:hAnsi="宋体"/>
                      <w:bCs/>
                      <w:color w:val="auto"/>
                      <w:szCs w:val="20"/>
                    </w:rPr>
                  </w:pPr>
                  <w:r>
                    <w:rPr>
                      <w:rFonts w:hAnsi="宋体"/>
                      <w:bCs/>
                      <w:color w:val="auto"/>
                      <w:szCs w:val="20"/>
                    </w:rPr>
                    <w:t>减振、厂房隔音</w:t>
                  </w:r>
                </w:p>
              </w:tc>
              <w:tc>
                <w:tcPr>
                  <w:tcW w:w="210" w:type="pct"/>
                  <w:noWrap w:val="0"/>
                  <w:vAlign w:val="center"/>
                </w:tcPr>
                <w:p w14:paraId="5E1D8998">
                  <w:pPr>
                    <w:adjustRightInd w:val="0"/>
                    <w:snapToGrid w:val="0"/>
                    <w:ind w:left="-105" w:leftChars="-50" w:right="-105" w:rightChars="-50"/>
                    <w:jc w:val="center"/>
                    <w:rPr>
                      <w:rFonts w:hint="default"/>
                      <w:color w:val="auto"/>
                      <w:lang w:val="en-US" w:eastAsia="zh-CN"/>
                    </w:rPr>
                  </w:pPr>
                  <w:r>
                    <w:rPr>
                      <w:rFonts w:hint="eastAsia"/>
                      <w:color w:val="auto"/>
                      <w:lang w:val="en-US" w:eastAsia="zh-CN"/>
                    </w:rPr>
                    <w:t>9</w:t>
                  </w:r>
                </w:p>
              </w:tc>
              <w:tc>
                <w:tcPr>
                  <w:tcW w:w="210" w:type="pct"/>
                  <w:noWrap w:val="0"/>
                  <w:vAlign w:val="center"/>
                </w:tcPr>
                <w:p w14:paraId="713845BA">
                  <w:pPr>
                    <w:adjustRightInd w:val="0"/>
                    <w:snapToGrid w:val="0"/>
                    <w:ind w:left="-105" w:leftChars="-50" w:right="-105" w:rightChars="-50"/>
                    <w:jc w:val="center"/>
                    <w:rPr>
                      <w:rFonts w:hint="default"/>
                      <w:color w:val="auto"/>
                      <w:lang w:val="en-US" w:eastAsia="zh-CN"/>
                    </w:rPr>
                  </w:pPr>
                  <w:r>
                    <w:rPr>
                      <w:rFonts w:hint="eastAsia"/>
                      <w:color w:val="auto"/>
                      <w:lang w:val="en-US" w:eastAsia="zh-CN"/>
                    </w:rPr>
                    <w:t>14</w:t>
                  </w:r>
                </w:p>
              </w:tc>
              <w:tc>
                <w:tcPr>
                  <w:tcW w:w="229" w:type="pct"/>
                  <w:noWrap w:val="0"/>
                  <w:vAlign w:val="center"/>
                </w:tcPr>
                <w:p w14:paraId="18A010E2">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704" w:type="dxa"/>
                  <w:noWrap w:val="0"/>
                  <w:vAlign w:val="center"/>
                </w:tcPr>
                <w:p w14:paraId="6DA9646F">
                  <w:pPr>
                    <w:adjustRightInd w:val="0"/>
                    <w:snapToGrid w:val="0"/>
                    <w:ind w:left="-105" w:leftChars="-50" w:right="-105" w:rightChars="-50"/>
                    <w:jc w:val="center"/>
                    <w:rPr>
                      <w:rFonts w:hint="default"/>
                      <w:color w:val="auto"/>
                      <w:lang w:val="en-US" w:eastAsia="zh-CN"/>
                    </w:rPr>
                  </w:pPr>
                  <w:r>
                    <w:rPr>
                      <w:rFonts w:hint="eastAsia"/>
                      <w:color w:val="auto"/>
                      <w:lang w:val="en-US" w:eastAsia="zh-CN"/>
                    </w:rPr>
                    <w:t>9</w:t>
                  </w:r>
                </w:p>
              </w:tc>
              <w:tc>
                <w:tcPr>
                  <w:tcW w:w="260" w:type="pct"/>
                  <w:noWrap w:val="0"/>
                  <w:vAlign w:val="center"/>
                </w:tcPr>
                <w:p w14:paraId="198B2E42">
                  <w:pPr>
                    <w:adjustRightInd w:val="0"/>
                    <w:snapToGrid w:val="0"/>
                    <w:ind w:left="-105" w:leftChars="-50" w:right="-105" w:rightChars="-50"/>
                    <w:jc w:val="center"/>
                    <w:rPr>
                      <w:rFonts w:hint="default"/>
                      <w:color w:val="auto"/>
                      <w:lang w:val="en-US" w:eastAsia="zh-CN"/>
                    </w:rPr>
                  </w:pPr>
                  <w:r>
                    <w:rPr>
                      <w:rFonts w:hint="eastAsia"/>
                      <w:color w:val="auto"/>
                      <w:lang w:val="en-US" w:eastAsia="zh-CN"/>
                    </w:rPr>
                    <w:t>55.9</w:t>
                  </w:r>
                </w:p>
              </w:tc>
              <w:tc>
                <w:tcPr>
                  <w:tcW w:w="202" w:type="pct"/>
                  <w:noWrap w:val="0"/>
                  <w:vAlign w:val="center"/>
                </w:tcPr>
                <w:p w14:paraId="05A6BEB3">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362" w:type="pct"/>
                  <w:noWrap w:val="0"/>
                  <w:vAlign w:val="center"/>
                </w:tcPr>
                <w:p w14:paraId="28487440">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362" w:type="pct"/>
                  <w:noWrap w:val="0"/>
                  <w:vAlign w:val="center"/>
                </w:tcPr>
                <w:p w14:paraId="78B7380F">
                  <w:pPr>
                    <w:adjustRightInd w:val="0"/>
                    <w:snapToGrid w:val="0"/>
                    <w:ind w:left="-105" w:leftChars="-50" w:right="-105" w:rightChars="-50"/>
                    <w:jc w:val="center"/>
                    <w:rPr>
                      <w:rFonts w:hint="default"/>
                      <w:color w:val="auto"/>
                      <w:lang w:val="en-US" w:eastAsia="zh-CN"/>
                    </w:rPr>
                  </w:pPr>
                  <w:r>
                    <w:rPr>
                      <w:rFonts w:hint="eastAsia"/>
                      <w:color w:val="auto"/>
                      <w:lang w:val="en-US" w:eastAsia="zh-CN"/>
                    </w:rPr>
                    <w:t>35.9</w:t>
                  </w:r>
                </w:p>
              </w:tc>
              <w:tc>
                <w:tcPr>
                  <w:tcW w:w="385" w:type="pct"/>
                  <w:noWrap w:val="0"/>
                  <w:vAlign w:val="center"/>
                </w:tcPr>
                <w:p w14:paraId="5400623B">
                  <w:pPr>
                    <w:adjustRightInd w:val="0"/>
                    <w:snapToGrid w:val="0"/>
                    <w:ind w:left="-105" w:leftChars="-50" w:right="-105" w:rightChars="-50"/>
                    <w:jc w:val="center"/>
                    <w:rPr>
                      <w:color w:val="auto"/>
                    </w:rPr>
                  </w:pPr>
                  <w:r>
                    <w:rPr>
                      <w:color w:val="auto"/>
                    </w:rPr>
                    <w:t>1m</w:t>
                  </w:r>
                </w:p>
              </w:tc>
            </w:tr>
            <w:tr w14:paraId="0D98F3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 w:type="pct"/>
                  <w:noWrap w:val="0"/>
                  <w:vAlign w:val="center"/>
                </w:tcPr>
                <w:p w14:paraId="67F3CA34">
                  <w:pPr>
                    <w:adjustRightInd w:val="0"/>
                    <w:snapToGrid w:val="0"/>
                    <w:ind w:left="-105" w:leftChars="-50" w:right="-105" w:rightChars="-50"/>
                    <w:jc w:val="center"/>
                    <w:rPr>
                      <w:rFonts w:hint="eastAsia" w:eastAsia="宋体"/>
                      <w:color w:val="auto"/>
                      <w:lang w:val="en-US" w:eastAsia="zh-CN"/>
                    </w:rPr>
                  </w:pPr>
                  <w:r>
                    <w:rPr>
                      <w:rFonts w:hint="eastAsia"/>
                      <w:color w:val="auto"/>
                      <w:lang w:val="en-US" w:eastAsia="zh-CN"/>
                    </w:rPr>
                    <w:t>2</w:t>
                  </w:r>
                </w:p>
              </w:tc>
              <w:tc>
                <w:tcPr>
                  <w:tcW w:w="212" w:type="pct"/>
                  <w:vMerge w:val="continue"/>
                  <w:noWrap w:val="0"/>
                  <w:vAlign w:val="center"/>
                </w:tcPr>
                <w:p w14:paraId="26C0184A">
                  <w:pPr>
                    <w:adjustRightInd w:val="0"/>
                    <w:snapToGrid w:val="0"/>
                    <w:ind w:left="-105" w:leftChars="-50" w:right="-105" w:rightChars="-50"/>
                    <w:jc w:val="center"/>
                    <w:rPr>
                      <w:rFonts w:hint="eastAsia" w:hAnsi="宋体"/>
                      <w:color w:val="auto"/>
                      <w:lang w:eastAsia="zh-CN"/>
                    </w:rPr>
                  </w:pPr>
                </w:p>
              </w:tc>
              <w:tc>
                <w:tcPr>
                  <w:tcW w:w="444" w:type="pct"/>
                  <w:noWrap w:val="0"/>
                  <w:vAlign w:val="center"/>
                </w:tcPr>
                <w:p w14:paraId="7DC5F489">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rPr>
                  </w:pPr>
                  <w:r>
                    <w:rPr>
                      <w:rFonts w:hint="eastAsia"/>
                      <w:lang w:val="en-US" w:eastAsia="zh-CN"/>
                    </w:rPr>
                    <w:t>2#</w:t>
                  </w:r>
                  <w:r>
                    <w:rPr>
                      <w:rFonts w:hint="eastAsia"/>
                    </w:rPr>
                    <w:t>挤出机</w:t>
                  </w:r>
                </w:p>
              </w:tc>
              <w:tc>
                <w:tcPr>
                  <w:tcW w:w="485" w:type="pct"/>
                  <w:noWrap w:val="0"/>
                  <w:vAlign w:val="center"/>
                </w:tcPr>
                <w:p w14:paraId="7A2B188F">
                  <w:pPr>
                    <w:widowControl/>
                    <w:adjustRightInd w:val="0"/>
                    <w:snapToGrid w:val="0"/>
                    <w:ind w:left="-105" w:leftChars="-50" w:right="-105" w:rightChars="-50"/>
                    <w:jc w:val="center"/>
                    <w:textAlignment w:val="center"/>
                    <w:rPr>
                      <w:rFonts w:hint="eastAsia"/>
                      <w:color w:val="auto"/>
                      <w:szCs w:val="21"/>
                    </w:rPr>
                  </w:pPr>
                  <w:r>
                    <w:rPr>
                      <w:rFonts w:hint="eastAsia"/>
                    </w:rPr>
                    <w:t>螺杆式65</w:t>
                  </w:r>
                </w:p>
              </w:tc>
              <w:tc>
                <w:tcPr>
                  <w:tcW w:w="230" w:type="pct"/>
                  <w:noWrap w:val="0"/>
                  <w:vAlign w:val="center"/>
                </w:tcPr>
                <w:p w14:paraId="7DB2294E">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552" w:type="pct"/>
                  <w:noWrap w:val="0"/>
                  <w:vAlign w:val="center"/>
                </w:tcPr>
                <w:p w14:paraId="1BD219B2">
                  <w:pPr>
                    <w:jc w:val="center"/>
                    <w:rPr>
                      <w:rFonts w:hint="eastAsia"/>
                      <w:color w:val="auto"/>
                      <w:szCs w:val="21"/>
                      <w:lang w:val="en-US" w:eastAsia="zh-CN"/>
                    </w:rPr>
                  </w:pPr>
                  <w:r>
                    <w:rPr>
                      <w:rFonts w:hint="eastAsia"/>
                      <w:color w:val="auto"/>
                      <w:szCs w:val="21"/>
                      <w:lang w:val="en-US" w:eastAsia="zh-CN"/>
                    </w:rPr>
                    <w:t>75</w:t>
                  </w:r>
                </w:p>
              </w:tc>
              <w:tc>
                <w:tcPr>
                  <w:tcW w:w="402" w:type="pct"/>
                  <w:vMerge w:val="continue"/>
                  <w:noWrap w:val="0"/>
                  <w:vAlign w:val="center"/>
                </w:tcPr>
                <w:p w14:paraId="26735A2A">
                  <w:pPr>
                    <w:adjustRightInd w:val="0"/>
                    <w:snapToGrid w:val="0"/>
                    <w:ind w:left="-105" w:leftChars="-50" w:right="-105" w:rightChars="-50"/>
                    <w:jc w:val="center"/>
                    <w:rPr>
                      <w:rFonts w:hAnsi="宋体"/>
                      <w:bCs/>
                      <w:color w:val="auto"/>
                      <w:szCs w:val="20"/>
                    </w:rPr>
                  </w:pPr>
                </w:p>
              </w:tc>
              <w:tc>
                <w:tcPr>
                  <w:tcW w:w="210" w:type="pct"/>
                  <w:noWrap w:val="0"/>
                  <w:vAlign w:val="center"/>
                </w:tcPr>
                <w:p w14:paraId="19686B84">
                  <w:pPr>
                    <w:adjustRightInd w:val="0"/>
                    <w:snapToGrid w:val="0"/>
                    <w:ind w:left="-105" w:leftChars="-50" w:right="-105" w:rightChars="-50"/>
                    <w:jc w:val="center"/>
                    <w:rPr>
                      <w:rFonts w:hint="default"/>
                      <w:color w:val="auto"/>
                      <w:lang w:val="en-US" w:eastAsia="zh-CN"/>
                    </w:rPr>
                  </w:pPr>
                  <w:r>
                    <w:rPr>
                      <w:rFonts w:hint="eastAsia"/>
                      <w:color w:val="auto"/>
                      <w:lang w:val="en-US" w:eastAsia="zh-CN"/>
                    </w:rPr>
                    <w:t>9</w:t>
                  </w:r>
                </w:p>
              </w:tc>
              <w:tc>
                <w:tcPr>
                  <w:tcW w:w="210" w:type="pct"/>
                  <w:noWrap w:val="0"/>
                  <w:vAlign w:val="center"/>
                </w:tcPr>
                <w:p w14:paraId="508800DA">
                  <w:pPr>
                    <w:adjustRightInd w:val="0"/>
                    <w:snapToGrid w:val="0"/>
                    <w:ind w:left="-105" w:leftChars="-50" w:right="-105" w:rightChars="-50"/>
                    <w:jc w:val="center"/>
                    <w:rPr>
                      <w:rFonts w:hint="default"/>
                      <w:color w:val="auto"/>
                      <w:lang w:val="en-US" w:eastAsia="zh-CN"/>
                    </w:rPr>
                  </w:pPr>
                  <w:r>
                    <w:rPr>
                      <w:rFonts w:hint="eastAsia"/>
                      <w:color w:val="auto"/>
                      <w:lang w:val="en-US" w:eastAsia="zh-CN"/>
                    </w:rPr>
                    <w:t>17</w:t>
                  </w:r>
                </w:p>
              </w:tc>
              <w:tc>
                <w:tcPr>
                  <w:tcW w:w="229" w:type="pct"/>
                  <w:noWrap w:val="0"/>
                  <w:vAlign w:val="center"/>
                </w:tcPr>
                <w:p w14:paraId="5636B201">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04" w:type="dxa"/>
                  <w:noWrap w:val="0"/>
                  <w:vAlign w:val="center"/>
                </w:tcPr>
                <w:p w14:paraId="356E0A1A">
                  <w:pPr>
                    <w:adjustRightInd w:val="0"/>
                    <w:snapToGrid w:val="0"/>
                    <w:ind w:left="-105" w:leftChars="-50" w:right="-105" w:rightChars="-50"/>
                    <w:jc w:val="center"/>
                    <w:rPr>
                      <w:rFonts w:hint="default"/>
                      <w:color w:val="auto"/>
                      <w:lang w:val="en-US" w:eastAsia="zh-CN"/>
                    </w:rPr>
                  </w:pPr>
                  <w:r>
                    <w:rPr>
                      <w:rFonts w:hint="eastAsia"/>
                      <w:color w:val="auto"/>
                      <w:lang w:val="en-US" w:eastAsia="zh-CN"/>
                    </w:rPr>
                    <w:t>9</w:t>
                  </w:r>
                </w:p>
              </w:tc>
              <w:tc>
                <w:tcPr>
                  <w:tcW w:w="260" w:type="pct"/>
                  <w:noWrap w:val="0"/>
                  <w:vAlign w:val="center"/>
                </w:tcPr>
                <w:p w14:paraId="0412D4B8">
                  <w:pPr>
                    <w:adjustRightInd w:val="0"/>
                    <w:snapToGrid w:val="0"/>
                    <w:ind w:left="-105" w:leftChars="-50" w:right="-105" w:rightChars="-50"/>
                    <w:jc w:val="center"/>
                    <w:rPr>
                      <w:rFonts w:hint="default"/>
                      <w:color w:val="auto"/>
                      <w:lang w:val="en-US" w:eastAsia="zh-CN"/>
                    </w:rPr>
                  </w:pPr>
                  <w:r>
                    <w:rPr>
                      <w:rFonts w:hint="eastAsia"/>
                      <w:color w:val="auto"/>
                      <w:lang w:val="en-US" w:eastAsia="zh-CN"/>
                    </w:rPr>
                    <w:t>55.9</w:t>
                  </w:r>
                </w:p>
              </w:tc>
              <w:tc>
                <w:tcPr>
                  <w:tcW w:w="543" w:type="dxa"/>
                  <w:noWrap w:val="0"/>
                  <w:vAlign w:val="center"/>
                </w:tcPr>
                <w:p w14:paraId="215A6EF7">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973" w:type="dxa"/>
                  <w:noWrap w:val="0"/>
                  <w:vAlign w:val="center"/>
                </w:tcPr>
                <w:p w14:paraId="11DD91D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362" w:type="pct"/>
                  <w:noWrap w:val="0"/>
                  <w:vAlign w:val="center"/>
                </w:tcPr>
                <w:p w14:paraId="6245821E">
                  <w:pPr>
                    <w:adjustRightInd w:val="0"/>
                    <w:snapToGrid w:val="0"/>
                    <w:ind w:left="-105" w:leftChars="-50" w:right="-105" w:rightChars="-50"/>
                    <w:jc w:val="center"/>
                    <w:rPr>
                      <w:rFonts w:hint="eastAsia"/>
                      <w:color w:val="auto"/>
                      <w:lang w:val="en-US" w:eastAsia="zh-CN"/>
                    </w:rPr>
                  </w:pPr>
                  <w:r>
                    <w:rPr>
                      <w:rFonts w:hint="eastAsia"/>
                      <w:color w:val="auto"/>
                      <w:lang w:val="en-US" w:eastAsia="zh-CN"/>
                    </w:rPr>
                    <w:t>35.9</w:t>
                  </w:r>
                </w:p>
              </w:tc>
              <w:tc>
                <w:tcPr>
                  <w:tcW w:w="385" w:type="pct"/>
                  <w:noWrap w:val="0"/>
                  <w:vAlign w:val="center"/>
                </w:tcPr>
                <w:p w14:paraId="08940FC7">
                  <w:pPr>
                    <w:adjustRightInd w:val="0"/>
                    <w:snapToGrid w:val="0"/>
                    <w:ind w:left="-105" w:leftChars="-50" w:right="-105" w:rightChars="-50"/>
                    <w:jc w:val="center"/>
                    <w:rPr>
                      <w:color w:val="auto"/>
                    </w:rPr>
                  </w:pPr>
                  <w:r>
                    <w:rPr>
                      <w:color w:val="auto"/>
                    </w:rPr>
                    <w:t>1m</w:t>
                  </w:r>
                </w:p>
              </w:tc>
            </w:tr>
            <w:tr w14:paraId="68EF14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 w:type="pct"/>
                  <w:noWrap w:val="0"/>
                  <w:vAlign w:val="center"/>
                </w:tcPr>
                <w:p w14:paraId="094988D3">
                  <w:pPr>
                    <w:adjustRightInd w:val="0"/>
                    <w:snapToGrid w:val="0"/>
                    <w:ind w:left="-105" w:leftChars="-50" w:right="-105" w:rightChars="-50"/>
                    <w:jc w:val="center"/>
                    <w:rPr>
                      <w:rFonts w:hint="default" w:eastAsia="宋体"/>
                      <w:color w:val="auto"/>
                      <w:lang w:val="en-US" w:eastAsia="zh-CN"/>
                    </w:rPr>
                  </w:pPr>
                  <w:r>
                    <w:rPr>
                      <w:rFonts w:hint="eastAsia"/>
                      <w:color w:val="auto"/>
                      <w:lang w:val="en-US" w:eastAsia="zh-CN"/>
                    </w:rPr>
                    <w:t>3</w:t>
                  </w:r>
                </w:p>
              </w:tc>
              <w:tc>
                <w:tcPr>
                  <w:tcW w:w="212" w:type="pct"/>
                  <w:vMerge w:val="continue"/>
                  <w:noWrap w:val="0"/>
                  <w:vAlign w:val="center"/>
                </w:tcPr>
                <w:p w14:paraId="439E997E">
                  <w:pPr>
                    <w:adjustRightInd w:val="0"/>
                    <w:snapToGrid w:val="0"/>
                    <w:ind w:left="-105" w:leftChars="-50" w:right="-105" w:rightChars="-50"/>
                    <w:jc w:val="center"/>
                    <w:rPr>
                      <w:rFonts w:hint="eastAsia" w:hAnsi="宋体"/>
                      <w:color w:val="auto"/>
                      <w:lang w:eastAsia="zh-CN"/>
                    </w:rPr>
                  </w:pPr>
                </w:p>
              </w:tc>
              <w:tc>
                <w:tcPr>
                  <w:tcW w:w="444" w:type="pct"/>
                  <w:noWrap w:val="0"/>
                  <w:vAlign w:val="center"/>
                </w:tcPr>
                <w:p w14:paraId="733884E8">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ascii="Times New Roman" w:hAnsi="Times New Roman" w:eastAsia="宋体" w:cs="Times New Roman"/>
                      <w:color w:val="auto"/>
                      <w:sz w:val="21"/>
                      <w:szCs w:val="21"/>
                      <w:lang w:val="en-US" w:eastAsia="zh-CN"/>
                    </w:rPr>
                  </w:pPr>
                  <w:r>
                    <w:rPr>
                      <w:rFonts w:hint="eastAsia"/>
                      <w:lang w:val="en-US" w:eastAsia="zh-CN"/>
                    </w:rPr>
                    <w:t>1#</w:t>
                  </w:r>
                  <w:r>
                    <w:rPr>
                      <w:rFonts w:hint="eastAsia"/>
                    </w:rPr>
                    <w:t>压塑机</w:t>
                  </w:r>
                </w:p>
              </w:tc>
              <w:tc>
                <w:tcPr>
                  <w:tcW w:w="485" w:type="pct"/>
                  <w:noWrap w:val="0"/>
                  <w:vAlign w:val="center"/>
                </w:tcPr>
                <w:p w14:paraId="2AB4A223">
                  <w:pPr>
                    <w:widowControl/>
                    <w:adjustRightInd w:val="0"/>
                    <w:snapToGrid w:val="0"/>
                    <w:ind w:left="-105" w:leftChars="-50" w:right="-105" w:rightChars="-50"/>
                    <w:jc w:val="center"/>
                    <w:textAlignment w:val="center"/>
                    <w:rPr>
                      <w:rFonts w:hint="eastAsia"/>
                      <w:color w:val="auto"/>
                      <w:szCs w:val="21"/>
                    </w:rPr>
                  </w:pPr>
                  <w:r>
                    <w:rPr>
                      <w:rFonts w:hint="eastAsia"/>
                    </w:rPr>
                    <w:t>YD32-200T</w:t>
                  </w:r>
                </w:p>
              </w:tc>
              <w:tc>
                <w:tcPr>
                  <w:tcW w:w="230" w:type="pct"/>
                  <w:noWrap w:val="0"/>
                  <w:vAlign w:val="center"/>
                </w:tcPr>
                <w:p w14:paraId="01F3E6D7">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Cs w:val="21"/>
                      <w:lang w:val="en-US" w:eastAsia="zh-CN"/>
                    </w:rPr>
                  </w:pPr>
                  <w:r>
                    <w:rPr>
                      <w:rFonts w:hint="eastAsia" w:cs="Times New Roman"/>
                      <w:bCs/>
                      <w:color w:val="auto"/>
                      <w:sz w:val="21"/>
                      <w:szCs w:val="21"/>
                      <w:lang w:val="en-US" w:eastAsia="zh-CN"/>
                    </w:rPr>
                    <w:t>1</w:t>
                  </w:r>
                </w:p>
              </w:tc>
              <w:tc>
                <w:tcPr>
                  <w:tcW w:w="552" w:type="pct"/>
                  <w:noWrap w:val="0"/>
                  <w:vAlign w:val="center"/>
                </w:tcPr>
                <w:p w14:paraId="4625398C">
                  <w:pPr>
                    <w:jc w:val="center"/>
                    <w:rPr>
                      <w:rFonts w:hint="default"/>
                      <w:color w:val="auto"/>
                      <w:szCs w:val="21"/>
                      <w:lang w:val="en-US" w:eastAsia="zh-CN"/>
                    </w:rPr>
                  </w:pPr>
                  <w:r>
                    <w:rPr>
                      <w:rFonts w:hint="eastAsia"/>
                      <w:color w:val="auto"/>
                      <w:szCs w:val="21"/>
                      <w:lang w:val="en-US" w:eastAsia="zh-CN"/>
                    </w:rPr>
                    <w:t>75</w:t>
                  </w:r>
                </w:p>
              </w:tc>
              <w:tc>
                <w:tcPr>
                  <w:tcW w:w="402" w:type="pct"/>
                  <w:vMerge w:val="continue"/>
                  <w:noWrap w:val="0"/>
                  <w:vAlign w:val="center"/>
                </w:tcPr>
                <w:p w14:paraId="502269C8">
                  <w:pPr>
                    <w:adjustRightInd w:val="0"/>
                    <w:snapToGrid w:val="0"/>
                    <w:ind w:left="-105" w:leftChars="-50" w:right="-105" w:rightChars="-50"/>
                    <w:jc w:val="center"/>
                    <w:rPr>
                      <w:rFonts w:hAnsi="宋体"/>
                      <w:bCs/>
                      <w:color w:val="auto"/>
                      <w:szCs w:val="20"/>
                    </w:rPr>
                  </w:pPr>
                </w:p>
              </w:tc>
              <w:tc>
                <w:tcPr>
                  <w:tcW w:w="210" w:type="pct"/>
                  <w:noWrap w:val="0"/>
                  <w:vAlign w:val="center"/>
                </w:tcPr>
                <w:p w14:paraId="67B3FC7A">
                  <w:pPr>
                    <w:adjustRightInd w:val="0"/>
                    <w:snapToGrid w:val="0"/>
                    <w:ind w:left="-105" w:leftChars="-50" w:right="-105" w:rightChars="-50"/>
                    <w:jc w:val="center"/>
                    <w:rPr>
                      <w:rFonts w:hint="default"/>
                      <w:color w:val="auto"/>
                      <w:lang w:val="en-US" w:eastAsia="zh-CN"/>
                    </w:rPr>
                  </w:pPr>
                  <w:r>
                    <w:rPr>
                      <w:rFonts w:hint="eastAsia"/>
                      <w:color w:val="auto"/>
                      <w:lang w:val="en-US" w:eastAsia="zh-CN"/>
                    </w:rPr>
                    <w:t>11</w:t>
                  </w:r>
                </w:p>
              </w:tc>
              <w:tc>
                <w:tcPr>
                  <w:tcW w:w="210" w:type="pct"/>
                  <w:noWrap w:val="0"/>
                  <w:vAlign w:val="center"/>
                </w:tcPr>
                <w:p w14:paraId="65AC66E9">
                  <w:pPr>
                    <w:adjustRightInd w:val="0"/>
                    <w:snapToGrid w:val="0"/>
                    <w:ind w:left="-105" w:leftChars="-50" w:right="-105" w:rightChars="-50"/>
                    <w:jc w:val="center"/>
                    <w:rPr>
                      <w:rFonts w:hint="default"/>
                      <w:color w:val="auto"/>
                      <w:lang w:val="en-US" w:eastAsia="zh-CN"/>
                    </w:rPr>
                  </w:pPr>
                  <w:r>
                    <w:rPr>
                      <w:rFonts w:hint="eastAsia"/>
                      <w:color w:val="auto"/>
                      <w:lang w:val="en-US" w:eastAsia="zh-CN"/>
                    </w:rPr>
                    <w:t>20</w:t>
                  </w:r>
                </w:p>
              </w:tc>
              <w:tc>
                <w:tcPr>
                  <w:tcW w:w="229" w:type="pct"/>
                  <w:noWrap w:val="0"/>
                  <w:vAlign w:val="center"/>
                </w:tcPr>
                <w:p w14:paraId="79C7C1A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04" w:type="dxa"/>
                  <w:noWrap w:val="0"/>
                  <w:vAlign w:val="center"/>
                </w:tcPr>
                <w:p w14:paraId="7BE4A50F">
                  <w:pPr>
                    <w:adjustRightInd w:val="0"/>
                    <w:snapToGrid w:val="0"/>
                    <w:ind w:left="-105" w:leftChars="-50" w:right="-105" w:rightChars="-50"/>
                    <w:jc w:val="center"/>
                    <w:rPr>
                      <w:rFonts w:hint="default"/>
                      <w:color w:val="auto"/>
                      <w:lang w:val="en-US" w:eastAsia="zh-CN"/>
                    </w:rPr>
                  </w:pPr>
                  <w:r>
                    <w:rPr>
                      <w:rFonts w:hint="eastAsia"/>
                      <w:color w:val="auto"/>
                      <w:lang w:val="en-US" w:eastAsia="zh-CN"/>
                    </w:rPr>
                    <w:t>11</w:t>
                  </w:r>
                </w:p>
              </w:tc>
              <w:tc>
                <w:tcPr>
                  <w:tcW w:w="260" w:type="pct"/>
                  <w:noWrap w:val="0"/>
                  <w:vAlign w:val="center"/>
                </w:tcPr>
                <w:p w14:paraId="399175A8">
                  <w:pPr>
                    <w:adjustRightInd w:val="0"/>
                    <w:snapToGrid w:val="0"/>
                    <w:ind w:left="-105" w:leftChars="-50" w:right="-105" w:rightChars="-50"/>
                    <w:jc w:val="center"/>
                    <w:rPr>
                      <w:rFonts w:hint="default"/>
                      <w:color w:val="auto"/>
                      <w:lang w:val="en-US" w:eastAsia="zh-CN"/>
                    </w:rPr>
                  </w:pPr>
                  <w:r>
                    <w:rPr>
                      <w:rFonts w:hint="eastAsia"/>
                      <w:color w:val="auto"/>
                      <w:lang w:val="en-US" w:eastAsia="zh-CN"/>
                    </w:rPr>
                    <w:t>54.2</w:t>
                  </w:r>
                </w:p>
              </w:tc>
              <w:tc>
                <w:tcPr>
                  <w:tcW w:w="543" w:type="dxa"/>
                  <w:noWrap w:val="0"/>
                  <w:vAlign w:val="center"/>
                </w:tcPr>
                <w:p w14:paraId="70BAFFEE">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973" w:type="dxa"/>
                  <w:noWrap w:val="0"/>
                  <w:vAlign w:val="center"/>
                </w:tcPr>
                <w:p w14:paraId="410ABE5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362" w:type="pct"/>
                  <w:noWrap w:val="0"/>
                  <w:vAlign w:val="center"/>
                </w:tcPr>
                <w:p w14:paraId="5E9CAF4A">
                  <w:pPr>
                    <w:adjustRightInd w:val="0"/>
                    <w:snapToGrid w:val="0"/>
                    <w:ind w:left="-105" w:leftChars="-50" w:right="-105" w:rightChars="-50"/>
                    <w:jc w:val="center"/>
                    <w:rPr>
                      <w:rFonts w:hint="default"/>
                      <w:color w:val="auto"/>
                      <w:lang w:val="en-US" w:eastAsia="zh-CN"/>
                    </w:rPr>
                  </w:pPr>
                  <w:r>
                    <w:rPr>
                      <w:rFonts w:hint="eastAsia"/>
                      <w:color w:val="auto"/>
                      <w:lang w:val="en-US" w:eastAsia="zh-CN"/>
                    </w:rPr>
                    <w:t>34.2</w:t>
                  </w:r>
                </w:p>
              </w:tc>
              <w:tc>
                <w:tcPr>
                  <w:tcW w:w="385" w:type="pct"/>
                  <w:noWrap w:val="0"/>
                  <w:vAlign w:val="center"/>
                </w:tcPr>
                <w:p w14:paraId="0DA761B0">
                  <w:pPr>
                    <w:adjustRightInd w:val="0"/>
                    <w:snapToGrid w:val="0"/>
                    <w:ind w:left="-105" w:leftChars="-50" w:right="-105" w:rightChars="-50"/>
                    <w:jc w:val="center"/>
                    <w:rPr>
                      <w:color w:val="auto"/>
                    </w:rPr>
                  </w:pPr>
                  <w:r>
                    <w:rPr>
                      <w:color w:val="auto"/>
                    </w:rPr>
                    <w:t>1m</w:t>
                  </w:r>
                </w:p>
              </w:tc>
            </w:tr>
            <w:tr w14:paraId="78E668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 w:type="pct"/>
                  <w:noWrap w:val="0"/>
                  <w:vAlign w:val="center"/>
                </w:tcPr>
                <w:p w14:paraId="7DAD001A">
                  <w:pPr>
                    <w:adjustRightInd w:val="0"/>
                    <w:snapToGrid w:val="0"/>
                    <w:ind w:left="-105" w:leftChars="-50" w:right="-105" w:rightChars="-50"/>
                    <w:jc w:val="center"/>
                    <w:rPr>
                      <w:rFonts w:hint="default"/>
                      <w:color w:val="auto"/>
                      <w:lang w:val="en-US" w:eastAsia="zh-CN"/>
                    </w:rPr>
                  </w:pPr>
                  <w:r>
                    <w:rPr>
                      <w:rFonts w:hint="eastAsia"/>
                      <w:color w:val="auto"/>
                      <w:lang w:val="en-US" w:eastAsia="zh-CN"/>
                    </w:rPr>
                    <w:t>4</w:t>
                  </w:r>
                </w:p>
              </w:tc>
              <w:tc>
                <w:tcPr>
                  <w:tcW w:w="212" w:type="pct"/>
                  <w:vMerge w:val="continue"/>
                  <w:noWrap w:val="0"/>
                  <w:vAlign w:val="center"/>
                </w:tcPr>
                <w:p w14:paraId="3351A045">
                  <w:pPr>
                    <w:adjustRightInd w:val="0"/>
                    <w:snapToGrid w:val="0"/>
                    <w:ind w:left="-105" w:leftChars="-50" w:right="-105" w:rightChars="-50"/>
                    <w:jc w:val="center"/>
                    <w:rPr>
                      <w:rFonts w:hint="eastAsia" w:hAnsi="宋体"/>
                      <w:color w:val="auto"/>
                      <w:lang w:eastAsia="zh-CN"/>
                    </w:rPr>
                  </w:pPr>
                </w:p>
              </w:tc>
              <w:tc>
                <w:tcPr>
                  <w:tcW w:w="444" w:type="pct"/>
                  <w:noWrap w:val="0"/>
                  <w:vAlign w:val="center"/>
                </w:tcPr>
                <w:p w14:paraId="33EBB7E8">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lang w:val="en-US" w:eastAsia="zh-CN"/>
                    </w:rPr>
                  </w:pPr>
                  <w:r>
                    <w:rPr>
                      <w:rFonts w:hint="eastAsia"/>
                      <w:lang w:val="en-US" w:eastAsia="zh-CN"/>
                    </w:rPr>
                    <w:t>2#</w:t>
                  </w:r>
                  <w:r>
                    <w:rPr>
                      <w:rFonts w:hint="eastAsia"/>
                    </w:rPr>
                    <w:t>压塑机</w:t>
                  </w:r>
                </w:p>
              </w:tc>
              <w:tc>
                <w:tcPr>
                  <w:tcW w:w="485" w:type="pct"/>
                  <w:noWrap w:val="0"/>
                  <w:vAlign w:val="center"/>
                </w:tcPr>
                <w:p w14:paraId="5D9A63DE">
                  <w:pPr>
                    <w:widowControl/>
                    <w:adjustRightInd w:val="0"/>
                    <w:snapToGrid w:val="0"/>
                    <w:ind w:left="-105" w:leftChars="-50" w:right="-105" w:rightChars="-50"/>
                    <w:jc w:val="center"/>
                    <w:textAlignment w:val="center"/>
                    <w:rPr>
                      <w:rFonts w:hint="eastAsia"/>
                      <w:color w:val="auto"/>
                      <w:szCs w:val="21"/>
                    </w:rPr>
                  </w:pPr>
                  <w:r>
                    <w:rPr>
                      <w:rFonts w:hint="eastAsia"/>
                    </w:rPr>
                    <w:t>YD32-200T</w:t>
                  </w:r>
                </w:p>
              </w:tc>
              <w:tc>
                <w:tcPr>
                  <w:tcW w:w="230" w:type="pct"/>
                  <w:noWrap w:val="0"/>
                  <w:vAlign w:val="center"/>
                </w:tcPr>
                <w:p w14:paraId="0F6EA6CE">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552" w:type="pct"/>
                  <w:noWrap w:val="0"/>
                  <w:vAlign w:val="center"/>
                </w:tcPr>
                <w:p w14:paraId="45A9C0F8">
                  <w:pPr>
                    <w:jc w:val="center"/>
                    <w:rPr>
                      <w:rFonts w:hint="eastAsia"/>
                      <w:color w:val="auto"/>
                      <w:szCs w:val="21"/>
                      <w:lang w:val="en-US" w:eastAsia="zh-CN"/>
                    </w:rPr>
                  </w:pPr>
                  <w:r>
                    <w:rPr>
                      <w:rFonts w:hint="eastAsia"/>
                      <w:color w:val="auto"/>
                      <w:szCs w:val="21"/>
                      <w:lang w:val="en-US" w:eastAsia="zh-CN"/>
                    </w:rPr>
                    <w:t>75</w:t>
                  </w:r>
                </w:p>
              </w:tc>
              <w:tc>
                <w:tcPr>
                  <w:tcW w:w="402" w:type="pct"/>
                  <w:vMerge w:val="continue"/>
                  <w:noWrap w:val="0"/>
                  <w:vAlign w:val="center"/>
                </w:tcPr>
                <w:p w14:paraId="226F7CB8">
                  <w:pPr>
                    <w:adjustRightInd w:val="0"/>
                    <w:snapToGrid w:val="0"/>
                    <w:ind w:left="-105" w:leftChars="-50" w:right="-105" w:rightChars="-50"/>
                    <w:jc w:val="center"/>
                    <w:rPr>
                      <w:rFonts w:hAnsi="宋体"/>
                      <w:bCs/>
                      <w:color w:val="auto"/>
                      <w:szCs w:val="20"/>
                    </w:rPr>
                  </w:pPr>
                </w:p>
              </w:tc>
              <w:tc>
                <w:tcPr>
                  <w:tcW w:w="210" w:type="pct"/>
                  <w:noWrap w:val="0"/>
                  <w:vAlign w:val="center"/>
                </w:tcPr>
                <w:p w14:paraId="572C3CAB">
                  <w:pPr>
                    <w:adjustRightInd w:val="0"/>
                    <w:snapToGrid w:val="0"/>
                    <w:ind w:left="-105" w:leftChars="-50" w:right="-105" w:rightChars="-50"/>
                    <w:jc w:val="center"/>
                    <w:rPr>
                      <w:rFonts w:hint="default"/>
                      <w:color w:val="auto"/>
                      <w:lang w:val="en-US" w:eastAsia="zh-CN"/>
                    </w:rPr>
                  </w:pPr>
                  <w:r>
                    <w:rPr>
                      <w:rFonts w:hint="eastAsia"/>
                      <w:color w:val="auto"/>
                      <w:lang w:val="en-US" w:eastAsia="zh-CN"/>
                    </w:rPr>
                    <w:t>11</w:t>
                  </w:r>
                </w:p>
              </w:tc>
              <w:tc>
                <w:tcPr>
                  <w:tcW w:w="210" w:type="pct"/>
                  <w:noWrap w:val="0"/>
                  <w:vAlign w:val="center"/>
                </w:tcPr>
                <w:p w14:paraId="05B3A980">
                  <w:pPr>
                    <w:adjustRightInd w:val="0"/>
                    <w:snapToGrid w:val="0"/>
                    <w:ind w:left="-105" w:leftChars="-50" w:right="-105" w:rightChars="-50"/>
                    <w:jc w:val="center"/>
                    <w:rPr>
                      <w:rFonts w:hint="default"/>
                      <w:color w:val="auto"/>
                      <w:lang w:val="en-US" w:eastAsia="zh-CN"/>
                    </w:rPr>
                  </w:pPr>
                  <w:r>
                    <w:rPr>
                      <w:rFonts w:hint="eastAsia"/>
                      <w:color w:val="auto"/>
                      <w:lang w:val="en-US" w:eastAsia="zh-CN"/>
                    </w:rPr>
                    <w:t>22</w:t>
                  </w:r>
                </w:p>
              </w:tc>
              <w:tc>
                <w:tcPr>
                  <w:tcW w:w="229" w:type="pct"/>
                  <w:noWrap w:val="0"/>
                  <w:vAlign w:val="center"/>
                </w:tcPr>
                <w:p w14:paraId="2FCFE97E">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04" w:type="dxa"/>
                  <w:noWrap w:val="0"/>
                  <w:vAlign w:val="center"/>
                </w:tcPr>
                <w:p w14:paraId="25A6CD68">
                  <w:pPr>
                    <w:adjustRightInd w:val="0"/>
                    <w:snapToGrid w:val="0"/>
                    <w:ind w:left="-105" w:leftChars="-50" w:right="-105" w:rightChars="-50"/>
                    <w:jc w:val="center"/>
                    <w:rPr>
                      <w:rFonts w:hint="default"/>
                      <w:color w:val="auto"/>
                      <w:lang w:val="en-US" w:eastAsia="zh-CN"/>
                    </w:rPr>
                  </w:pPr>
                  <w:r>
                    <w:rPr>
                      <w:rFonts w:hint="eastAsia"/>
                      <w:color w:val="auto"/>
                      <w:lang w:val="en-US" w:eastAsia="zh-CN"/>
                    </w:rPr>
                    <w:t>11</w:t>
                  </w:r>
                </w:p>
              </w:tc>
              <w:tc>
                <w:tcPr>
                  <w:tcW w:w="260" w:type="pct"/>
                  <w:noWrap w:val="0"/>
                  <w:vAlign w:val="center"/>
                </w:tcPr>
                <w:p w14:paraId="4D5E1DEF">
                  <w:pPr>
                    <w:adjustRightInd w:val="0"/>
                    <w:snapToGrid w:val="0"/>
                    <w:ind w:left="-105" w:leftChars="-50" w:right="-105" w:rightChars="-50"/>
                    <w:jc w:val="center"/>
                    <w:rPr>
                      <w:rFonts w:hint="default"/>
                      <w:color w:val="auto"/>
                      <w:lang w:val="en-US" w:eastAsia="zh-CN"/>
                    </w:rPr>
                  </w:pPr>
                  <w:r>
                    <w:rPr>
                      <w:rFonts w:hint="eastAsia"/>
                      <w:color w:val="auto"/>
                      <w:lang w:val="en-US" w:eastAsia="zh-CN"/>
                    </w:rPr>
                    <w:t>54.2</w:t>
                  </w:r>
                </w:p>
              </w:tc>
              <w:tc>
                <w:tcPr>
                  <w:tcW w:w="543" w:type="dxa"/>
                  <w:noWrap w:val="0"/>
                  <w:vAlign w:val="center"/>
                </w:tcPr>
                <w:p w14:paraId="02814BCE">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973" w:type="dxa"/>
                  <w:noWrap w:val="0"/>
                  <w:vAlign w:val="center"/>
                </w:tcPr>
                <w:p w14:paraId="50278FBE">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362" w:type="pct"/>
                  <w:noWrap w:val="0"/>
                  <w:vAlign w:val="center"/>
                </w:tcPr>
                <w:p w14:paraId="29C51EEF">
                  <w:pPr>
                    <w:adjustRightInd w:val="0"/>
                    <w:snapToGrid w:val="0"/>
                    <w:ind w:left="-105" w:leftChars="-50" w:right="-105" w:rightChars="-50"/>
                    <w:jc w:val="center"/>
                    <w:rPr>
                      <w:rFonts w:hint="eastAsia"/>
                      <w:color w:val="auto"/>
                      <w:lang w:val="en-US" w:eastAsia="zh-CN"/>
                    </w:rPr>
                  </w:pPr>
                  <w:r>
                    <w:rPr>
                      <w:rFonts w:hint="eastAsia"/>
                      <w:color w:val="auto"/>
                      <w:lang w:val="en-US" w:eastAsia="zh-CN"/>
                    </w:rPr>
                    <w:t>34.2</w:t>
                  </w:r>
                </w:p>
              </w:tc>
              <w:tc>
                <w:tcPr>
                  <w:tcW w:w="385" w:type="pct"/>
                  <w:noWrap w:val="0"/>
                  <w:vAlign w:val="center"/>
                </w:tcPr>
                <w:p w14:paraId="61419D1C">
                  <w:pPr>
                    <w:adjustRightInd w:val="0"/>
                    <w:snapToGrid w:val="0"/>
                    <w:ind w:left="-105" w:leftChars="-50" w:right="-105" w:rightChars="-50"/>
                    <w:jc w:val="center"/>
                    <w:rPr>
                      <w:color w:val="auto"/>
                    </w:rPr>
                  </w:pPr>
                  <w:r>
                    <w:rPr>
                      <w:color w:val="auto"/>
                    </w:rPr>
                    <w:t>1m</w:t>
                  </w:r>
                </w:p>
              </w:tc>
            </w:tr>
            <w:tr w14:paraId="4B78CF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 w:type="pct"/>
                  <w:noWrap w:val="0"/>
                  <w:vAlign w:val="center"/>
                </w:tcPr>
                <w:p w14:paraId="4B088336">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212" w:type="pct"/>
                  <w:vMerge w:val="continue"/>
                  <w:noWrap w:val="0"/>
                  <w:vAlign w:val="center"/>
                </w:tcPr>
                <w:p w14:paraId="1F2233E3">
                  <w:pPr>
                    <w:adjustRightInd w:val="0"/>
                    <w:snapToGrid w:val="0"/>
                    <w:ind w:left="-105" w:leftChars="-50" w:right="-105" w:rightChars="-50"/>
                    <w:jc w:val="center"/>
                    <w:rPr>
                      <w:rFonts w:hint="eastAsia" w:hAnsi="宋体"/>
                      <w:color w:val="auto"/>
                      <w:lang w:eastAsia="zh-CN"/>
                    </w:rPr>
                  </w:pPr>
                </w:p>
              </w:tc>
              <w:tc>
                <w:tcPr>
                  <w:tcW w:w="444" w:type="pct"/>
                  <w:noWrap w:val="0"/>
                  <w:vAlign w:val="center"/>
                </w:tcPr>
                <w:p w14:paraId="56269405">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lang w:val="en-US" w:eastAsia="zh-CN"/>
                    </w:rPr>
                  </w:pPr>
                  <w:r>
                    <w:rPr>
                      <w:rFonts w:hint="eastAsia"/>
                      <w:lang w:val="en-US" w:eastAsia="zh-CN"/>
                    </w:rPr>
                    <w:t>3#</w:t>
                  </w:r>
                  <w:r>
                    <w:rPr>
                      <w:rFonts w:hint="eastAsia"/>
                    </w:rPr>
                    <w:t>压塑机</w:t>
                  </w:r>
                </w:p>
              </w:tc>
              <w:tc>
                <w:tcPr>
                  <w:tcW w:w="485" w:type="pct"/>
                  <w:noWrap w:val="0"/>
                  <w:vAlign w:val="center"/>
                </w:tcPr>
                <w:p w14:paraId="4AA88E4E">
                  <w:pPr>
                    <w:widowControl/>
                    <w:adjustRightInd w:val="0"/>
                    <w:snapToGrid w:val="0"/>
                    <w:ind w:left="-105" w:leftChars="-50" w:right="-105" w:rightChars="-50"/>
                    <w:jc w:val="center"/>
                    <w:textAlignment w:val="center"/>
                    <w:rPr>
                      <w:rFonts w:hint="eastAsia"/>
                      <w:color w:val="auto"/>
                      <w:szCs w:val="21"/>
                    </w:rPr>
                  </w:pPr>
                  <w:r>
                    <w:rPr>
                      <w:rFonts w:hint="eastAsia"/>
                    </w:rPr>
                    <w:t>YD32-200T</w:t>
                  </w:r>
                </w:p>
              </w:tc>
              <w:tc>
                <w:tcPr>
                  <w:tcW w:w="230" w:type="pct"/>
                  <w:noWrap w:val="0"/>
                  <w:vAlign w:val="center"/>
                </w:tcPr>
                <w:p w14:paraId="5EA00F0B">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552" w:type="pct"/>
                  <w:noWrap w:val="0"/>
                  <w:vAlign w:val="center"/>
                </w:tcPr>
                <w:p w14:paraId="66BAAD84">
                  <w:pPr>
                    <w:jc w:val="center"/>
                    <w:rPr>
                      <w:rFonts w:hint="eastAsia"/>
                      <w:color w:val="auto"/>
                      <w:szCs w:val="21"/>
                      <w:lang w:val="en-US" w:eastAsia="zh-CN"/>
                    </w:rPr>
                  </w:pPr>
                  <w:r>
                    <w:rPr>
                      <w:rFonts w:hint="eastAsia"/>
                      <w:color w:val="auto"/>
                      <w:szCs w:val="21"/>
                      <w:lang w:val="en-US" w:eastAsia="zh-CN"/>
                    </w:rPr>
                    <w:t>75</w:t>
                  </w:r>
                </w:p>
              </w:tc>
              <w:tc>
                <w:tcPr>
                  <w:tcW w:w="402" w:type="pct"/>
                  <w:vMerge w:val="continue"/>
                  <w:noWrap w:val="0"/>
                  <w:vAlign w:val="center"/>
                </w:tcPr>
                <w:p w14:paraId="3EBCA5BA">
                  <w:pPr>
                    <w:adjustRightInd w:val="0"/>
                    <w:snapToGrid w:val="0"/>
                    <w:ind w:left="-105" w:leftChars="-50" w:right="-105" w:rightChars="-50"/>
                    <w:jc w:val="center"/>
                    <w:rPr>
                      <w:rFonts w:hAnsi="宋体"/>
                      <w:bCs/>
                      <w:color w:val="auto"/>
                      <w:szCs w:val="20"/>
                    </w:rPr>
                  </w:pPr>
                </w:p>
              </w:tc>
              <w:tc>
                <w:tcPr>
                  <w:tcW w:w="210" w:type="pct"/>
                  <w:noWrap w:val="0"/>
                  <w:vAlign w:val="center"/>
                </w:tcPr>
                <w:p w14:paraId="1666314E">
                  <w:pPr>
                    <w:adjustRightInd w:val="0"/>
                    <w:snapToGrid w:val="0"/>
                    <w:ind w:left="-105" w:leftChars="-50" w:right="-105" w:rightChars="-50"/>
                    <w:jc w:val="center"/>
                    <w:rPr>
                      <w:rFonts w:hint="default"/>
                      <w:color w:val="auto"/>
                      <w:lang w:val="en-US" w:eastAsia="zh-CN"/>
                    </w:rPr>
                  </w:pPr>
                  <w:r>
                    <w:rPr>
                      <w:rFonts w:hint="eastAsia"/>
                      <w:color w:val="auto"/>
                      <w:lang w:val="en-US" w:eastAsia="zh-CN"/>
                    </w:rPr>
                    <w:t>11</w:t>
                  </w:r>
                </w:p>
              </w:tc>
              <w:tc>
                <w:tcPr>
                  <w:tcW w:w="210" w:type="pct"/>
                  <w:noWrap w:val="0"/>
                  <w:vAlign w:val="center"/>
                </w:tcPr>
                <w:p w14:paraId="15BCA086">
                  <w:pPr>
                    <w:adjustRightInd w:val="0"/>
                    <w:snapToGrid w:val="0"/>
                    <w:ind w:left="-105" w:leftChars="-50" w:right="-105" w:rightChars="-50"/>
                    <w:jc w:val="center"/>
                    <w:rPr>
                      <w:rFonts w:hint="default"/>
                      <w:color w:val="auto"/>
                      <w:lang w:val="en-US" w:eastAsia="zh-CN"/>
                    </w:rPr>
                  </w:pPr>
                  <w:r>
                    <w:rPr>
                      <w:rFonts w:hint="eastAsia"/>
                      <w:color w:val="auto"/>
                      <w:lang w:val="en-US" w:eastAsia="zh-CN"/>
                    </w:rPr>
                    <w:t>25</w:t>
                  </w:r>
                </w:p>
              </w:tc>
              <w:tc>
                <w:tcPr>
                  <w:tcW w:w="229" w:type="pct"/>
                  <w:noWrap w:val="0"/>
                  <w:vAlign w:val="center"/>
                </w:tcPr>
                <w:p w14:paraId="3F386CCF">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04" w:type="dxa"/>
                  <w:noWrap w:val="0"/>
                  <w:vAlign w:val="center"/>
                </w:tcPr>
                <w:p w14:paraId="78FDCC64">
                  <w:pPr>
                    <w:adjustRightInd w:val="0"/>
                    <w:snapToGrid w:val="0"/>
                    <w:ind w:left="-105" w:leftChars="-50" w:right="-105" w:rightChars="-50"/>
                    <w:jc w:val="center"/>
                    <w:rPr>
                      <w:rFonts w:hint="default"/>
                      <w:color w:val="auto"/>
                      <w:lang w:val="en-US" w:eastAsia="zh-CN"/>
                    </w:rPr>
                  </w:pPr>
                  <w:r>
                    <w:rPr>
                      <w:rFonts w:hint="eastAsia"/>
                      <w:color w:val="auto"/>
                      <w:lang w:val="en-US" w:eastAsia="zh-CN"/>
                    </w:rPr>
                    <w:t>11</w:t>
                  </w:r>
                </w:p>
              </w:tc>
              <w:tc>
                <w:tcPr>
                  <w:tcW w:w="260" w:type="pct"/>
                  <w:noWrap w:val="0"/>
                  <w:vAlign w:val="center"/>
                </w:tcPr>
                <w:p w14:paraId="23B67D11">
                  <w:pPr>
                    <w:adjustRightInd w:val="0"/>
                    <w:snapToGrid w:val="0"/>
                    <w:ind w:left="-105" w:leftChars="-50" w:right="-105" w:rightChars="-50"/>
                    <w:jc w:val="center"/>
                    <w:rPr>
                      <w:rFonts w:hint="default"/>
                      <w:color w:val="auto"/>
                      <w:lang w:val="en-US" w:eastAsia="zh-CN"/>
                    </w:rPr>
                  </w:pPr>
                  <w:r>
                    <w:rPr>
                      <w:rFonts w:hint="eastAsia"/>
                      <w:color w:val="auto"/>
                      <w:lang w:val="en-US" w:eastAsia="zh-CN"/>
                    </w:rPr>
                    <w:t>54.2</w:t>
                  </w:r>
                </w:p>
              </w:tc>
              <w:tc>
                <w:tcPr>
                  <w:tcW w:w="543" w:type="dxa"/>
                  <w:noWrap w:val="0"/>
                  <w:vAlign w:val="center"/>
                </w:tcPr>
                <w:p w14:paraId="240E1DA1">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973" w:type="dxa"/>
                  <w:noWrap w:val="0"/>
                  <w:vAlign w:val="center"/>
                </w:tcPr>
                <w:p w14:paraId="55BABB21">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362" w:type="pct"/>
                  <w:noWrap w:val="0"/>
                  <w:vAlign w:val="center"/>
                </w:tcPr>
                <w:p w14:paraId="5CE9346B">
                  <w:pPr>
                    <w:adjustRightInd w:val="0"/>
                    <w:snapToGrid w:val="0"/>
                    <w:ind w:left="-105" w:leftChars="-50" w:right="-105" w:rightChars="-50"/>
                    <w:jc w:val="center"/>
                    <w:rPr>
                      <w:rFonts w:hint="eastAsia"/>
                      <w:color w:val="auto"/>
                      <w:lang w:val="en-US" w:eastAsia="zh-CN"/>
                    </w:rPr>
                  </w:pPr>
                  <w:r>
                    <w:rPr>
                      <w:rFonts w:hint="eastAsia"/>
                      <w:color w:val="auto"/>
                      <w:lang w:val="en-US" w:eastAsia="zh-CN"/>
                    </w:rPr>
                    <w:t>34.2</w:t>
                  </w:r>
                </w:p>
              </w:tc>
              <w:tc>
                <w:tcPr>
                  <w:tcW w:w="385" w:type="pct"/>
                  <w:noWrap w:val="0"/>
                  <w:vAlign w:val="center"/>
                </w:tcPr>
                <w:p w14:paraId="6999E6D3">
                  <w:pPr>
                    <w:adjustRightInd w:val="0"/>
                    <w:snapToGrid w:val="0"/>
                    <w:ind w:left="-105" w:leftChars="-50" w:right="-105" w:rightChars="-50"/>
                    <w:jc w:val="center"/>
                    <w:rPr>
                      <w:color w:val="auto"/>
                    </w:rPr>
                  </w:pPr>
                  <w:r>
                    <w:rPr>
                      <w:color w:val="auto"/>
                    </w:rPr>
                    <w:t>1m</w:t>
                  </w:r>
                </w:p>
              </w:tc>
            </w:tr>
            <w:tr w14:paraId="64182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dxa"/>
                  <w:noWrap w:val="0"/>
                  <w:vAlign w:val="center"/>
                </w:tcPr>
                <w:p w14:paraId="26169566">
                  <w:pPr>
                    <w:adjustRightInd w:val="0"/>
                    <w:snapToGrid w:val="0"/>
                    <w:ind w:left="-105" w:leftChars="-50" w:right="-105" w:rightChars="-50"/>
                    <w:jc w:val="center"/>
                    <w:rPr>
                      <w:rFonts w:hint="eastAsia"/>
                      <w:color w:val="auto"/>
                      <w:lang w:val="en-US" w:eastAsia="zh-CN"/>
                    </w:rPr>
                  </w:pPr>
                  <w:r>
                    <w:rPr>
                      <w:rFonts w:hint="eastAsia"/>
                      <w:color w:val="auto"/>
                      <w:lang w:val="en-US" w:eastAsia="zh-CN"/>
                    </w:rPr>
                    <w:t>6</w:t>
                  </w:r>
                </w:p>
              </w:tc>
              <w:tc>
                <w:tcPr>
                  <w:tcW w:w="212" w:type="pct"/>
                  <w:vMerge w:val="continue"/>
                  <w:noWrap w:val="0"/>
                  <w:vAlign w:val="center"/>
                </w:tcPr>
                <w:p w14:paraId="47199711">
                  <w:pPr>
                    <w:adjustRightInd w:val="0"/>
                    <w:snapToGrid w:val="0"/>
                    <w:ind w:left="-105" w:leftChars="-50" w:right="-105" w:rightChars="-50"/>
                    <w:jc w:val="center"/>
                    <w:rPr>
                      <w:rFonts w:hint="eastAsia" w:hAnsi="宋体"/>
                      <w:color w:val="auto"/>
                      <w:lang w:eastAsia="zh-CN"/>
                    </w:rPr>
                  </w:pPr>
                </w:p>
              </w:tc>
              <w:tc>
                <w:tcPr>
                  <w:tcW w:w="444" w:type="pct"/>
                  <w:noWrap w:val="0"/>
                  <w:vAlign w:val="center"/>
                </w:tcPr>
                <w:p w14:paraId="4ABFB9C4">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lang w:val="en-US" w:eastAsia="zh-CN"/>
                    </w:rPr>
                  </w:pPr>
                  <w:r>
                    <w:rPr>
                      <w:rFonts w:hint="eastAsia"/>
                      <w:lang w:val="en-US" w:eastAsia="zh-CN"/>
                    </w:rPr>
                    <w:t>4#</w:t>
                  </w:r>
                  <w:r>
                    <w:rPr>
                      <w:rFonts w:hint="eastAsia"/>
                    </w:rPr>
                    <w:t>压塑机</w:t>
                  </w:r>
                </w:p>
              </w:tc>
              <w:tc>
                <w:tcPr>
                  <w:tcW w:w="1305" w:type="dxa"/>
                  <w:noWrap w:val="0"/>
                  <w:vAlign w:val="center"/>
                </w:tcPr>
                <w:p w14:paraId="0868872E">
                  <w:pPr>
                    <w:widowControl/>
                    <w:adjustRightInd w:val="0"/>
                    <w:snapToGrid w:val="0"/>
                    <w:ind w:left="-105" w:leftChars="-50" w:right="-105" w:rightChars="-50"/>
                    <w:jc w:val="center"/>
                    <w:textAlignment w:val="center"/>
                    <w:rPr>
                      <w:rFonts w:hint="eastAsia"/>
                    </w:rPr>
                  </w:pPr>
                  <w:r>
                    <w:rPr>
                      <w:rFonts w:hint="eastAsia"/>
                    </w:rPr>
                    <w:t>YD32-200T</w:t>
                  </w:r>
                </w:p>
              </w:tc>
              <w:tc>
                <w:tcPr>
                  <w:tcW w:w="618" w:type="dxa"/>
                  <w:noWrap w:val="0"/>
                  <w:vAlign w:val="center"/>
                </w:tcPr>
                <w:p w14:paraId="64EE75D9">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52" w:type="pct"/>
                  <w:noWrap w:val="0"/>
                  <w:vAlign w:val="center"/>
                </w:tcPr>
                <w:p w14:paraId="6B46B82A">
                  <w:pPr>
                    <w:jc w:val="center"/>
                    <w:rPr>
                      <w:rFonts w:hint="default"/>
                      <w:color w:val="auto"/>
                      <w:szCs w:val="21"/>
                      <w:lang w:val="en-US" w:eastAsia="zh-CN"/>
                    </w:rPr>
                  </w:pPr>
                  <w:r>
                    <w:rPr>
                      <w:rFonts w:hint="eastAsia"/>
                      <w:color w:val="auto"/>
                      <w:szCs w:val="21"/>
                      <w:lang w:val="en-US" w:eastAsia="zh-CN"/>
                    </w:rPr>
                    <w:t>75</w:t>
                  </w:r>
                </w:p>
              </w:tc>
              <w:tc>
                <w:tcPr>
                  <w:tcW w:w="402" w:type="pct"/>
                  <w:vMerge w:val="continue"/>
                  <w:noWrap w:val="0"/>
                  <w:vAlign w:val="center"/>
                </w:tcPr>
                <w:p w14:paraId="5883A8FA">
                  <w:pPr>
                    <w:adjustRightInd w:val="0"/>
                    <w:snapToGrid w:val="0"/>
                    <w:ind w:left="-105" w:leftChars="-50" w:right="-105" w:rightChars="-50"/>
                    <w:jc w:val="center"/>
                    <w:rPr>
                      <w:rFonts w:hAnsi="宋体"/>
                      <w:bCs/>
                      <w:color w:val="auto"/>
                      <w:szCs w:val="20"/>
                    </w:rPr>
                  </w:pPr>
                </w:p>
              </w:tc>
              <w:tc>
                <w:tcPr>
                  <w:tcW w:w="210" w:type="pct"/>
                  <w:noWrap w:val="0"/>
                  <w:vAlign w:val="center"/>
                </w:tcPr>
                <w:p w14:paraId="574144D9">
                  <w:pPr>
                    <w:adjustRightInd w:val="0"/>
                    <w:snapToGrid w:val="0"/>
                    <w:ind w:left="-105" w:leftChars="-50" w:right="-105" w:rightChars="-50"/>
                    <w:jc w:val="center"/>
                    <w:rPr>
                      <w:rFonts w:hint="default"/>
                      <w:color w:val="auto"/>
                      <w:lang w:val="en-US" w:eastAsia="zh-CN"/>
                    </w:rPr>
                  </w:pPr>
                  <w:r>
                    <w:rPr>
                      <w:rFonts w:hint="eastAsia"/>
                      <w:color w:val="auto"/>
                      <w:lang w:val="en-US" w:eastAsia="zh-CN"/>
                    </w:rPr>
                    <w:t>11</w:t>
                  </w:r>
                </w:p>
              </w:tc>
              <w:tc>
                <w:tcPr>
                  <w:tcW w:w="210" w:type="pct"/>
                  <w:noWrap w:val="0"/>
                  <w:vAlign w:val="center"/>
                </w:tcPr>
                <w:p w14:paraId="0EC38871">
                  <w:pPr>
                    <w:adjustRightInd w:val="0"/>
                    <w:snapToGrid w:val="0"/>
                    <w:ind w:left="-105" w:leftChars="-50" w:right="-105" w:rightChars="-50"/>
                    <w:jc w:val="center"/>
                    <w:rPr>
                      <w:rFonts w:hint="default"/>
                      <w:color w:val="auto"/>
                      <w:lang w:val="en-US" w:eastAsia="zh-CN"/>
                    </w:rPr>
                  </w:pPr>
                  <w:r>
                    <w:rPr>
                      <w:rFonts w:hint="eastAsia"/>
                      <w:color w:val="auto"/>
                      <w:lang w:val="en-US" w:eastAsia="zh-CN"/>
                    </w:rPr>
                    <w:t>28</w:t>
                  </w:r>
                </w:p>
              </w:tc>
              <w:tc>
                <w:tcPr>
                  <w:tcW w:w="229" w:type="pct"/>
                  <w:noWrap w:val="0"/>
                  <w:vAlign w:val="center"/>
                </w:tcPr>
                <w:p w14:paraId="40EF3FFB">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704" w:type="dxa"/>
                  <w:noWrap w:val="0"/>
                  <w:vAlign w:val="center"/>
                </w:tcPr>
                <w:p w14:paraId="6CE4A3FD">
                  <w:pPr>
                    <w:adjustRightInd w:val="0"/>
                    <w:snapToGrid w:val="0"/>
                    <w:ind w:left="-105" w:leftChars="-50" w:right="-105" w:rightChars="-50"/>
                    <w:jc w:val="center"/>
                    <w:rPr>
                      <w:rFonts w:hint="eastAsia"/>
                      <w:color w:val="auto"/>
                      <w:lang w:val="en-US" w:eastAsia="zh-CN"/>
                    </w:rPr>
                  </w:pPr>
                  <w:r>
                    <w:rPr>
                      <w:rFonts w:hint="eastAsia"/>
                      <w:color w:val="auto"/>
                      <w:lang w:val="en-US" w:eastAsia="zh-CN"/>
                    </w:rPr>
                    <w:t>11</w:t>
                  </w:r>
                </w:p>
              </w:tc>
              <w:tc>
                <w:tcPr>
                  <w:tcW w:w="260" w:type="pct"/>
                  <w:noWrap w:val="0"/>
                  <w:vAlign w:val="center"/>
                </w:tcPr>
                <w:p w14:paraId="6E749B4B">
                  <w:pPr>
                    <w:adjustRightInd w:val="0"/>
                    <w:snapToGrid w:val="0"/>
                    <w:ind w:left="-105" w:leftChars="-50" w:right="-105" w:rightChars="-50"/>
                    <w:jc w:val="center"/>
                    <w:rPr>
                      <w:rFonts w:hint="eastAsia"/>
                      <w:color w:val="auto"/>
                      <w:lang w:val="en-US" w:eastAsia="zh-CN"/>
                    </w:rPr>
                  </w:pPr>
                  <w:r>
                    <w:rPr>
                      <w:rFonts w:hint="eastAsia"/>
                      <w:color w:val="auto"/>
                      <w:lang w:val="en-US" w:eastAsia="zh-CN"/>
                    </w:rPr>
                    <w:t>54.2</w:t>
                  </w:r>
                </w:p>
              </w:tc>
              <w:tc>
                <w:tcPr>
                  <w:tcW w:w="543" w:type="dxa"/>
                  <w:noWrap w:val="0"/>
                  <w:vAlign w:val="center"/>
                </w:tcPr>
                <w:p w14:paraId="6DE0D720">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973" w:type="dxa"/>
                  <w:noWrap w:val="0"/>
                  <w:vAlign w:val="center"/>
                </w:tcPr>
                <w:p w14:paraId="4CDE23A8">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362" w:type="pct"/>
                  <w:noWrap w:val="0"/>
                  <w:vAlign w:val="center"/>
                </w:tcPr>
                <w:p w14:paraId="7E61BF17">
                  <w:pPr>
                    <w:adjustRightInd w:val="0"/>
                    <w:snapToGrid w:val="0"/>
                    <w:ind w:left="-105" w:leftChars="-50" w:right="-105" w:rightChars="-50"/>
                    <w:jc w:val="center"/>
                    <w:rPr>
                      <w:rFonts w:hint="eastAsia"/>
                      <w:color w:val="auto"/>
                      <w:lang w:val="en-US" w:eastAsia="zh-CN"/>
                    </w:rPr>
                  </w:pPr>
                  <w:r>
                    <w:rPr>
                      <w:rFonts w:hint="eastAsia"/>
                      <w:color w:val="auto"/>
                      <w:lang w:val="en-US" w:eastAsia="zh-CN"/>
                    </w:rPr>
                    <w:t>34.2</w:t>
                  </w:r>
                </w:p>
              </w:tc>
              <w:tc>
                <w:tcPr>
                  <w:tcW w:w="385" w:type="pct"/>
                  <w:noWrap w:val="0"/>
                  <w:vAlign w:val="center"/>
                </w:tcPr>
                <w:p w14:paraId="7BC07C23">
                  <w:pPr>
                    <w:adjustRightInd w:val="0"/>
                    <w:snapToGrid w:val="0"/>
                    <w:ind w:left="-105" w:leftChars="-50" w:right="-105" w:rightChars="-50"/>
                    <w:jc w:val="center"/>
                    <w:rPr>
                      <w:color w:val="auto"/>
                    </w:rPr>
                  </w:pPr>
                  <w:r>
                    <w:rPr>
                      <w:color w:val="auto"/>
                    </w:rPr>
                    <w:t>1m</w:t>
                  </w:r>
                </w:p>
              </w:tc>
            </w:tr>
            <w:tr w14:paraId="6FA6E8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dxa"/>
                  <w:noWrap w:val="0"/>
                  <w:vAlign w:val="center"/>
                </w:tcPr>
                <w:p w14:paraId="3BDC06F9">
                  <w:pPr>
                    <w:adjustRightInd w:val="0"/>
                    <w:snapToGrid w:val="0"/>
                    <w:ind w:left="-105" w:leftChars="-50" w:right="-105" w:rightChars="-50"/>
                    <w:jc w:val="center"/>
                    <w:rPr>
                      <w:rFonts w:hint="eastAsia"/>
                      <w:color w:val="auto"/>
                      <w:lang w:val="en-US" w:eastAsia="zh-CN"/>
                    </w:rPr>
                  </w:pPr>
                  <w:r>
                    <w:rPr>
                      <w:rFonts w:hint="eastAsia"/>
                      <w:color w:val="auto"/>
                      <w:lang w:val="en-US" w:eastAsia="zh-CN"/>
                    </w:rPr>
                    <w:t>7</w:t>
                  </w:r>
                </w:p>
              </w:tc>
              <w:tc>
                <w:tcPr>
                  <w:tcW w:w="212" w:type="pct"/>
                  <w:vMerge w:val="continue"/>
                  <w:noWrap w:val="0"/>
                  <w:vAlign w:val="center"/>
                </w:tcPr>
                <w:p w14:paraId="0585D0F3">
                  <w:pPr>
                    <w:adjustRightInd w:val="0"/>
                    <w:snapToGrid w:val="0"/>
                    <w:ind w:left="-105" w:leftChars="-50" w:right="-105" w:rightChars="-50"/>
                    <w:jc w:val="center"/>
                    <w:rPr>
                      <w:rFonts w:hint="eastAsia" w:hAnsi="宋体"/>
                      <w:color w:val="auto"/>
                      <w:lang w:eastAsia="zh-CN"/>
                    </w:rPr>
                  </w:pPr>
                </w:p>
              </w:tc>
              <w:tc>
                <w:tcPr>
                  <w:tcW w:w="444" w:type="pct"/>
                  <w:noWrap w:val="0"/>
                  <w:vAlign w:val="center"/>
                </w:tcPr>
                <w:p w14:paraId="451C9FB3">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lang w:val="en-US" w:eastAsia="zh-CN"/>
                    </w:rPr>
                  </w:pPr>
                  <w:r>
                    <w:rPr>
                      <w:rFonts w:hint="eastAsia"/>
                      <w:lang w:val="en-US" w:eastAsia="zh-CN"/>
                    </w:rPr>
                    <w:t>5#</w:t>
                  </w:r>
                  <w:r>
                    <w:rPr>
                      <w:rFonts w:hint="eastAsia"/>
                    </w:rPr>
                    <w:t>压塑机</w:t>
                  </w:r>
                </w:p>
              </w:tc>
              <w:tc>
                <w:tcPr>
                  <w:tcW w:w="1305" w:type="dxa"/>
                  <w:noWrap w:val="0"/>
                  <w:vAlign w:val="center"/>
                </w:tcPr>
                <w:p w14:paraId="4C5F2A6C">
                  <w:pPr>
                    <w:widowControl/>
                    <w:adjustRightInd w:val="0"/>
                    <w:snapToGrid w:val="0"/>
                    <w:ind w:left="-105" w:leftChars="-50" w:right="-105" w:rightChars="-50"/>
                    <w:jc w:val="center"/>
                    <w:textAlignment w:val="center"/>
                    <w:rPr>
                      <w:rFonts w:hint="eastAsia"/>
                    </w:rPr>
                  </w:pPr>
                  <w:r>
                    <w:rPr>
                      <w:rFonts w:hint="eastAsia"/>
                    </w:rPr>
                    <w:t>YD32-200T</w:t>
                  </w:r>
                </w:p>
              </w:tc>
              <w:tc>
                <w:tcPr>
                  <w:tcW w:w="618" w:type="dxa"/>
                  <w:noWrap w:val="0"/>
                  <w:vAlign w:val="center"/>
                </w:tcPr>
                <w:p w14:paraId="39453CC2">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52" w:type="pct"/>
                  <w:noWrap w:val="0"/>
                  <w:vAlign w:val="center"/>
                </w:tcPr>
                <w:p w14:paraId="1C37DB1F">
                  <w:pPr>
                    <w:jc w:val="center"/>
                    <w:rPr>
                      <w:rFonts w:hint="default"/>
                      <w:color w:val="auto"/>
                      <w:szCs w:val="21"/>
                      <w:lang w:val="en-US" w:eastAsia="zh-CN"/>
                    </w:rPr>
                  </w:pPr>
                  <w:r>
                    <w:rPr>
                      <w:rFonts w:hint="eastAsia"/>
                      <w:color w:val="auto"/>
                      <w:szCs w:val="21"/>
                      <w:lang w:val="en-US" w:eastAsia="zh-CN"/>
                    </w:rPr>
                    <w:t>75</w:t>
                  </w:r>
                </w:p>
              </w:tc>
              <w:tc>
                <w:tcPr>
                  <w:tcW w:w="402" w:type="pct"/>
                  <w:vMerge w:val="continue"/>
                  <w:noWrap w:val="0"/>
                  <w:vAlign w:val="center"/>
                </w:tcPr>
                <w:p w14:paraId="13F4A1DB">
                  <w:pPr>
                    <w:adjustRightInd w:val="0"/>
                    <w:snapToGrid w:val="0"/>
                    <w:ind w:left="-105" w:leftChars="-50" w:right="-105" w:rightChars="-50"/>
                    <w:jc w:val="center"/>
                    <w:rPr>
                      <w:rFonts w:hAnsi="宋体"/>
                      <w:bCs/>
                      <w:color w:val="auto"/>
                      <w:szCs w:val="20"/>
                    </w:rPr>
                  </w:pPr>
                </w:p>
              </w:tc>
              <w:tc>
                <w:tcPr>
                  <w:tcW w:w="210" w:type="pct"/>
                  <w:noWrap w:val="0"/>
                  <w:vAlign w:val="center"/>
                </w:tcPr>
                <w:p w14:paraId="5280DDC0">
                  <w:pPr>
                    <w:adjustRightInd w:val="0"/>
                    <w:snapToGrid w:val="0"/>
                    <w:ind w:left="-105" w:leftChars="-50" w:right="-105" w:rightChars="-50"/>
                    <w:jc w:val="center"/>
                    <w:rPr>
                      <w:rFonts w:hint="default"/>
                      <w:color w:val="auto"/>
                      <w:lang w:val="en-US" w:eastAsia="zh-CN"/>
                    </w:rPr>
                  </w:pPr>
                  <w:r>
                    <w:rPr>
                      <w:rFonts w:hint="eastAsia"/>
                      <w:color w:val="auto"/>
                      <w:lang w:val="en-US" w:eastAsia="zh-CN"/>
                    </w:rPr>
                    <w:t>11</w:t>
                  </w:r>
                </w:p>
              </w:tc>
              <w:tc>
                <w:tcPr>
                  <w:tcW w:w="210" w:type="pct"/>
                  <w:noWrap w:val="0"/>
                  <w:vAlign w:val="center"/>
                </w:tcPr>
                <w:p w14:paraId="657526C1">
                  <w:pPr>
                    <w:adjustRightInd w:val="0"/>
                    <w:snapToGrid w:val="0"/>
                    <w:ind w:left="-105" w:leftChars="-50" w:right="-105" w:rightChars="-50"/>
                    <w:jc w:val="center"/>
                    <w:rPr>
                      <w:rFonts w:hint="default"/>
                      <w:color w:val="auto"/>
                      <w:lang w:val="en-US" w:eastAsia="zh-CN"/>
                    </w:rPr>
                  </w:pPr>
                  <w:r>
                    <w:rPr>
                      <w:rFonts w:hint="eastAsia"/>
                      <w:color w:val="auto"/>
                      <w:lang w:val="en-US" w:eastAsia="zh-CN"/>
                    </w:rPr>
                    <w:t>31</w:t>
                  </w:r>
                </w:p>
              </w:tc>
              <w:tc>
                <w:tcPr>
                  <w:tcW w:w="229" w:type="pct"/>
                  <w:noWrap w:val="0"/>
                  <w:vAlign w:val="center"/>
                </w:tcPr>
                <w:p w14:paraId="35004E8F">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704" w:type="dxa"/>
                  <w:noWrap w:val="0"/>
                  <w:vAlign w:val="center"/>
                </w:tcPr>
                <w:p w14:paraId="7702F11F">
                  <w:pPr>
                    <w:adjustRightInd w:val="0"/>
                    <w:snapToGrid w:val="0"/>
                    <w:ind w:left="-105" w:leftChars="-50" w:right="-105" w:rightChars="-50"/>
                    <w:jc w:val="center"/>
                    <w:rPr>
                      <w:rFonts w:hint="eastAsia"/>
                      <w:color w:val="auto"/>
                      <w:lang w:val="en-US" w:eastAsia="zh-CN"/>
                    </w:rPr>
                  </w:pPr>
                  <w:r>
                    <w:rPr>
                      <w:rFonts w:hint="eastAsia"/>
                      <w:color w:val="auto"/>
                      <w:lang w:val="en-US" w:eastAsia="zh-CN"/>
                    </w:rPr>
                    <w:t>11</w:t>
                  </w:r>
                </w:p>
              </w:tc>
              <w:tc>
                <w:tcPr>
                  <w:tcW w:w="260" w:type="pct"/>
                  <w:noWrap w:val="0"/>
                  <w:vAlign w:val="center"/>
                </w:tcPr>
                <w:p w14:paraId="2ADE7663">
                  <w:pPr>
                    <w:adjustRightInd w:val="0"/>
                    <w:snapToGrid w:val="0"/>
                    <w:ind w:left="-105" w:leftChars="-50" w:right="-105" w:rightChars="-50"/>
                    <w:jc w:val="center"/>
                    <w:rPr>
                      <w:rFonts w:hint="eastAsia"/>
                      <w:color w:val="auto"/>
                      <w:lang w:val="en-US" w:eastAsia="zh-CN"/>
                    </w:rPr>
                  </w:pPr>
                  <w:r>
                    <w:rPr>
                      <w:rFonts w:hint="eastAsia"/>
                      <w:color w:val="auto"/>
                      <w:lang w:val="en-US" w:eastAsia="zh-CN"/>
                    </w:rPr>
                    <w:t>54.2</w:t>
                  </w:r>
                </w:p>
              </w:tc>
              <w:tc>
                <w:tcPr>
                  <w:tcW w:w="543" w:type="dxa"/>
                  <w:noWrap w:val="0"/>
                  <w:vAlign w:val="center"/>
                </w:tcPr>
                <w:p w14:paraId="61F8F889">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973" w:type="dxa"/>
                  <w:noWrap w:val="0"/>
                  <w:vAlign w:val="center"/>
                </w:tcPr>
                <w:p w14:paraId="1C7EB3A0">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362" w:type="pct"/>
                  <w:noWrap w:val="0"/>
                  <w:vAlign w:val="center"/>
                </w:tcPr>
                <w:p w14:paraId="7AFF0C54">
                  <w:pPr>
                    <w:adjustRightInd w:val="0"/>
                    <w:snapToGrid w:val="0"/>
                    <w:ind w:left="-105" w:leftChars="-50" w:right="-105" w:rightChars="-50"/>
                    <w:jc w:val="center"/>
                    <w:rPr>
                      <w:rFonts w:hint="eastAsia"/>
                      <w:color w:val="auto"/>
                      <w:lang w:val="en-US" w:eastAsia="zh-CN"/>
                    </w:rPr>
                  </w:pPr>
                  <w:r>
                    <w:rPr>
                      <w:rFonts w:hint="eastAsia"/>
                      <w:color w:val="auto"/>
                      <w:lang w:val="en-US" w:eastAsia="zh-CN"/>
                    </w:rPr>
                    <w:t>34.2</w:t>
                  </w:r>
                </w:p>
              </w:tc>
              <w:tc>
                <w:tcPr>
                  <w:tcW w:w="385" w:type="pct"/>
                  <w:noWrap w:val="0"/>
                  <w:vAlign w:val="center"/>
                </w:tcPr>
                <w:p w14:paraId="6889A551">
                  <w:pPr>
                    <w:adjustRightInd w:val="0"/>
                    <w:snapToGrid w:val="0"/>
                    <w:ind w:left="-105" w:leftChars="-50" w:right="-105" w:rightChars="-50"/>
                    <w:jc w:val="center"/>
                    <w:rPr>
                      <w:color w:val="auto"/>
                    </w:rPr>
                  </w:pPr>
                  <w:r>
                    <w:rPr>
                      <w:color w:val="auto"/>
                    </w:rPr>
                    <w:t>1m</w:t>
                  </w:r>
                </w:p>
              </w:tc>
            </w:tr>
            <w:tr w14:paraId="465FD6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dxa"/>
                  <w:noWrap w:val="0"/>
                  <w:vAlign w:val="center"/>
                </w:tcPr>
                <w:p w14:paraId="17911897">
                  <w:pPr>
                    <w:adjustRightInd w:val="0"/>
                    <w:snapToGrid w:val="0"/>
                    <w:ind w:left="-105" w:leftChars="-50" w:right="-105" w:rightChars="-50"/>
                    <w:jc w:val="center"/>
                    <w:rPr>
                      <w:rFonts w:hint="default" w:eastAsia="宋体"/>
                      <w:color w:val="auto"/>
                      <w:lang w:val="en-US" w:eastAsia="zh-CN"/>
                    </w:rPr>
                  </w:pPr>
                  <w:r>
                    <w:rPr>
                      <w:rFonts w:hint="eastAsia"/>
                      <w:color w:val="auto"/>
                      <w:lang w:val="en-US" w:eastAsia="zh-CN"/>
                    </w:rPr>
                    <w:t>8</w:t>
                  </w:r>
                </w:p>
              </w:tc>
              <w:tc>
                <w:tcPr>
                  <w:tcW w:w="212" w:type="pct"/>
                  <w:vMerge w:val="continue"/>
                  <w:noWrap w:val="0"/>
                  <w:vAlign w:val="center"/>
                </w:tcPr>
                <w:p w14:paraId="0271DD29">
                  <w:pPr>
                    <w:adjustRightInd w:val="0"/>
                    <w:snapToGrid w:val="0"/>
                    <w:ind w:left="-105" w:leftChars="-50" w:right="-105" w:rightChars="-50"/>
                    <w:jc w:val="center"/>
                    <w:rPr>
                      <w:rFonts w:hint="eastAsia" w:hAnsi="宋体"/>
                      <w:color w:val="auto"/>
                      <w:lang w:eastAsia="zh-CN"/>
                    </w:rPr>
                  </w:pPr>
                </w:p>
              </w:tc>
              <w:tc>
                <w:tcPr>
                  <w:tcW w:w="444" w:type="pct"/>
                  <w:noWrap w:val="0"/>
                  <w:vAlign w:val="center"/>
                </w:tcPr>
                <w:p w14:paraId="267BBA96">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吹塑机</w:t>
                  </w:r>
                </w:p>
              </w:tc>
              <w:tc>
                <w:tcPr>
                  <w:tcW w:w="485" w:type="pct"/>
                  <w:noWrap w:val="0"/>
                  <w:vAlign w:val="center"/>
                </w:tcPr>
                <w:p w14:paraId="47B9B21B">
                  <w:pPr>
                    <w:widowControl/>
                    <w:adjustRightInd w:val="0"/>
                    <w:snapToGrid w:val="0"/>
                    <w:ind w:left="-105" w:leftChars="-50" w:right="-105" w:rightChars="-50"/>
                    <w:jc w:val="center"/>
                    <w:textAlignment w:val="center"/>
                    <w:rPr>
                      <w:rFonts w:hint="eastAsia"/>
                      <w:color w:val="auto"/>
                      <w:szCs w:val="21"/>
                    </w:rPr>
                  </w:pPr>
                  <w:r>
                    <w:rPr>
                      <w:rFonts w:hint="default" w:ascii="Times New Roman" w:hAnsi="Times New Roman" w:eastAsia="宋体" w:cs="Times New Roman"/>
                      <w:color w:val="auto"/>
                      <w:sz w:val="21"/>
                      <w:szCs w:val="21"/>
                      <w:lang w:val="en-US" w:eastAsia="zh-CN"/>
                    </w:rPr>
                    <w:t>HT-135C</w:t>
                  </w:r>
                </w:p>
              </w:tc>
              <w:tc>
                <w:tcPr>
                  <w:tcW w:w="230" w:type="pct"/>
                  <w:noWrap w:val="0"/>
                  <w:vAlign w:val="center"/>
                </w:tcPr>
                <w:p w14:paraId="01162CDF">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Cs w:val="21"/>
                      <w:lang w:val="en-US" w:eastAsia="zh-CN"/>
                    </w:rPr>
                  </w:pPr>
                  <w:r>
                    <w:rPr>
                      <w:rFonts w:hint="eastAsia" w:cs="Times New Roman"/>
                      <w:bCs/>
                      <w:color w:val="auto"/>
                      <w:sz w:val="21"/>
                      <w:szCs w:val="21"/>
                      <w:lang w:val="en-US" w:eastAsia="zh-CN"/>
                    </w:rPr>
                    <w:t>1</w:t>
                  </w:r>
                </w:p>
              </w:tc>
              <w:tc>
                <w:tcPr>
                  <w:tcW w:w="552" w:type="pct"/>
                  <w:noWrap w:val="0"/>
                  <w:vAlign w:val="center"/>
                </w:tcPr>
                <w:p w14:paraId="62CA7F68">
                  <w:pPr>
                    <w:jc w:val="center"/>
                    <w:rPr>
                      <w:rFonts w:hint="default"/>
                      <w:color w:val="auto"/>
                      <w:szCs w:val="21"/>
                      <w:lang w:val="en-US" w:eastAsia="zh-CN"/>
                    </w:rPr>
                  </w:pPr>
                  <w:r>
                    <w:rPr>
                      <w:rFonts w:hint="eastAsia"/>
                      <w:color w:val="auto"/>
                      <w:szCs w:val="21"/>
                      <w:lang w:val="en-US" w:eastAsia="zh-CN"/>
                    </w:rPr>
                    <w:t>75</w:t>
                  </w:r>
                </w:p>
              </w:tc>
              <w:tc>
                <w:tcPr>
                  <w:tcW w:w="402" w:type="pct"/>
                  <w:vMerge w:val="continue"/>
                  <w:noWrap w:val="0"/>
                  <w:vAlign w:val="center"/>
                </w:tcPr>
                <w:p w14:paraId="01DDD057">
                  <w:pPr>
                    <w:adjustRightInd w:val="0"/>
                    <w:snapToGrid w:val="0"/>
                    <w:ind w:left="-105" w:leftChars="-50" w:right="-105" w:rightChars="-50"/>
                    <w:jc w:val="center"/>
                    <w:rPr>
                      <w:rFonts w:hAnsi="宋体"/>
                      <w:bCs/>
                      <w:color w:val="auto"/>
                      <w:szCs w:val="20"/>
                    </w:rPr>
                  </w:pPr>
                </w:p>
              </w:tc>
              <w:tc>
                <w:tcPr>
                  <w:tcW w:w="210" w:type="pct"/>
                  <w:noWrap w:val="0"/>
                  <w:vAlign w:val="center"/>
                </w:tcPr>
                <w:p w14:paraId="1F054048">
                  <w:pPr>
                    <w:adjustRightInd w:val="0"/>
                    <w:snapToGrid w:val="0"/>
                    <w:ind w:left="-105" w:leftChars="-50" w:right="-105" w:rightChars="-50"/>
                    <w:jc w:val="center"/>
                    <w:rPr>
                      <w:rFonts w:hint="default"/>
                      <w:color w:val="auto"/>
                      <w:lang w:val="en-US" w:eastAsia="zh-CN"/>
                    </w:rPr>
                  </w:pPr>
                  <w:r>
                    <w:rPr>
                      <w:rFonts w:hint="eastAsia"/>
                      <w:color w:val="auto"/>
                      <w:lang w:val="en-US" w:eastAsia="zh-CN"/>
                    </w:rPr>
                    <w:t>10</w:t>
                  </w:r>
                </w:p>
              </w:tc>
              <w:tc>
                <w:tcPr>
                  <w:tcW w:w="210" w:type="pct"/>
                  <w:noWrap w:val="0"/>
                  <w:vAlign w:val="center"/>
                </w:tcPr>
                <w:p w14:paraId="44C01255">
                  <w:pPr>
                    <w:adjustRightInd w:val="0"/>
                    <w:snapToGrid w:val="0"/>
                    <w:ind w:left="-105" w:leftChars="-50" w:right="-105" w:rightChars="-50"/>
                    <w:jc w:val="center"/>
                    <w:rPr>
                      <w:rFonts w:hint="default"/>
                      <w:color w:val="auto"/>
                      <w:lang w:val="en-US" w:eastAsia="zh-CN"/>
                    </w:rPr>
                  </w:pPr>
                  <w:r>
                    <w:rPr>
                      <w:rFonts w:hint="eastAsia"/>
                      <w:color w:val="auto"/>
                      <w:lang w:val="en-US" w:eastAsia="zh-CN"/>
                    </w:rPr>
                    <w:t>41</w:t>
                  </w:r>
                </w:p>
              </w:tc>
              <w:tc>
                <w:tcPr>
                  <w:tcW w:w="229" w:type="pct"/>
                  <w:noWrap w:val="0"/>
                  <w:vAlign w:val="center"/>
                </w:tcPr>
                <w:p w14:paraId="55DF1145">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04" w:type="dxa"/>
                  <w:noWrap w:val="0"/>
                  <w:vAlign w:val="center"/>
                </w:tcPr>
                <w:p w14:paraId="558B40EB">
                  <w:pPr>
                    <w:adjustRightInd w:val="0"/>
                    <w:snapToGrid w:val="0"/>
                    <w:ind w:left="-105" w:leftChars="-50" w:right="-105" w:rightChars="-50"/>
                    <w:jc w:val="center"/>
                    <w:rPr>
                      <w:rFonts w:hint="default"/>
                      <w:color w:val="auto"/>
                      <w:lang w:val="en-US" w:eastAsia="zh-CN"/>
                    </w:rPr>
                  </w:pPr>
                  <w:r>
                    <w:rPr>
                      <w:rFonts w:hint="eastAsia"/>
                      <w:color w:val="auto"/>
                      <w:lang w:val="en-US" w:eastAsia="zh-CN"/>
                    </w:rPr>
                    <w:t>10</w:t>
                  </w:r>
                </w:p>
              </w:tc>
              <w:tc>
                <w:tcPr>
                  <w:tcW w:w="260" w:type="pct"/>
                  <w:noWrap w:val="0"/>
                  <w:vAlign w:val="center"/>
                </w:tcPr>
                <w:p w14:paraId="2CE85E77">
                  <w:pPr>
                    <w:adjustRightInd w:val="0"/>
                    <w:snapToGrid w:val="0"/>
                    <w:ind w:left="-105" w:leftChars="-50" w:right="-105" w:rightChars="-50"/>
                    <w:jc w:val="center"/>
                    <w:rPr>
                      <w:rFonts w:hint="default"/>
                      <w:color w:val="auto"/>
                      <w:lang w:val="en-US" w:eastAsia="zh-CN"/>
                    </w:rPr>
                  </w:pPr>
                  <w:r>
                    <w:rPr>
                      <w:rFonts w:hint="eastAsia"/>
                      <w:color w:val="auto"/>
                      <w:lang w:val="en-US" w:eastAsia="zh-CN"/>
                    </w:rPr>
                    <w:t>55</w:t>
                  </w:r>
                </w:p>
              </w:tc>
              <w:tc>
                <w:tcPr>
                  <w:tcW w:w="543" w:type="dxa"/>
                  <w:noWrap w:val="0"/>
                  <w:vAlign w:val="center"/>
                </w:tcPr>
                <w:p w14:paraId="3B2F2FDD">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973" w:type="dxa"/>
                  <w:noWrap w:val="0"/>
                  <w:vAlign w:val="center"/>
                </w:tcPr>
                <w:p w14:paraId="66C4D49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362" w:type="pct"/>
                  <w:noWrap w:val="0"/>
                  <w:vAlign w:val="center"/>
                </w:tcPr>
                <w:p w14:paraId="3A246267">
                  <w:pPr>
                    <w:adjustRightInd w:val="0"/>
                    <w:snapToGrid w:val="0"/>
                    <w:ind w:left="-105" w:leftChars="-50" w:right="-105" w:rightChars="-50"/>
                    <w:jc w:val="center"/>
                    <w:rPr>
                      <w:rFonts w:hint="default"/>
                      <w:color w:val="auto"/>
                      <w:lang w:val="en-US" w:eastAsia="zh-CN"/>
                    </w:rPr>
                  </w:pPr>
                  <w:r>
                    <w:rPr>
                      <w:rFonts w:hint="eastAsia"/>
                      <w:color w:val="auto"/>
                      <w:lang w:val="en-US" w:eastAsia="zh-CN"/>
                    </w:rPr>
                    <w:t>35</w:t>
                  </w:r>
                </w:p>
              </w:tc>
              <w:tc>
                <w:tcPr>
                  <w:tcW w:w="385" w:type="pct"/>
                  <w:noWrap w:val="0"/>
                  <w:vAlign w:val="center"/>
                </w:tcPr>
                <w:p w14:paraId="36FED7B3">
                  <w:pPr>
                    <w:adjustRightInd w:val="0"/>
                    <w:snapToGrid w:val="0"/>
                    <w:ind w:left="-105" w:leftChars="-50" w:right="-105" w:rightChars="-50"/>
                    <w:jc w:val="center"/>
                    <w:rPr>
                      <w:color w:val="auto"/>
                    </w:rPr>
                  </w:pPr>
                  <w:r>
                    <w:rPr>
                      <w:color w:val="auto"/>
                    </w:rPr>
                    <w:t>1m</w:t>
                  </w:r>
                </w:p>
              </w:tc>
            </w:tr>
            <w:tr w14:paraId="3335CA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dxa"/>
                  <w:noWrap w:val="0"/>
                  <w:vAlign w:val="center"/>
                </w:tcPr>
                <w:p w14:paraId="634432AC">
                  <w:pPr>
                    <w:adjustRightInd w:val="0"/>
                    <w:snapToGrid w:val="0"/>
                    <w:ind w:left="-105" w:leftChars="-50" w:right="-105" w:rightChars="-50"/>
                    <w:jc w:val="center"/>
                    <w:rPr>
                      <w:rFonts w:hint="default" w:eastAsia="宋体"/>
                      <w:color w:val="auto"/>
                      <w:lang w:val="en-US" w:eastAsia="zh-CN"/>
                    </w:rPr>
                  </w:pPr>
                  <w:r>
                    <w:rPr>
                      <w:rFonts w:hint="eastAsia"/>
                      <w:color w:val="auto"/>
                      <w:lang w:val="en-US" w:eastAsia="zh-CN"/>
                    </w:rPr>
                    <w:t>9</w:t>
                  </w:r>
                </w:p>
              </w:tc>
              <w:tc>
                <w:tcPr>
                  <w:tcW w:w="212" w:type="pct"/>
                  <w:vMerge w:val="continue"/>
                  <w:noWrap w:val="0"/>
                  <w:vAlign w:val="center"/>
                </w:tcPr>
                <w:p w14:paraId="5A0521E5">
                  <w:pPr>
                    <w:adjustRightInd w:val="0"/>
                    <w:snapToGrid w:val="0"/>
                    <w:ind w:left="-105" w:leftChars="-50" w:right="-105" w:rightChars="-50"/>
                    <w:jc w:val="center"/>
                    <w:rPr>
                      <w:rFonts w:hint="eastAsia" w:hAnsi="宋体"/>
                      <w:color w:val="auto"/>
                      <w:lang w:eastAsia="zh-CN"/>
                    </w:rPr>
                  </w:pPr>
                </w:p>
              </w:tc>
              <w:tc>
                <w:tcPr>
                  <w:tcW w:w="444" w:type="pct"/>
                  <w:noWrap w:val="0"/>
                  <w:vAlign w:val="center"/>
                </w:tcPr>
                <w:p w14:paraId="4751B37F">
                  <w:pPr>
                    <w:jc w:val="center"/>
                    <w:rPr>
                      <w:rFonts w:hint="eastAsia" w:ascii="Times New Roman" w:hAnsi="Times New Roman" w:eastAsia="宋体" w:cs="Times New Roman"/>
                      <w:color w:val="auto"/>
                      <w:sz w:val="21"/>
                      <w:szCs w:val="21"/>
                      <w:lang w:val="en-US" w:eastAsia="zh-CN"/>
                    </w:rPr>
                  </w:pPr>
                  <w:r>
                    <w:rPr>
                      <w:rFonts w:hint="eastAsia"/>
                      <w:lang w:val="en-US" w:eastAsia="zh-CN"/>
                    </w:rPr>
                    <w:t>1#</w:t>
                  </w:r>
                  <w:r>
                    <w:rPr>
                      <w:rFonts w:hint="default" w:ascii="Times New Roman" w:hAnsi="Times New Roman" w:eastAsia="宋体" w:cs="Times New Roman"/>
                      <w:color w:val="auto"/>
                      <w:sz w:val="21"/>
                      <w:szCs w:val="21"/>
                      <w:lang w:val="en-US" w:eastAsia="zh-CN"/>
                    </w:rPr>
                    <w:t>平衡机</w:t>
                  </w:r>
                </w:p>
              </w:tc>
              <w:tc>
                <w:tcPr>
                  <w:tcW w:w="485" w:type="pct"/>
                  <w:noWrap w:val="0"/>
                  <w:vAlign w:val="center"/>
                </w:tcPr>
                <w:p w14:paraId="667DAB72">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0" w:type="pct"/>
                  <w:noWrap w:val="0"/>
                  <w:vAlign w:val="center"/>
                </w:tcPr>
                <w:p w14:paraId="4072F71B">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Cs w:val="21"/>
                      <w:lang w:val="en-US" w:eastAsia="zh-CN"/>
                    </w:rPr>
                  </w:pPr>
                  <w:r>
                    <w:rPr>
                      <w:rFonts w:hint="eastAsia" w:cs="Times New Roman"/>
                      <w:bCs/>
                      <w:color w:val="auto"/>
                      <w:sz w:val="21"/>
                      <w:szCs w:val="21"/>
                      <w:lang w:val="en-US" w:eastAsia="zh-CN"/>
                    </w:rPr>
                    <w:t>1</w:t>
                  </w:r>
                </w:p>
              </w:tc>
              <w:tc>
                <w:tcPr>
                  <w:tcW w:w="552" w:type="pct"/>
                  <w:noWrap w:val="0"/>
                  <w:vAlign w:val="center"/>
                </w:tcPr>
                <w:p w14:paraId="7E22EB2F">
                  <w:pPr>
                    <w:jc w:val="center"/>
                    <w:rPr>
                      <w:rFonts w:hint="default"/>
                      <w:color w:val="auto"/>
                      <w:szCs w:val="21"/>
                      <w:lang w:val="en-US" w:eastAsia="zh-CN"/>
                    </w:rPr>
                  </w:pPr>
                  <w:r>
                    <w:rPr>
                      <w:rFonts w:hint="eastAsia"/>
                      <w:color w:val="auto"/>
                      <w:szCs w:val="21"/>
                      <w:lang w:val="en-US" w:eastAsia="zh-CN"/>
                    </w:rPr>
                    <w:t>75</w:t>
                  </w:r>
                </w:p>
              </w:tc>
              <w:tc>
                <w:tcPr>
                  <w:tcW w:w="402" w:type="pct"/>
                  <w:vMerge w:val="continue"/>
                  <w:noWrap w:val="0"/>
                  <w:vAlign w:val="center"/>
                </w:tcPr>
                <w:p w14:paraId="4FE23D96">
                  <w:pPr>
                    <w:adjustRightInd w:val="0"/>
                    <w:snapToGrid w:val="0"/>
                    <w:ind w:left="-105" w:leftChars="-50" w:right="-105" w:rightChars="-50"/>
                    <w:jc w:val="center"/>
                    <w:rPr>
                      <w:rFonts w:hAnsi="宋体"/>
                      <w:bCs/>
                      <w:color w:val="auto"/>
                      <w:szCs w:val="20"/>
                    </w:rPr>
                  </w:pPr>
                </w:p>
              </w:tc>
              <w:tc>
                <w:tcPr>
                  <w:tcW w:w="210" w:type="pct"/>
                  <w:noWrap w:val="0"/>
                  <w:vAlign w:val="center"/>
                </w:tcPr>
                <w:p w14:paraId="78FA7EA6">
                  <w:pPr>
                    <w:adjustRightInd w:val="0"/>
                    <w:snapToGrid w:val="0"/>
                    <w:ind w:left="-105" w:leftChars="-50" w:right="-105" w:rightChars="-50"/>
                    <w:jc w:val="center"/>
                    <w:rPr>
                      <w:rFonts w:hint="default"/>
                      <w:color w:val="auto"/>
                      <w:lang w:val="en-US" w:eastAsia="zh-CN"/>
                    </w:rPr>
                  </w:pPr>
                  <w:r>
                    <w:rPr>
                      <w:rFonts w:hint="eastAsia"/>
                      <w:color w:val="auto"/>
                      <w:lang w:val="en-US" w:eastAsia="zh-CN"/>
                    </w:rPr>
                    <w:t>19</w:t>
                  </w:r>
                </w:p>
              </w:tc>
              <w:tc>
                <w:tcPr>
                  <w:tcW w:w="210" w:type="pct"/>
                  <w:noWrap w:val="0"/>
                  <w:vAlign w:val="center"/>
                </w:tcPr>
                <w:p w14:paraId="52271EF2">
                  <w:pPr>
                    <w:adjustRightInd w:val="0"/>
                    <w:snapToGrid w:val="0"/>
                    <w:ind w:left="-105" w:leftChars="-50" w:right="-105" w:rightChars="-50"/>
                    <w:jc w:val="center"/>
                    <w:rPr>
                      <w:rFonts w:hint="default"/>
                      <w:color w:val="auto"/>
                      <w:lang w:val="en-US" w:eastAsia="zh-CN"/>
                    </w:rPr>
                  </w:pPr>
                  <w:r>
                    <w:rPr>
                      <w:rFonts w:hint="eastAsia"/>
                      <w:color w:val="auto"/>
                      <w:lang w:val="en-US" w:eastAsia="zh-CN"/>
                    </w:rPr>
                    <w:t>14</w:t>
                  </w:r>
                </w:p>
              </w:tc>
              <w:tc>
                <w:tcPr>
                  <w:tcW w:w="229" w:type="pct"/>
                  <w:noWrap w:val="0"/>
                  <w:vAlign w:val="center"/>
                </w:tcPr>
                <w:p w14:paraId="2D7F0BE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04" w:type="dxa"/>
                  <w:noWrap w:val="0"/>
                  <w:vAlign w:val="center"/>
                </w:tcPr>
                <w:p w14:paraId="555746EF">
                  <w:pPr>
                    <w:adjustRightInd w:val="0"/>
                    <w:snapToGrid w:val="0"/>
                    <w:ind w:left="-105" w:leftChars="-50" w:right="-105" w:rightChars="-50"/>
                    <w:jc w:val="center"/>
                    <w:rPr>
                      <w:rFonts w:hint="default"/>
                      <w:color w:val="auto"/>
                      <w:lang w:val="en-US" w:eastAsia="zh-CN"/>
                    </w:rPr>
                  </w:pPr>
                  <w:r>
                    <w:rPr>
                      <w:rFonts w:hint="eastAsia"/>
                      <w:color w:val="auto"/>
                      <w:lang w:val="en-US" w:eastAsia="zh-CN"/>
                    </w:rPr>
                    <w:t>12</w:t>
                  </w:r>
                </w:p>
              </w:tc>
              <w:tc>
                <w:tcPr>
                  <w:tcW w:w="260" w:type="pct"/>
                  <w:noWrap w:val="0"/>
                  <w:vAlign w:val="center"/>
                </w:tcPr>
                <w:p w14:paraId="7B552732">
                  <w:pPr>
                    <w:adjustRightInd w:val="0"/>
                    <w:snapToGrid w:val="0"/>
                    <w:ind w:left="-105" w:leftChars="-50" w:right="-105" w:rightChars="-50"/>
                    <w:jc w:val="center"/>
                    <w:rPr>
                      <w:rFonts w:hint="default"/>
                      <w:color w:val="auto"/>
                      <w:lang w:val="en-US" w:eastAsia="zh-CN"/>
                    </w:rPr>
                  </w:pPr>
                  <w:r>
                    <w:rPr>
                      <w:rFonts w:hint="eastAsia"/>
                      <w:color w:val="auto"/>
                      <w:lang w:val="en-US" w:eastAsia="zh-CN"/>
                    </w:rPr>
                    <w:t>53.4</w:t>
                  </w:r>
                </w:p>
              </w:tc>
              <w:tc>
                <w:tcPr>
                  <w:tcW w:w="543" w:type="dxa"/>
                  <w:noWrap w:val="0"/>
                  <w:vAlign w:val="center"/>
                </w:tcPr>
                <w:p w14:paraId="3708E96E">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973" w:type="dxa"/>
                  <w:noWrap w:val="0"/>
                  <w:vAlign w:val="center"/>
                </w:tcPr>
                <w:p w14:paraId="2E78A19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362" w:type="pct"/>
                  <w:noWrap w:val="0"/>
                  <w:vAlign w:val="center"/>
                </w:tcPr>
                <w:p w14:paraId="07E9840E">
                  <w:pPr>
                    <w:adjustRightInd w:val="0"/>
                    <w:snapToGrid w:val="0"/>
                    <w:ind w:left="-105" w:leftChars="-50" w:right="-105" w:rightChars="-50"/>
                    <w:jc w:val="center"/>
                    <w:rPr>
                      <w:rFonts w:hint="default"/>
                      <w:color w:val="auto"/>
                      <w:lang w:val="en-US" w:eastAsia="zh-CN"/>
                    </w:rPr>
                  </w:pPr>
                  <w:r>
                    <w:rPr>
                      <w:rFonts w:hint="eastAsia"/>
                      <w:color w:val="auto"/>
                      <w:lang w:val="en-US" w:eastAsia="zh-CN"/>
                    </w:rPr>
                    <w:t>33.4</w:t>
                  </w:r>
                </w:p>
              </w:tc>
              <w:tc>
                <w:tcPr>
                  <w:tcW w:w="385" w:type="pct"/>
                  <w:noWrap w:val="0"/>
                  <w:vAlign w:val="center"/>
                </w:tcPr>
                <w:p w14:paraId="095E44A0">
                  <w:pPr>
                    <w:adjustRightInd w:val="0"/>
                    <w:snapToGrid w:val="0"/>
                    <w:ind w:left="-105" w:leftChars="-50" w:right="-105" w:rightChars="-50"/>
                    <w:jc w:val="center"/>
                    <w:rPr>
                      <w:color w:val="auto"/>
                    </w:rPr>
                  </w:pPr>
                  <w:r>
                    <w:rPr>
                      <w:color w:val="auto"/>
                    </w:rPr>
                    <w:t>1m</w:t>
                  </w:r>
                </w:p>
              </w:tc>
            </w:tr>
            <w:tr w14:paraId="39B3C7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dxa"/>
                  <w:noWrap w:val="0"/>
                  <w:vAlign w:val="center"/>
                </w:tcPr>
                <w:p w14:paraId="43CFAF7B">
                  <w:pPr>
                    <w:adjustRightInd w:val="0"/>
                    <w:snapToGrid w:val="0"/>
                    <w:ind w:left="-105" w:leftChars="-50" w:right="-105" w:rightChars="-50"/>
                    <w:jc w:val="center"/>
                    <w:rPr>
                      <w:rFonts w:hint="default"/>
                      <w:color w:val="auto"/>
                      <w:lang w:val="en-US" w:eastAsia="zh-CN"/>
                    </w:rPr>
                  </w:pPr>
                  <w:r>
                    <w:rPr>
                      <w:rFonts w:hint="eastAsia"/>
                      <w:color w:val="auto"/>
                      <w:lang w:val="en-US" w:eastAsia="zh-CN"/>
                    </w:rPr>
                    <w:t>10</w:t>
                  </w:r>
                </w:p>
              </w:tc>
              <w:tc>
                <w:tcPr>
                  <w:tcW w:w="212" w:type="pct"/>
                  <w:vMerge w:val="continue"/>
                  <w:noWrap w:val="0"/>
                  <w:vAlign w:val="center"/>
                </w:tcPr>
                <w:p w14:paraId="442F6B34">
                  <w:pPr>
                    <w:adjustRightInd w:val="0"/>
                    <w:snapToGrid w:val="0"/>
                    <w:ind w:left="-105" w:leftChars="-50" w:right="-105" w:rightChars="-50"/>
                    <w:jc w:val="center"/>
                    <w:rPr>
                      <w:rFonts w:hint="eastAsia" w:hAnsi="宋体"/>
                      <w:color w:val="auto"/>
                      <w:lang w:eastAsia="zh-CN"/>
                    </w:rPr>
                  </w:pPr>
                </w:p>
              </w:tc>
              <w:tc>
                <w:tcPr>
                  <w:tcW w:w="444" w:type="pct"/>
                  <w:noWrap w:val="0"/>
                  <w:vAlign w:val="center"/>
                </w:tcPr>
                <w:p w14:paraId="6796E946">
                  <w:pPr>
                    <w:jc w:val="center"/>
                    <w:rPr>
                      <w:rFonts w:hint="eastAsia"/>
                      <w:lang w:val="en-US" w:eastAsia="zh-CN"/>
                    </w:rPr>
                  </w:pPr>
                  <w:r>
                    <w:rPr>
                      <w:rFonts w:hint="eastAsia"/>
                      <w:lang w:val="en-US" w:eastAsia="zh-CN"/>
                    </w:rPr>
                    <w:t>2#</w:t>
                  </w:r>
                  <w:r>
                    <w:rPr>
                      <w:rFonts w:hint="default" w:ascii="Times New Roman" w:hAnsi="Times New Roman" w:eastAsia="宋体" w:cs="Times New Roman"/>
                      <w:color w:val="auto"/>
                      <w:sz w:val="21"/>
                      <w:szCs w:val="21"/>
                      <w:lang w:val="en-US" w:eastAsia="zh-CN"/>
                    </w:rPr>
                    <w:t>平衡机</w:t>
                  </w:r>
                </w:p>
              </w:tc>
              <w:tc>
                <w:tcPr>
                  <w:tcW w:w="485" w:type="pct"/>
                  <w:noWrap w:val="0"/>
                  <w:vAlign w:val="center"/>
                </w:tcPr>
                <w:p w14:paraId="77F192E9">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0" w:type="pct"/>
                  <w:noWrap w:val="0"/>
                  <w:vAlign w:val="center"/>
                </w:tcPr>
                <w:p w14:paraId="1567A054">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52" w:type="pct"/>
                  <w:noWrap w:val="0"/>
                  <w:vAlign w:val="center"/>
                </w:tcPr>
                <w:p w14:paraId="5190928E">
                  <w:pPr>
                    <w:jc w:val="center"/>
                    <w:rPr>
                      <w:rFonts w:hint="default"/>
                      <w:color w:val="auto"/>
                      <w:szCs w:val="21"/>
                      <w:lang w:val="en-US" w:eastAsia="zh-CN"/>
                    </w:rPr>
                  </w:pPr>
                  <w:r>
                    <w:rPr>
                      <w:rFonts w:hint="eastAsia"/>
                      <w:color w:val="auto"/>
                      <w:szCs w:val="21"/>
                      <w:lang w:val="en-US" w:eastAsia="zh-CN"/>
                    </w:rPr>
                    <w:t>75</w:t>
                  </w:r>
                </w:p>
              </w:tc>
              <w:tc>
                <w:tcPr>
                  <w:tcW w:w="402" w:type="pct"/>
                  <w:vMerge w:val="continue"/>
                  <w:noWrap w:val="0"/>
                  <w:vAlign w:val="center"/>
                </w:tcPr>
                <w:p w14:paraId="0BDF67E0">
                  <w:pPr>
                    <w:adjustRightInd w:val="0"/>
                    <w:snapToGrid w:val="0"/>
                    <w:ind w:left="-105" w:leftChars="-50" w:right="-105" w:rightChars="-50"/>
                    <w:jc w:val="center"/>
                    <w:rPr>
                      <w:rFonts w:hAnsi="宋体"/>
                      <w:bCs/>
                      <w:color w:val="auto"/>
                      <w:szCs w:val="20"/>
                    </w:rPr>
                  </w:pPr>
                </w:p>
              </w:tc>
              <w:tc>
                <w:tcPr>
                  <w:tcW w:w="210" w:type="pct"/>
                  <w:noWrap w:val="0"/>
                  <w:vAlign w:val="center"/>
                </w:tcPr>
                <w:p w14:paraId="6A1B1C00">
                  <w:pPr>
                    <w:adjustRightInd w:val="0"/>
                    <w:snapToGrid w:val="0"/>
                    <w:ind w:left="-105" w:leftChars="-50" w:right="-105" w:rightChars="-50"/>
                    <w:jc w:val="center"/>
                    <w:rPr>
                      <w:rFonts w:hint="default"/>
                      <w:color w:val="auto"/>
                      <w:lang w:val="en-US" w:eastAsia="zh-CN"/>
                    </w:rPr>
                  </w:pPr>
                  <w:r>
                    <w:rPr>
                      <w:rFonts w:hint="eastAsia"/>
                      <w:color w:val="auto"/>
                      <w:lang w:val="en-US" w:eastAsia="zh-CN"/>
                    </w:rPr>
                    <w:t>19</w:t>
                  </w:r>
                </w:p>
              </w:tc>
              <w:tc>
                <w:tcPr>
                  <w:tcW w:w="210" w:type="pct"/>
                  <w:noWrap w:val="0"/>
                  <w:vAlign w:val="center"/>
                </w:tcPr>
                <w:p w14:paraId="729AD712">
                  <w:pPr>
                    <w:adjustRightInd w:val="0"/>
                    <w:snapToGrid w:val="0"/>
                    <w:ind w:left="-105" w:leftChars="-50" w:right="-105" w:rightChars="-50"/>
                    <w:jc w:val="center"/>
                    <w:rPr>
                      <w:rFonts w:hint="default"/>
                      <w:color w:val="auto"/>
                      <w:lang w:val="en-US" w:eastAsia="zh-CN"/>
                    </w:rPr>
                  </w:pPr>
                  <w:r>
                    <w:rPr>
                      <w:rFonts w:hint="eastAsia"/>
                      <w:color w:val="auto"/>
                      <w:lang w:val="en-US" w:eastAsia="zh-CN"/>
                    </w:rPr>
                    <w:t>16</w:t>
                  </w:r>
                </w:p>
              </w:tc>
              <w:tc>
                <w:tcPr>
                  <w:tcW w:w="229" w:type="pct"/>
                  <w:noWrap w:val="0"/>
                  <w:vAlign w:val="center"/>
                </w:tcPr>
                <w:p w14:paraId="578638B3">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04" w:type="dxa"/>
                  <w:noWrap w:val="0"/>
                  <w:vAlign w:val="center"/>
                </w:tcPr>
                <w:p w14:paraId="763D476A">
                  <w:pPr>
                    <w:adjustRightInd w:val="0"/>
                    <w:snapToGrid w:val="0"/>
                    <w:ind w:left="-105" w:leftChars="-50" w:right="-105" w:rightChars="-50"/>
                    <w:jc w:val="center"/>
                    <w:rPr>
                      <w:rFonts w:hint="default"/>
                      <w:color w:val="auto"/>
                      <w:lang w:val="en-US" w:eastAsia="zh-CN"/>
                    </w:rPr>
                  </w:pPr>
                  <w:r>
                    <w:rPr>
                      <w:rFonts w:hint="eastAsia"/>
                      <w:color w:val="auto"/>
                      <w:lang w:val="en-US" w:eastAsia="zh-CN"/>
                    </w:rPr>
                    <w:t>15</w:t>
                  </w:r>
                </w:p>
              </w:tc>
              <w:tc>
                <w:tcPr>
                  <w:tcW w:w="260" w:type="pct"/>
                  <w:noWrap w:val="0"/>
                  <w:vAlign w:val="center"/>
                </w:tcPr>
                <w:p w14:paraId="5FAFB89F">
                  <w:pPr>
                    <w:adjustRightInd w:val="0"/>
                    <w:snapToGrid w:val="0"/>
                    <w:ind w:left="-105" w:leftChars="-50" w:right="-105" w:rightChars="-50"/>
                    <w:jc w:val="center"/>
                    <w:rPr>
                      <w:rFonts w:hint="default"/>
                      <w:color w:val="auto"/>
                      <w:lang w:val="en-US" w:eastAsia="zh-CN"/>
                    </w:rPr>
                  </w:pPr>
                  <w:r>
                    <w:rPr>
                      <w:rFonts w:hint="eastAsia"/>
                      <w:color w:val="auto"/>
                      <w:lang w:val="en-US" w:eastAsia="zh-CN"/>
                    </w:rPr>
                    <w:t>51.5</w:t>
                  </w:r>
                </w:p>
              </w:tc>
              <w:tc>
                <w:tcPr>
                  <w:tcW w:w="543" w:type="dxa"/>
                  <w:noWrap w:val="0"/>
                  <w:vAlign w:val="center"/>
                </w:tcPr>
                <w:p w14:paraId="6977C7BF">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973" w:type="dxa"/>
                  <w:noWrap w:val="0"/>
                  <w:vAlign w:val="center"/>
                </w:tcPr>
                <w:p w14:paraId="325CB4C0">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362" w:type="pct"/>
                  <w:noWrap w:val="0"/>
                  <w:vAlign w:val="center"/>
                </w:tcPr>
                <w:p w14:paraId="687A3E79">
                  <w:pPr>
                    <w:adjustRightInd w:val="0"/>
                    <w:snapToGrid w:val="0"/>
                    <w:ind w:left="-105" w:leftChars="-50" w:right="-105" w:rightChars="-50"/>
                    <w:jc w:val="center"/>
                    <w:rPr>
                      <w:rFonts w:hint="default"/>
                      <w:color w:val="auto"/>
                      <w:lang w:val="en-US" w:eastAsia="zh-CN"/>
                    </w:rPr>
                  </w:pPr>
                  <w:r>
                    <w:rPr>
                      <w:rFonts w:hint="eastAsia"/>
                      <w:color w:val="auto"/>
                      <w:lang w:val="en-US" w:eastAsia="zh-CN"/>
                    </w:rPr>
                    <w:t>31.5</w:t>
                  </w:r>
                </w:p>
              </w:tc>
              <w:tc>
                <w:tcPr>
                  <w:tcW w:w="385" w:type="pct"/>
                  <w:noWrap w:val="0"/>
                  <w:vAlign w:val="center"/>
                </w:tcPr>
                <w:p w14:paraId="2344EEF0">
                  <w:pPr>
                    <w:adjustRightInd w:val="0"/>
                    <w:snapToGrid w:val="0"/>
                    <w:ind w:left="-105" w:leftChars="-50" w:right="-105" w:rightChars="-50"/>
                    <w:jc w:val="center"/>
                    <w:rPr>
                      <w:color w:val="auto"/>
                    </w:rPr>
                  </w:pPr>
                  <w:r>
                    <w:rPr>
                      <w:color w:val="auto"/>
                    </w:rPr>
                    <w:t>1m</w:t>
                  </w:r>
                </w:p>
              </w:tc>
            </w:tr>
            <w:tr w14:paraId="4750F9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 w:type="pct"/>
                  <w:noWrap w:val="0"/>
                  <w:vAlign w:val="center"/>
                </w:tcPr>
                <w:p w14:paraId="1D6575C7">
                  <w:pPr>
                    <w:adjustRightInd w:val="0"/>
                    <w:snapToGrid w:val="0"/>
                    <w:ind w:left="-105" w:leftChars="-50" w:right="-105" w:rightChars="-50"/>
                    <w:jc w:val="center"/>
                    <w:rPr>
                      <w:rFonts w:hint="default"/>
                      <w:color w:val="auto"/>
                      <w:lang w:val="en-US" w:eastAsia="zh-CN"/>
                    </w:rPr>
                  </w:pPr>
                  <w:r>
                    <w:rPr>
                      <w:rFonts w:hint="eastAsia"/>
                      <w:color w:val="auto"/>
                      <w:lang w:val="en-US" w:eastAsia="zh-CN"/>
                    </w:rPr>
                    <w:t>11</w:t>
                  </w:r>
                </w:p>
              </w:tc>
              <w:tc>
                <w:tcPr>
                  <w:tcW w:w="212" w:type="pct"/>
                  <w:vMerge w:val="continue"/>
                  <w:noWrap w:val="0"/>
                  <w:vAlign w:val="center"/>
                </w:tcPr>
                <w:p w14:paraId="473DC1E7">
                  <w:pPr>
                    <w:adjustRightInd w:val="0"/>
                    <w:snapToGrid w:val="0"/>
                    <w:ind w:left="-105" w:leftChars="-50" w:right="-105" w:rightChars="-50"/>
                    <w:jc w:val="center"/>
                    <w:rPr>
                      <w:rFonts w:hint="eastAsia" w:hAnsi="宋体"/>
                      <w:color w:val="auto"/>
                      <w:lang w:eastAsia="zh-CN"/>
                    </w:rPr>
                  </w:pPr>
                </w:p>
              </w:tc>
              <w:tc>
                <w:tcPr>
                  <w:tcW w:w="444" w:type="pct"/>
                  <w:noWrap w:val="0"/>
                  <w:vAlign w:val="center"/>
                </w:tcPr>
                <w:p w14:paraId="20BAB46B">
                  <w:pPr>
                    <w:jc w:val="center"/>
                    <w:rPr>
                      <w:rFonts w:hint="eastAsia"/>
                      <w:lang w:val="en-US" w:eastAsia="zh-CN"/>
                    </w:rPr>
                  </w:pPr>
                  <w:r>
                    <w:rPr>
                      <w:rFonts w:hint="eastAsia"/>
                      <w:lang w:val="en-US" w:eastAsia="zh-CN"/>
                    </w:rPr>
                    <w:t>3#</w:t>
                  </w:r>
                  <w:r>
                    <w:rPr>
                      <w:rFonts w:hint="default" w:ascii="Times New Roman" w:hAnsi="Times New Roman" w:eastAsia="宋体" w:cs="Times New Roman"/>
                      <w:color w:val="auto"/>
                      <w:sz w:val="21"/>
                      <w:szCs w:val="21"/>
                      <w:lang w:val="en-US" w:eastAsia="zh-CN"/>
                    </w:rPr>
                    <w:t>平衡机</w:t>
                  </w:r>
                </w:p>
              </w:tc>
              <w:tc>
                <w:tcPr>
                  <w:tcW w:w="1305" w:type="dxa"/>
                  <w:noWrap w:val="0"/>
                  <w:vAlign w:val="center"/>
                </w:tcPr>
                <w:p w14:paraId="67D1A870">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18" w:type="dxa"/>
                  <w:noWrap w:val="0"/>
                  <w:vAlign w:val="center"/>
                </w:tcPr>
                <w:p w14:paraId="26A27AF0">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1484" w:type="dxa"/>
                  <w:noWrap w:val="0"/>
                  <w:vAlign w:val="center"/>
                </w:tcPr>
                <w:p w14:paraId="67FC5822">
                  <w:pPr>
                    <w:jc w:val="center"/>
                    <w:rPr>
                      <w:rFonts w:hint="eastAsia"/>
                      <w:color w:val="auto"/>
                      <w:szCs w:val="21"/>
                      <w:lang w:val="en-US" w:eastAsia="zh-CN"/>
                    </w:rPr>
                  </w:pPr>
                  <w:r>
                    <w:rPr>
                      <w:rFonts w:hint="eastAsia"/>
                      <w:color w:val="auto"/>
                      <w:szCs w:val="21"/>
                      <w:lang w:val="en-US" w:eastAsia="zh-CN"/>
                    </w:rPr>
                    <w:t>75</w:t>
                  </w:r>
                </w:p>
              </w:tc>
              <w:tc>
                <w:tcPr>
                  <w:tcW w:w="402" w:type="pct"/>
                  <w:vMerge w:val="continue"/>
                  <w:noWrap w:val="0"/>
                  <w:vAlign w:val="center"/>
                </w:tcPr>
                <w:p w14:paraId="3423C7E6">
                  <w:pPr>
                    <w:adjustRightInd w:val="0"/>
                    <w:snapToGrid w:val="0"/>
                    <w:ind w:left="-105" w:leftChars="-50" w:right="-105" w:rightChars="-50"/>
                    <w:jc w:val="center"/>
                    <w:rPr>
                      <w:rFonts w:hAnsi="宋体"/>
                      <w:bCs/>
                      <w:color w:val="auto"/>
                      <w:szCs w:val="20"/>
                    </w:rPr>
                  </w:pPr>
                </w:p>
              </w:tc>
              <w:tc>
                <w:tcPr>
                  <w:tcW w:w="210" w:type="pct"/>
                  <w:noWrap w:val="0"/>
                  <w:vAlign w:val="center"/>
                </w:tcPr>
                <w:p w14:paraId="2546AA73">
                  <w:pPr>
                    <w:adjustRightInd w:val="0"/>
                    <w:snapToGrid w:val="0"/>
                    <w:ind w:left="-105" w:leftChars="-50" w:right="-105" w:rightChars="-50"/>
                    <w:jc w:val="center"/>
                    <w:rPr>
                      <w:rFonts w:hint="default"/>
                      <w:color w:val="auto"/>
                      <w:lang w:val="en-US" w:eastAsia="zh-CN"/>
                    </w:rPr>
                  </w:pPr>
                  <w:r>
                    <w:rPr>
                      <w:rFonts w:hint="eastAsia"/>
                      <w:color w:val="auto"/>
                      <w:lang w:val="en-US" w:eastAsia="zh-CN"/>
                    </w:rPr>
                    <w:t>19</w:t>
                  </w:r>
                </w:p>
              </w:tc>
              <w:tc>
                <w:tcPr>
                  <w:tcW w:w="210" w:type="pct"/>
                  <w:noWrap w:val="0"/>
                  <w:vAlign w:val="center"/>
                </w:tcPr>
                <w:p w14:paraId="3103F836">
                  <w:pPr>
                    <w:adjustRightInd w:val="0"/>
                    <w:snapToGrid w:val="0"/>
                    <w:ind w:left="-105" w:leftChars="-50" w:right="-105" w:rightChars="-50"/>
                    <w:jc w:val="center"/>
                    <w:rPr>
                      <w:rFonts w:hint="default"/>
                      <w:color w:val="auto"/>
                      <w:lang w:val="en-US" w:eastAsia="zh-CN"/>
                    </w:rPr>
                  </w:pPr>
                  <w:r>
                    <w:rPr>
                      <w:rFonts w:hint="eastAsia"/>
                      <w:color w:val="auto"/>
                      <w:lang w:val="en-US" w:eastAsia="zh-CN"/>
                    </w:rPr>
                    <w:t>18</w:t>
                  </w:r>
                </w:p>
              </w:tc>
              <w:tc>
                <w:tcPr>
                  <w:tcW w:w="229" w:type="pct"/>
                  <w:noWrap w:val="0"/>
                  <w:vAlign w:val="center"/>
                </w:tcPr>
                <w:p w14:paraId="6B0AE2D7">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704" w:type="dxa"/>
                  <w:noWrap w:val="0"/>
                  <w:vAlign w:val="center"/>
                </w:tcPr>
                <w:p w14:paraId="590484C6">
                  <w:pPr>
                    <w:adjustRightInd w:val="0"/>
                    <w:snapToGrid w:val="0"/>
                    <w:ind w:left="-105" w:leftChars="-50" w:right="-105" w:rightChars="-50"/>
                    <w:jc w:val="center"/>
                    <w:rPr>
                      <w:rFonts w:hint="eastAsia"/>
                      <w:color w:val="auto"/>
                      <w:lang w:val="en-US" w:eastAsia="zh-CN"/>
                    </w:rPr>
                  </w:pPr>
                  <w:r>
                    <w:rPr>
                      <w:rFonts w:hint="eastAsia"/>
                      <w:color w:val="auto"/>
                      <w:lang w:val="en-US" w:eastAsia="zh-CN"/>
                    </w:rPr>
                    <w:t>17</w:t>
                  </w:r>
                </w:p>
              </w:tc>
              <w:tc>
                <w:tcPr>
                  <w:tcW w:w="260" w:type="pct"/>
                  <w:noWrap w:val="0"/>
                  <w:vAlign w:val="center"/>
                </w:tcPr>
                <w:p w14:paraId="0045D1FE">
                  <w:pPr>
                    <w:adjustRightInd w:val="0"/>
                    <w:snapToGrid w:val="0"/>
                    <w:ind w:left="-105" w:leftChars="-50" w:right="-105" w:rightChars="-50"/>
                    <w:jc w:val="center"/>
                    <w:rPr>
                      <w:rFonts w:hint="default"/>
                      <w:color w:val="auto"/>
                      <w:lang w:val="en-US" w:eastAsia="zh-CN"/>
                    </w:rPr>
                  </w:pPr>
                  <w:r>
                    <w:rPr>
                      <w:rFonts w:hint="eastAsia"/>
                      <w:color w:val="auto"/>
                      <w:lang w:val="en-US" w:eastAsia="zh-CN"/>
                    </w:rPr>
                    <w:t>50.4</w:t>
                  </w:r>
                </w:p>
              </w:tc>
              <w:tc>
                <w:tcPr>
                  <w:tcW w:w="543" w:type="dxa"/>
                  <w:noWrap w:val="0"/>
                  <w:vAlign w:val="center"/>
                </w:tcPr>
                <w:p w14:paraId="6366D630">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973" w:type="dxa"/>
                  <w:noWrap w:val="0"/>
                  <w:vAlign w:val="center"/>
                </w:tcPr>
                <w:p w14:paraId="666BFAF4">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362" w:type="pct"/>
                  <w:noWrap w:val="0"/>
                  <w:vAlign w:val="center"/>
                </w:tcPr>
                <w:p w14:paraId="33590F2B">
                  <w:pPr>
                    <w:adjustRightInd w:val="0"/>
                    <w:snapToGrid w:val="0"/>
                    <w:ind w:left="-105" w:leftChars="-50" w:right="-105" w:rightChars="-50"/>
                    <w:jc w:val="center"/>
                    <w:rPr>
                      <w:rFonts w:hint="default"/>
                      <w:color w:val="auto"/>
                      <w:lang w:val="en-US" w:eastAsia="zh-CN"/>
                    </w:rPr>
                  </w:pPr>
                  <w:r>
                    <w:rPr>
                      <w:rFonts w:hint="eastAsia"/>
                      <w:color w:val="auto"/>
                      <w:lang w:val="en-US" w:eastAsia="zh-CN"/>
                    </w:rPr>
                    <w:t>30.4</w:t>
                  </w:r>
                </w:p>
              </w:tc>
              <w:tc>
                <w:tcPr>
                  <w:tcW w:w="385" w:type="pct"/>
                  <w:noWrap w:val="0"/>
                  <w:vAlign w:val="center"/>
                </w:tcPr>
                <w:p w14:paraId="64386AC3">
                  <w:pPr>
                    <w:adjustRightInd w:val="0"/>
                    <w:snapToGrid w:val="0"/>
                    <w:ind w:left="-105" w:leftChars="-50" w:right="-105" w:rightChars="-50"/>
                    <w:jc w:val="center"/>
                    <w:rPr>
                      <w:color w:val="auto"/>
                    </w:rPr>
                  </w:pPr>
                  <w:r>
                    <w:rPr>
                      <w:color w:val="auto"/>
                    </w:rPr>
                    <w:t>1m</w:t>
                  </w:r>
                </w:p>
              </w:tc>
            </w:tr>
            <w:tr w14:paraId="10F1C1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 w:type="pct"/>
                  <w:noWrap w:val="0"/>
                  <w:vAlign w:val="center"/>
                </w:tcPr>
                <w:p w14:paraId="4DFFB871">
                  <w:pPr>
                    <w:adjustRightInd w:val="0"/>
                    <w:snapToGrid w:val="0"/>
                    <w:ind w:left="-105" w:leftChars="-50" w:right="-105" w:rightChars="-50"/>
                    <w:jc w:val="center"/>
                    <w:rPr>
                      <w:rFonts w:hint="default"/>
                      <w:color w:val="auto"/>
                      <w:lang w:val="en-US" w:eastAsia="zh-CN"/>
                    </w:rPr>
                  </w:pPr>
                  <w:r>
                    <w:rPr>
                      <w:rFonts w:hint="eastAsia"/>
                      <w:color w:val="auto"/>
                      <w:lang w:val="en-US" w:eastAsia="zh-CN"/>
                    </w:rPr>
                    <w:t>12</w:t>
                  </w:r>
                </w:p>
              </w:tc>
              <w:tc>
                <w:tcPr>
                  <w:tcW w:w="212" w:type="pct"/>
                  <w:vMerge w:val="continue"/>
                  <w:noWrap w:val="0"/>
                  <w:vAlign w:val="center"/>
                </w:tcPr>
                <w:p w14:paraId="7FD0A677">
                  <w:pPr>
                    <w:adjustRightInd w:val="0"/>
                    <w:snapToGrid w:val="0"/>
                    <w:ind w:left="-105" w:leftChars="-50" w:right="-105" w:rightChars="-50"/>
                    <w:jc w:val="center"/>
                    <w:rPr>
                      <w:rFonts w:hint="eastAsia" w:hAnsi="宋体"/>
                      <w:color w:val="auto"/>
                      <w:lang w:eastAsia="zh-CN"/>
                    </w:rPr>
                  </w:pPr>
                </w:p>
              </w:tc>
              <w:tc>
                <w:tcPr>
                  <w:tcW w:w="444" w:type="pct"/>
                  <w:noWrap w:val="0"/>
                  <w:vAlign w:val="center"/>
                </w:tcPr>
                <w:p w14:paraId="48AF6232">
                  <w:pPr>
                    <w:keepNext w:val="0"/>
                    <w:keepLines w:val="0"/>
                    <w:pageBreakBefore w:val="0"/>
                    <w:wordWrap/>
                    <w:overflowPunct/>
                    <w:topLinePunct w:val="0"/>
                    <w:bidi w:val="0"/>
                    <w:adjustRightInd w:val="0"/>
                    <w:snapToGrid w:val="0"/>
                    <w:spacing w:line="240" w:lineRule="auto"/>
                    <w:ind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空压机</w:t>
                  </w:r>
                </w:p>
              </w:tc>
              <w:tc>
                <w:tcPr>
                  <w:tcW w:w="485" w:type="pct"/>
                  <w:noWrap w:val="0"/>
                  <w:vAlign w:val="center"/>
                </w:tcPr>
                <w:p w14:paraId="250362F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0" w:type="pct"/>
                  <w:noWrap w:val="0"/>
                  <w:vAlign w:val="center"/>
                </w:tcPr>
                <w:p w14:paraId="2F49A6A6">
                  <w:pPr>
                    <w:keepNext w:val="0"/>
                    <w:keepLines w:val="0"/>
                    <w:pageBreakBefore w:val="0"/>
                    <w:wordWrap/>
                    <w:overflowPunct/>
                    <w:topLinePunct w:val="0"/>
                    <w:bidi w:val="0"/>
                    <w:spacing w:line="240" w:lineRule="auto"/>
                    <w:ind w:right="0" w:rightChars="0"/>
                    <w:jc w:val="center"/>
                    <w:rPr>
                      <w:rFonts w:hint="eastAsia" w:ascii="宋体" w:hAnsi="宋体" w:eastAsia="宋体" w:cs="宋体"/>
                      <w:color w:val="auto"/>
                      <w:spacing w:val="-17"/>
                      <w:sz w:val="24"/>
                      <w:szCs w:val="24"/>
                      <w:vertAlign w:val="baseline"/>
                      <w:lang w:val="en-US" w:eastAsia="zh-CN"/>
                    </w:rPr>
                  </w:pPr>
                  <w:r>
                    <w:rPr>
                      <w:rFonts w:hint="eastAsia" w:cs="Times New Roman"/>
                      <w:bCs/>
                      <w:color w:val="auto"/>
                      <w:sz w:val="21"/>
                      <w:szCs w:val="21"/>
                      <w:lang w:val="en-US" w:eastAsia="zh-CN"/>
                    </w:rPr>
                    <w:t>1</w:t>
                  </w:r>
                </w:p>
              </w:tc>
              <w:tc>
                <w:tcPr>
                  <w:tcW w:w="552" w:type="pct"/>
                  <w:noWrap w:val="0"/>
                  <w:vAlign w:val="center"/>
                </w:tcPr>
                <w:p w14:paraId="483E4FE5">
                  <w:pPr>
                    <w:jc w:val="center"/>
                    <w:rPr>
                      <w:rFonts w:hint="default"/>
                      <w:color w:val="auto"/>
                      <w:szCs w:val="21"/>
                      <w:lang w:val="en-US" w:eastAsia="zh-CN"/>
                    </w:rPr>
                  </w:pPr>
                  <w:r>
                    <w:rPr>
                      <w:rFonts w:hint="eastAsia"/>
                      <w:color w:val="auto"/>
                      <w:szCs w:val="21"/>
                      <w:lang w:val="en-US" w:eastAsia="zh-CN"/>
                    </w:rPr>
                    <w:t>80</w:t>
                  </w:r>
                </w:p>
              </w:tc>
              <w:tc>
                <w:tcPr>
                  <w:tcW w:w="402" w:type="pct"/>
                  <w:vMerge w:val="continue"/>
                  <w:noWrap w:val="0"/>
                  <w:vAlign w:val="center"/>
                </w:tcPr>
                <w:p w14:paraId="6AFCC5EC">
                  <w:pPr>
                    <w:adjustRightInd w:val="0"/>
                    <w:snapToGrid w:val="0"/>
                    <w:ind w:left="-105" w:leftChars="-50" w:right="-105" w:rightChars="-50"/>
                    <w:jc w:val="center"/>
                    <w:rPr>
                      <w:rFonts w:hAnsi="宋体"/>
                      <w:bCs/>
                      <w:color w:val="auto"/>
                      <w:szCs w:val="20"/>
                    </w:rPr>
                  </w:pPr>
                </w:p>
              </w:tc>
              <w:tc>
                <w:tcPr>
                  <w:tcW w:w="210" w:type="pct"/>
                  <w:noWrap w:val="0"/>
                  <w:vAlign w:val="center"/>
                </w:tcPr>
                <w:p w14:paraId="097B7247">
                  <w:pPr>
                    <w:adjustRightInd w:val="0"/>
                    <w:snapToGrid w:val="0"/>
                    <w:ind w:left="-105" w:leftChars="-50" w:right="-105" w:rightChars="-50"/>
                    <w:jc w:val="center"/>
                    <w:rPr>
                      <w:rFonts w:hint="default"/>
                      <w:color w:val="auto"/>
                      <w:lang w:val="en-US" w:eastAsia="zh-CN"/>
                    </w:rPr>
                  </w:pPr>
                  <w:r>
                    <w:rPr>
                      <w:rFonts w:hint="eastAsia"/>
                      <w:color w:val="auto"/>
                      <w:lang w:val="en-US" w:eastAsia="zh-CN"/>
                    </w:rPr>
                    <w:t>7</w:t>
                  </w:r>
                </w:p>
              </w:tc>
              <w:tc>
                <w:tcPr>
                  <w:tcW w:w="210" w:type="pct"/>
                  <w:noWrap w:val="0"/>
                  <w:vAlign w:val="center"/>
                </w:tcPr>
                <w:p w14:paraId="603DDBC7">
                  <w:pPr>
                    <w:adjustRightInd w:val="0"/>
                    <w:snapToGrid w:val="0"/>
                    <w:ind w:left="-105" w:leftChars="-50" w:right="-105" w:rightChars="-50"/>
                    <w:jc w:val="center"/>
                    <w:rPr>
                      <w:rFonts w:hint="default"/>
                      <w:color w:val="auto"/>
                      <w:lang w:val="en-US" w:eastAsia="zh-CN"/>
                    </w:rPr>
                  </w:pPr>
                  <w:r>
                    <w:rPr>
                      <w:rFonts w:hint="eastAsia"/>
                      <w:color w:val="auto"/>
                      <w:lang w:val="en-US" w:eastAsia="zh-CN"/>
                    </w:rPr>
                    <w:t>47</w:t>
                  </w:r>
                </w:p>
              </w:tc>
              <w:tc>
                <w:tcPr>
                  <w:tcW w:w="229" w:type="pct"/>
                  <w:noWrap w:val="0"/>
                  <w:vAlign w:val="center"/>
                </w:tcPr>
                <w:p w14:paraId="445D82E6">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04" w:type="dxa"/>
                  <w:noWrap w:val="0"/>
                  <w:vAlign w:val="center"/>
                </w:tcPr>
                <w:p w14:paraId="6D74BF61">
                  <w:pPr>
                    <w:adjustRightInd w:val="0"/>
                    <w:snapToGrid w:val="0"/>
                    <w:ind w:left="-105" w:leftChars="-50" w:right="-105" w:rightChars="-50"/>
                    <w:jc w:val="center"/>
                    <w:rPr>
                      <w:rFonts w:hint="default"/>
                      <w:color w:val="auto"/>
                      <w:lang w:val="en-US" w:eastAsia="zh-CN"/>
                    </w:rPr>
                  </w:pPr>
                  <w:r>
                    <w:rPr>
                      <w:rFonts w:hint="eastAsia"/>
                      <w:color w:val="auto"/>
                      <w:lang w:val="en-US" w:eastAsia="zh-CN"/>
                    </w:rPr>
                    <w:t>7</w:t>
                  </w:r>
                </w:p>
              </w:tc>
              <w:tc>
                <w:tcPr>
                  <w:tcW w:w="260" w:type="pct"/>
                  <w:noWrap w:val="0"/>
                  <w:vAlign w:val="center"/>
                </w:tcPr>
                <w:p w14:paraId="44B8130B">
                  <w:pPr>
                    <w:adjustRightInd w:val="0"/>
                    <w:snapToGrid w:val="0"/>
                    <w:ind w:left="-105" w:leftChars="-50" w:right="-105" w:rightChars="-50"/>
                    <w:jc w:val="center"/>
                    <w:rPr>
                      <w:rFonts w:hint="default"/>
                      <w:color w:val="auto"/>
                      <w:lang w:val="en-US" w:eastAsia="zh-CN"/>
                    </w:rPr>
                  </w:pPr>
                  <w:r>
                    <w:rPr>
                      <w:rFonts w:hint="eastAsia"/>
                      <w:color w:val="auto"/>
                      <w:lang w:val="en-US" w:eastAsia="zh-CN"/>
                    </w:rPr>
                    <w:t>63.1</w:t>
                  </w:r>
                </w:p>
              </w:tc>
              <w:tc>
                <w:tcPr>
                  <w:tcW w:w="543" w:type="dxa"/>
                  <w:noWrap w:val="0"/>
                  <w:vAlign w:val="center"/>
                </w:tcPr>
                <w:p w14:paraId="3C780E4D">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973" w:type="dxa"/>
                  <w:noWrap w:val="0"/>
                  <w:vAlign w:val="center"/>
                </w:tcPr>
                <w:p w14:paraId="0564150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362" w:type="pct"/>
                  <w:noWrap w:val="0"/>
                  <w:vAlign w:val="center"/>
                </w:tcPr>
                <w:p w14:paraId="5CD169BA">
                  <w:pPr>
                    <w:adjustRightInd w:val="0"/>
                    <w:snapToGrid w:val="0"/>
                    <w:ind w:left="-105" w:leftChars="-50" w:right="-105" w:rightChars="-50"/>
                    <w:jc w:val="center"/>
                    <w:rPr>
                      <w:rFonts w:hint="default"/>
                      <w:color w:val="auto"/>
                      <w:lang w:val="en-US" w:eastAsia="zh-CN"/>
                    </w:rPr>
                  </w:pPr>
                  <w:r>
                    <w:rPr>
                      <w:rFonts w:hint="eastAsia"/>
                      <w:color w:val="auto"/>
                      <w:lang w:val="en-US" w:eastAsia="zh-CN"/>
                    </w:rPr>
                    <w:t>43.1</w:t>
                  </w:r>
                </w:p>
              </w:tc>
              <w:tc>
                <w:tcPr>
                  <w:tcW w:w="385" w:type="pct"/>
                  <w:noWrap w:val="0"/>
                  <w:vAlign w:val="center"/>
                </w:tcPr>
                <w:p w14:paraId="4F55BCC7">
                  <w:pPr>
                    <w:adjustRightInd w:val="0"/>
                    <w:snapToGrid w:val="0"/>
                    <w:ind w:left="-105" w:leftChars="-50" w:right="-105" w:rightChars="-50"/>
                    <w:jc w:val="center"/>
                    <w:rPr>
                      <w:color w:val="auto"/>
                    </w:rPr>
                  </w:pPr>
                  <w:r>
                    <w:rPr>
                      <w:color w:val="auto"/>
                    </w:rPr>
                    <w:t>1m</w:t>
                  </w:r>
                </w:p>
              </w:tc>
            </w:tr>
            <w:tr w14:paraId="3D05F9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 w:type="pct"/>
                  <w:noWrap w:val="0"/>
                  <w:vAlign w:val="center"/>
                </w:tcPr>
                <w:p w14:paraId="4C8C7703">
                  <w:pPr>
                    <w:adjustRightInd w:val="0"/>
                    <w:snapToGrid w:val="0"/>
                    <w:ind w:left="-105" w:leftChars="-50" w:right="-105" w:rightChars="-50"/>
                    <w:jc w:val="center"/>
                    <w:rPr>
                      <w:rFonts w:hint="default"/>
                      <w:color w:val="auto"/>
                      <w:lang w:val="en-US" w:eastAsia="zh-CN"/>
                    </w:rPr>
                  </w:pPr>
                  <w:r>
                    <w:rPr>
                      <w:rFonts w:hint="eastAsia"/>
                      <w:color w:val="auto"/>
                      <w:lang w:val="en-US" w:eastAsia="zh-CN"/>
                    </w:rPr>
                    <w:t>13</w:t>
                  </w:r>
                </w:p>
              </w:tc>
              <w:tc>
                <w:tcPr>
                  <w:tcW w:w="212" w:type="pct"/>
                  <w:vMerge w:val="continue"/>
                  <w:noWrap w:val="0"/>
                  <w:vAlign w:val="center"/>
                </w:tcPr>
                <w:p w14:paraId="002A3F92">
                  <w:pPr>
                    <w:adjustRightInd w:val="0"/>
                    <w:snapToGrid w:val="0"/>
                    <w:ind w:left="-105" w:leftChars="-50" w:right="-105" w:rightChars="-50"/>
                    <w:jc w:val="center"/>
                    <w:rPr>
                      <w:rFonts w:hint="eastAsia" w:hAnsi="宋体"/>
                      <w:color w:val="auto"/>
                      <w:lang w:eastAsia="zh-CN"/>
                    </w:rPr>
                  </w:pPr>
                </w:p>
              </w:tc>
              <w:tc>
                <w:tcPr>
                  <w:tcW w:w="444" w:type="pct"/>
                  <w:noWrap w:val="0"/>
                  <w:vAlign w:val="center"/>
                </w:tcPr>
                <w:p w14:paraId="591E2D71">
                  <w:pPr>
                    <w:keepNext w:val="0"/>
                    <w:keepLines w:val="0"/>
                    <w:pageBreakBefore w:val="0"/>
                    <w:wordWrap/>
                    <w:overflowPunct/>
                    <w:topLinePunct w:val="0"/>
                    <w:bidi w:val="0"/>
                    <w:adjustRightInd w:val="0"/>
                    <w:snapToGrid w:val="0"/>
                    <w:spacing w:line="240" w:lineRule="auto"/>
                    <w:ind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color w:val="auto"/>
                      <w:sz w:val="21"/>
                      <w:szCs w:val="21"/>
                      <w:lang w:val="en-US" w:eastAsia="zh-CN"/>
                    </w:rPr>
                    <w:t>冷却水塔</w:t>
                  </w:r>
                </w:p>
              </w:tc>
              <w:tc>
                <w:tcPr>
                  <w:tcW w:w="485" w:type="pct"/>
                  <w:noWrap w:val="0"/>
                  <w:vAlign w:val="center"/>
                </w:tcPr>
                <w:p w14:paraId="46CBCA7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0" w:type="pct"/>
                  <w:noWrap w:val="0"/>
                  <w:vAlign w:val="center"/>
                </w:tcPr>
                <w:p w14:paraId="3945D553">
                  <w:pPr>
                    <w:keepNext w:val="0"/>
                    <w:keepLines w:val="0"/>
                    <w:pageBreakBefore w:val="0"/>
                    <w:wordWrap/>
                    <w:overflowPunct/>
                    <w:topLinePunct w:val="0"/>
                    <w:bidi w:val="0"/>
                    <w:spacing w:line="240" w:lineRule="auto"/>
                    <w:ind w:right="0" w:rightChars="0"/>
                    <w:jc w:val="center"/>
                    <w:rPr>
                      <w:rFonts w:hint="eastAsia" w:ascii="宋体" w:hAnsi="宋体" w:eastAsia="宋体" w:cs="宋体"/>
                      <w:color w:val="auto"/>
                      <w:spacing w:val="-17"/>
                      <w:sz w:val="24"/>
                      <w:szCs w:val="24"/>
                      <w:vertAlign w:val="baseline"/>
                      <w:lang w:val="en-US" w:eastAsia="zh-CN"/>
                    </w:rPr>
                  </w:pPr>
                  <w:r>
                    <w:rPr>
                      <w:rFonts w:hint="eastAsia" w:cs="Times New Roman"/>
                      <w:bCs/>
                      <w:color w:val="auto"/>
                      <w:sz w:val="21"/>
                      <w:szCs w:val="21"/>
                      <w:lang w:val="en-US" w:eastAsia="zh-CN"/>
                    </w:rPr>
                    <w:t>1</w:t>
                  </w:r>
                </w:p>
              </w:tc>
              <w:tc>
                <w:tcPr>
                  <w:tcW w:w="552" w:type="pct"/>
                  <w:noWrap w:val="0"/>
                  <w:vAlign w:val="center"/>
                </w:tcPr>
                <w:p w14:paraId="412F4383">
                  <w:pPr>
                    <w:jc w:val="center"/>
                    <w:rPr>
                      <w:rFonts w:hint="default"/>
                      <w:color w:val="auto"/>
                      <w:szCs w:val="21"/>
                      <w:lang w:val="en-US" w:eastAsia="zh-CN"/>
                    </w:rPr>
                  </w:pPr>
                  <w:r>
                    <w:rPr>
                      <w:rFonts w:hint="eastAsia"/>
                      <w:color w:val="auto"/>
                      <w:szCs w:val="21"/>
                      <w:lang w:val="en-US" w:eastAsia="zh-CN"/>
                    </w:rPr>
                    <w:t>80</w:t>
                  </w:r>
                </w:p>
              </w:tc>
              <w:tc>
                <w:tcPr>
                  <w:tcW w:w="402" w:type="pct"/>
                  <w:vMerge w:val="continue"/>
                  <w:noWrap w:val="0"/>
                  <w:vAlign w:val="center"/>
                </w:tcPr>
                <w:p w14:paraId="2A930BC8">
                  <w:pPr>
                    <w:adjustRightInd w:val="0"/>
                    <w:snapToGrid w:val="0"/>
                    <w:ind w:left="-105" w:leftChars="-50" w:right="-105" w:rightChars="-50"/>
                    <w:jc w:val="center"/>
                    <w:rPr>
                      <w:rFonts w:hAnsi="宋体"/>
                      <w:bCs/>
                      <w:color w:val="auto"/>
                      <w:szCs w:val="20"/>
                    </w:rPr>
                  </w:pPr>
                </w:p>
              </w:tc>
              <w:tc>
                <w:tcPr>
                  <w:tcW w:w="565" w:type="dxa"/>
                  <w:noWrap w:val="0"/>
                  <w:vAlign w:val="center"/>
                </w:tcPr>
                <w:p w14:paraId="14CB7CDC">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p>
              </w:tc>
              <w:tc>
                <w:tcPr>
                  <w:tcW w:w="565" w:type="dxa"/>
                  <w:noWrap w:val="0"/>
                  <w:vAlign w:val="center"/>
                </w:tcPr>
                <w:p w14:paraId="62401338">
                  <w:pPr>
                    <w:adjustRightInd w:val="0"/>
                    <w:snapToGrid w:val="0"/>
                    <w:ind w:left="-105" w:leftChars="-50" w:right="-105" w:rightChars="-50"/>
                    <w:jc w:val="center"/>
                    <w:rPr>
                      <w:rFonts w:hint="eastAsia"/>
                      <w:color w:val="auto"/>
                      <w:lang w:val="en-US" w:eastAsia="zh-CN"/>
                    </w:rPr>
                  </w:pPr>
                  <w:r>
                    <w:rPr>
                      <w:rFonts w:hint="eastAsia"/>
                      <w:color w:val="auto"/>
                      <w:lang w:val="en-US" w:eastAsia="zh-CN"/>
                    </w:rPr>
                    <w:t>38</w:t>
                  </w:r>
                </w:p>
              </w:tc>
              <w:tc>
                <w:tcPr>
                  <w:tcW w:w="229" w:type="pct"/>
                  <w:noWrap w:val="0"/>
                  <w:vAlign w:val="center"/>
                </w:tcPr>
                <w:p w14:paraId="6D729197">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04" w:type="dxa"/>
                  <w:noWrap w:val="0"/>
                  <w:vAlign w:val="center"/>
                </w:tcPr>
                <w:p w14:paraId="0B2F736F">
                  <w:pPr>
                    <w:adjustRightInd w:val="0"/>
                    <w:snapToGrid w:val="0"/>
                    <w:ind w:left="-105" w:leftChars="-50" w:right="-105" w:rightChars="-50"/>
                    <w:jc w:val="center"/>
                    <w:rPr>
                      <w:rFonts w:hint="default"/>
                      <w:color w:val="auto"/>
                      <w:lang w:val="en-US" w:eastAsia="zh-CN"/>
                    </w:rPr>
                  </w:pPr>
                  <w:r>
                    <w:rPr>
                      <w:rFonts w:hint="eastAsia"/>
                      <w:color w:val="auto"/>
                      <w:lang w:val="en-US" w:eastAsia="zh-CN"/>
                    </w:rPr>
                    <w:t>8</w:t>
                  </w:r>
                </w:p>
              </w:tc>
              <w:tc>
                <w:tcPr>
                  <w:tcW w:w="260" w:type="pct"/>
                  <w:noWrap w:val="0"/>
                  <w:vAlign w:val="center"/>
                </w:tcPr>
                <w:p w14:paraId="3F101D79">
                  <w:pPr>
                    <w:adjustRightInd w:val="0"/>
                    <w:snapToGrid w:val="0"/>
                    <w:ind w:left="-105" w:leftChars="-50" w:right="-105" w:rightChars="-50"/>
                    <w:jc w:val="center"/>
                    <w:rPr>
                      <w:rFonts w:hint="default"/>
                      <w:color w:val="auto"/>
                      <w:lang w:val="en-US" w:eastAsia="zh-CN"/>
                    </w:rPr>
                  </w:pPr>
                  <w:r>
                    <w:rPr>
                      <w:rFonts w:hint="eastAsia"/>
                      <w:color w:val="auto"/>
                      <w:lang w:val="en-US" w:eastAsia="zh-CN"/>
                    </w:rPr>
                    <w:t>61.9</w:t>
                  </w:r>
                </w:p>
              </w:tc>
              <w:tc>
                <w:tcPr>
                  <w:tcW w:w="543" w:type="dxa"/>
                  <w:noWrap w:val="0"/>
                  <w:vAlign w:val="center"/>
                </w:tcPr>
                <w:p w14:paraId="619DE511">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973" w:type="dxa"/>
                  <w:noWrap w:val="0"/>
                  <w:vAlign w:val="center"/>
                </w:tcPr>
                <w:p w14:paraId="7C1AC7C5">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362" w:type="pct"/>
                  <w:noWrap w:val="0"/>
                  <w:vAlign w:val="center"/>
                </w:tcPr>
                <w:p w14:paraId="71AC5730">
                  <w:pPr>
                    <w:adjustRightInd w:val="0"/>
                    <w:snapToGrid w:val="0"/>
                    <w:ind w:left="-105" w:leftChars="-50" w:right="-105" w:rightChars="-50"/>
                    <w:jc w:val="center"/>
                    <w:rPr>
                      <w:rFonts w:hint="default"/>
                      <w:color w:val="auto"/>
                      <w:lang w:val="en-US" w:eastAsia="zh-CN"/>
                    </w:rPr>
                  </w:pPr>
                  <w:r>
                    <w:rPr>
                      <w:rFonts w:hint="eastAsia"/>
                      <w:color w:val="auto"/>
                      <w:lang w:val="en-US" w:eastAsia="zh-CN"/>
                    </w:rPr>
                    <w:t>41.9</w:t>
                  </w:r>
                </w:p>
              </w:tc>
              <w:tc>
                <w:tcPr>
                  <w:tcW w:w="385" w:type="pct"/>
                  <w:noWrap w:val="0"/>
                  <w:vAlign w:val="center"/>
                </w:tcPr>
                <w:p w14:paraId="3B06CACC">
                  <w:pPr>
                    <w:adjustRightInd w:val="0"/>
                    <w:snapToGrid w:val="0"/>
                    <w:ind w:left="-105" w:leftChars="-50" w:right="-105" w:rightChars="-50"/>
                    <w:jc w:val="center"/>
                    <w:rPr>
                      <w:color w:val="auto"/>
                    </w:rPr>
                  </w:pPr>
                  <w:r>
                    <w:rPr>
                      <w:color w:val="auto"/>
                    </w:rPr>
                    <w:t>1m</w:t>
                  </w:r>
                </w:p>
              </w:tc>
            </w:tr>
          </w:tbl>
          <w:p w14:paraId="32A0D2F0">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4</w:t>
            </w:r>
            <w:r>
              <w:rPr>
                <w:rFonts w:hint="eastAsia" w:cs="Times New Roman"/>
                <w:b/>
                <w:bCs/>
                <w:color w:val="auto"/>
                <w:sz w:val="21"/>
                <w:szCs w:val="21"/>
                <w:lang w:eastAsia="zh-CN"/>
              </w:rPr>
              <w:t>本项目</w:t>
            </w:r>
            <w:r>
              <w:rPr>
                <w:rFonts w:hint="default" w:ascii="Times New Roman" w:hAnsi="Times New Roman" w:eastAsia="宋体" w:cs="Times New Roman"/>
                <w:b/>
                <w:bCs/>
                <w:color w:val="auto"/>
                <w:sz w:val="21"/>
                <w:szCs w:val="21"/>
                <w:lang w:val="en-US" w:eastAsia="zh-CN"/>
              </w:rPr>
              <w:t>主要噪声污染源一览表（室外声源）</w:t>
            </w:r>
          </w:p>
          <w:tbl>
            <w:tblPr>
              <w:tblStyle w:val="27"/>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30"/>
              <w:gridCol w:w="1516"/>
              <w:gridCol w:w="989"/>
              <w:gridCol w:w="1263"/>
              <w:gridCol w:w="1263"/>
              <w:gridCol w:w="1269"/>
              <w:gridCol w:w="2070"/>
              <w:gridCol w:w="2137"/>
              <w:gridCol w:w="2094"/>
            </w:tblGrid>
            <w:tr w14:paraId="642F59E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vMerge w:val="restart"/>
                  <w:tcBorders>
                    <w:tl2br w:val="nil"/>
                    <w:tr2bl w:val="nil"/>
                  </w:tcBorders>
                  <w:vAlign w:val="center"/>
                </w:tcPr>
                <w:p w14:paraId="1CE68E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序号</w:t>
                  </w:r>
                </w:p>
              </w:tc>
              <w:tc>
                <w:tcPr>
                  <w:tcW w:w="564" w:type="pct"/>
                  <w:vMerge w:val="restart"/>
                  <w:tcBorders>
                    <w:tl2br w:val="nil"/>
                    <w:tr2bl w:val="nil"/>
                  </w:tcBorders>
                  <w:vAlign w:val="center"/>
                </w:tcPr>
                <w:p w14:paraId="355384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lang w:val="en-US" w:eastAsia="zh-CN"/>
                    </w:rPr>
                    <w:t>声源名称</w:t>
                  </w:r>
                </w:p>
              </w:tc>
              <w:tc>
                <w:tcPr>
                  <w:tcW w:w="368" w:type="pct"/>
                  <w:vMerge w:val="restart"/>
                  <w:tcBorders>
                    <w:tl2br w:val="nil"/>
                    <w:tr2bl w:val="nil"/>
                  </w:tcBorders>
                  <w:vAlign w:val="center"/>
                </w:tcPr>
                <w:p w14:paraId="4CFABF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数量</w:t>
                  </w:r>
                </w:p>
              </w:tc>
              <w:tc>
                <w:tcPr>
                  <w:tcW w:w="1412" w:type="pct"/>
                  <w:gridSpan w:val="3"/>
                  <w:tcBorders>
                    <w:tl2br w:val="nil"/>
                    <w:tr2bl w:val="nil"/>
                  </w:tcBorders>
                  <w:vAlign w:val="center"/>
                </w:tcPr>
                <w:p w14:paraId="3699D6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空间相对位置/m</w:t>
                  </w:r>
                </w:p>
              </w:tc>
              <w:tc>
                <w:tcPr>
                  <w:tcW w:w="770" w:type="pct"/>
                  <w:vMerge w:val="restart"/>
                  <w:tcBorders>
                    <w:tl2br w:val="nil"/>
                    <w:tr2bl w:val="nil"/>
                  </w:tcBorders>
                  <w:vAlign w:val="center"/>
                </w:tcPr>
                <w:p w14:paraId="2EE1BB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单台声功率级dB(A)</w:t>
                  </w:r>
                </w:p>
              </w:tc>
              <w:tc>
                <w:tcPr>
                  <w:tcW w:w="795" w:type="pct"/>
                  <w:vMerge w:val="restart"/>
                  <w:tcBorders>
                    <w:tl2br w:val="nil"/>
                    <w:tr2bl w:val="nil"/>
                  </w:tcBorders>
                  <w:vAlign w:val="center"/>
                </w:tcPr>
                <w:p w14:paraId="2C79C0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声源控制</w:t>
                  </w:r>
                </w:p>
                <w:p w14:paraId="727191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措施</w:t>
                  </w:r>
                </w:p>
              </w:tc>
              <w:tc>
                <w:tcPr>
                  <w:tcW w:w="779" w:type="pct"/>
                  <w:vMerge w:val="restart"/>
                  <w:tcBorders>
                    <w:tl2br w:val="nil"/>
                    <w:tr2bl w:val="nil"/>
                  </w:tcBorders>
                  <w:vAlign w:val="center"/>
                </w:tcPr>
                <w:p w14:paraId="079F1F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运行时段</w:t>
                  </w:r>
                </w:p>
              </w:tc>
            </w:tr>
            <w:tr w14:paraId="46A7D74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vMerge w:val="continue"/>
                  <w:tcBorders>
                    <w:tl2br w:val="nil"/>
                    <w:tr2bl w:val="nil"/>
                  </w:tcBorders>
                  <w:vAlign w:val="center"/>
                </w:tcPr>
                <w:p w14:paraId="593853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564" w:type="pct"/>
                  <w:vMerge w:val="continue"/>
                  <w:tcBorders>
                    <w:tl2br w:val="nil"/>
                    <w:tr2bl w:val="nil"/>
                  </w:tcBorders>
                  <w:vAlign w:val="center"/>
                </w:tcPr>
                <w:p w14:paraId="0FA735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368" w:type="pct"/>
                  <w:vMerge w:val="continue"/>
                  <w:tcBorders>
                    <w:tl2br w:val="nil"/>
                    <w:tr2bl w:val="nil"/>
                  </w:tcBorders>
                  <w:vAlign w:val="center"/>
                </w:tcPr>
                <w:p w14:paraId="5011F5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470" w:type="pct"/>
                  <w:tcBorders>
                    <w:tl2br w:val="nil"/>
                    <w:tr2bl w:val="nil"/>
                  </w:tcBorders>
                  <w:vAlign w:val="center"/>
                </w:tcPr>
                <w:p w14:paraId="384C024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X</w:t>
                  </w:r>
                </w:p>
              </w:tc>
              <w:tc>
                <w:tcPr>
                  <w:tcW w:w="470" w:type="pct"/>
                  <w:tcBorders>
                    <w:tl2br w:val="nil"/>
                    <w:tr2bl w:val="nil"/>
                  </w:tcBorders>
                  <w:vAlign w:val="center"/>
                </w:tcPr>
                <w:p w14:paraId="067388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Y</w:t>
                  </w:r>
                </w:p>
              </w:tc>
              <w:tc>
                <w:tcPr>
                  <w:tcW w:w="472" w:type="pct"/>
                  <w:tcBorders>
                    <w:tl2br w:val="nil"/>
                    <w:tr2bl w:val="nil"/>
                  </w:tcBorders>
                  <w:vAlign w:val="center"/>
                </w:tcPr>
                <w:p w14:paraId="08BB313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Z</w:t>
                  </w:r>
                </w:p>
              </w:tc>
              <w:tc>
                <w:tcPr>
                  <w:tcW w:w="770" w:type="pct"/>
                  <w:vMerge w:val="continue"/>
                  <w:tcBorders>
                    <w:tl2br w:val="nil"/>
                    <w:tr2bl w:val="nil"/>
                  </w:tcBorders>
                  <w:vAlign w:val="center"/>
                </w:tcPr>
                <w:p w14:paraId="3CC19A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795" w:type="pct"/>
                  <w:vMerge w:val="continue"/>
                  <w:tcBorders>
                    <w:tl2br w:val="nil"/>
                    <w:tr2bl w:val="nil"/>
                  </w:tcBorders>
                  <w:vAlign w:val="center"/>
                </w:tcPr>
                <w:p w14:paraId="5B84C4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779" w:type="pct"/>
                  <w:vMerge w:val="continue"/>
                  <w:tcBorders>
                    <w:tl2br w:val="nil"/>
                    <w:tr2bl w:val="nil"/>
                  </w:tcBorders>
                  <w:vAlign w:val="center"/>
                </w:tcPr>
                <w:p w14:paraId="6032F3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r>
            <w:tr w14:paraId="3FC4A26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14:paraId="1A8D6C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564" w:type="pct"/>
                  <w:tcBorders>
                    <w:tl2br w:val="nil"/>
                    <w:tr2bl w:val="nil"/>
                  </w:tcBorders>
                  <w:vAlign w:val="center"/>
                </w:tcPr>
                <w:p w14:paraId="2BD754A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Cs w:val="21"/>
                      <w:lang w:val="en-US" w:eastAsia="zh-CN"/>
                    </w:rPr>
                    <w:t>风机</w:t>
                  </w:r>
                </w:p>
              </w:tc>
              <w:tc>
                <w:tcPr>
                  <w:tcW w:w="368" w:type="pct"/>
                  <w:tcBorders>
                    <w:tl2br w:val="nil"/>
                    <w:tr2bl w:val="nil"/>
                  </w:tcBorders>
                  <w:vAlign w:val="center"/>
                </w:tcPr>
                <w:p w14:paraId="215B61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Cs w:val="21"/>
                      <w:lang w:val="en-US" w:eastAsia="zh-CN"/>
                    </w:rPr>
                    <w:t>1</w:t>
                  </w:r>
                </w:p>
              </w:tc>
              <w:tc>
                <w:tcPr>
                  <w:tcW w:w="470" w:type="pct"/>
                  <w:tcBorders>
                    <w:tl2br w:val="nil"/>
                    <w:tr2bl w:val="nil"/>
                  </w:tcBorders>
                  <w:vAlign w:val="center"/>
                </w:tcPr>
                <w:p w14:paraId="5C633B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w:t>
                  </w:r>
                </w:p>
              </w:tc>
              <w:tc>
                <w:tcPr>
                  <w:tcW w:w="470" w:type="pct"/>
                  <w:tcBorders>
                    <w:tl2br w:val="nil"/>
                    <w:tr2bl w:val="nil"/>
                  </w:tcBorders>
                  <w:vAlign w:val="center"/>
                </w:tcPr>
                <w:p w14:paraId="3C7E7C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31</w:t>
                  </w:r>
                </w:p>
              </w:tc>
              <w:tc>
                <w:tcPr>
                  <w:tcW w:w="472" w:type="pct"/>
                  <w:tcBorders>
                    <w:tl2br w:val="nil"/>
                    <w:tr2bl w:val="nil"/>
                  </w:tcBorders>
                  <w:vAlign w:val="center"/>
                </w:tcPr>
                <w:p w14:paraId="284DBB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770" w:type="pct"/>
                  <w:tcBorders>
                    <w:tl2br w:val="nil"/>
                    <w:tr2bl w:val="nil"/>
                  </w:tcBorders>
                  <w:vAlign w:val="center"/>
                </w:tcPr>
                <w:p w14:paraId="27AA3D9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szCs w:val="21"/>
                      <w:lang w:val="en-US" w:eastAsia="zh-CN"/>
                    </w:rPr>
                    <w:t>80</w:t>
                  </w:r>
                </w:p>
              </w:tc>
              <w:tc>
                <w:tcPr>
                  <w:tcW w:w="795" w:type="pct"/>
                  <w:tcBorders>
                    <w:tl2br w:val="nil"/>
                    <w:tr2bl w:val="nil"/>
                  </w:tcBorders>
                  <w:vAlign w:val="center"/>
                </w:tcPr>
                <w:p w14:paraId="06320FF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Ansi="宋体"/>
                      <w:bCs/>
                      <w:color w:val="auto"/>
                      <w:szCs w:val="20"/>
                    </w:rPr>
                    <w:t>减振、隔音</w:t>
                  </w:r>
                </w:p>
              </w:tc>
              <w:tc>
                <w:tcPr>
                  <w:tcW w:w="779" w:type="pct"/>
                  <w:tcBorders>
                    <w:tl2br w:val="nil"/>
                    <w:tr2bl w:val="nil"/>
                  </w:tcBorders>
                  <w:vAlign w:val="center"/>
                </w:tcPr>
                <w:p w14:paraId="5BE6ED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工作时</w:t>
                  </w:r>
                </w:p>
              </w:tc>
            </w:tr>
          </w:tbl>
          <w:p w14:paraId="35E30AEA">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注：</w:t>
            </w: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val="en-US" w:eastAsia="zh-CN"/>
              </w:rPr>
              <w:t>及表4-1</w:t>
            </w:r>
            <w:r>
              <w:rPr>
                <w:rFonts w:hint="eastAsia"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中</w:t>
            </w:r>
            <w:r>
              <w:rPr>
                <w:rFonts w:hint="default" w:ascii="Times New Roman" w:hAnsi="Times New Roman" w:eastAsia="宋体" w:cs="Times New Roman"/>
                <w:b/>
                <w:bCs/>
                <w:color w:val="auto"/>
                <w:sz w:val="21"/>
                <w:szCs w:val="21"/>
                <w:lang w:val="en-US" w:eastAsia="zh-CN"/>
              </w:rPr>
              <w:t>空间相对坐标以</w:t>
            </w:r>
            <w:r>
              <w:rPr>
                <w:rFonts w:hint="eastAsia" w:cs="Times New Roman"/>
                <w:b/>
                <w:bCs/>
                <w:color w:val="auto"/>
                <w:sz w:val="21"/>
                <w:szCs w:val="21"/>
                <w:lang w:val="en-US" w:eastAsia="zh-CN"/>
              </w:rPr>
              <w:t>车间</w:t>
            </w:r>
            <w:r>
              <w:rPr>
                <w:rFonts w:hint="default" w:ascii="Times New Roman" w:hAnsi="Times New Roman" w:eastAsia="宋体" w:cs="Times New Roman"/>
                <w:b/>
                <w:bCs/>
                <w:color w:val="auto"/>
                <w:sz w:val="21"/>
                <w:szCs w:val="21"/>
                <w:lang w:val="en-US" w:eastAsia="zh-CN"/>
              </w:rPr>
              <w:t>西南角为原点（0，0，0）</w:t>
            </w:r>
            <w:r>
              <w:rPr>
                <w:rFonts w:hint="default" w:ascii="Times New Roman" w:hAnsi="Times New Roman" w:cs="Times New Roman"/>
                <w:b/>
                <w:bCs/>
                <w:color w:val="auto"/>
                <w:sz w:val="21"/>
                <w:szCs w:val="21"/>
                <w:lang w:val="en-US" w:eastAsia="zh-CN"/>
              </w:rPr>
              <w:t>，东西方向为X轴，南北方向为Y轴，垂直方向为Z轴</w:t>
            </w:r>
            <w:r>
              <w:rPr>
                <w:rFonts w:hint="default" w:ascii="Times New Roman" w:hAnsi="Times New Roman" w:eastAsia="宋体" w:cs="Times New Roman"/>
                <w:b/>
                <w:bCs/>
                <w:color w:val="auto"/>
                <w:sz w:val="21"/>
                <w:szCs w:val="21"/>
                <w:lang w:val="en-US" w:eastAsia="zh-CN"/>
              </w:rPr>
              <w:t>。</w:t>
            </w:r>
          </w:p>
          <w:p w14:paraId="378BE393">
            <w:pPr>
              <w:pStyle w:val="22"/>
              <w:spacing w:before="0" w:beforeAutospacing="0" w:after="0" w:afterAutospacing="0"/>
              <w:jc w:val="center"/>
              <w:outlineLvl w:val="0"/>
              <w:rPr>
                <w:rFonts w:hint="default" w:ascii="Times New Roman" w:hAnsi="Times New Roman" w:eastAsia="黑体" w:cs="Times New Roman"/>
                <w:snapToGrid w:val="0"/>
                <w:color w:val="auto"/>
                <w:sz w:val="30"/>
                <w:szCs w:val="30"/>
                <w:vertAlign w:val="baseline"/>
              </w:rPr>
            </w:pPr>
          </w:p>
        </w:tc>
      </w:tr>
    </w:tbl>
    <w:p w14:paraId="484D69D7">
      <w:pPr>
        <w:pStyle w:val="22"/>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8" w:type="default"/>
          <w:pgSz w:w="16838" w:h="11906" w:orient="landscape"/>
          <w:pgMar w:top="1474" w:right="1701" w:bottom="1531" w:left="1701" w:header="851" w:footer="1134" w:gutter="0"/>
          <w:pgBorders>
            <w:top w:val="none" w:sz="0" w:space="0"/>
            <w:left w:val="none" w:sz="0" w:space="0"/>
            <w:bottom w:val="none" w:sz="0" w:space="0"/>
            <w:right w:val="none" w:sz="0" w:space="0"/>
          </w:pgBorders>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B8B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6" w:hRule="atLeast"/>
        </w:trPr>
        <w:tc>
          <w:tcPr>
            <w:tcW w:w="9060" w:type="dxa"/>
          </w:tcPr>
          <w:p w14:paraId="022F6A87">
            <w:pPr>
              <w:adjustRightInd w:val="0"/>
              <w:snapToGrid w:val="0"/>
              <w:spacing w:line="500" w:lineRule="exact"/>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2、</w:t>
            </w:r>
            <w:r>
              <w:rPr>
                <w:rFonts w:hint="default" w:ascii="Times New Roman" w:hAnsi="Times New Roman" w:cs="Times New Roman"/>
                <w:b/>
                <w:bCs/>
                <w:color w:val="auto"/>
                <w:sz w:val="24"/>
                <w:lang w:val="en-US" w:eastAsia="zh-CN"/>
              </w:rPr>
              <w:t>排放</w:t>
            </w:r>
            <w:r>
              <w:rPr>
                <w:rFonts w:hint="default" w:ascii="Times New Roman" w:hAnsi="Times New Roman" w:cs="Times New Roman"/>
                <w:b/>
                <w:bCs/>
                <w:color w:val="auto"/>
                <w:sz w:val="24"/>
              </w:rPr>
              <w:t>达标情况分析</w:t>
            </w:r>
          </w:p>
          <w:p w14:paraId="6BD09598">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本项目生产制度为</w:t>
            </w:r>
            <w:r>
              <w:rPr>
                <w:rFonts w:hint="eastAsia" w:cs="Times New Roman"/>
                <w:color w:val="auto"/>
                <w:sz w:val="24"/>
                <w:lang w:val="en-US" w:eastAsia="zh-CN"/>
              </w:rPr>
              <w:t>一</w:t>
            </w:r>
            <w:r>
              <w:rPr>
                <w:rFonts w:hint="default" w:ascii="Times New Roman" w:hAnsi="Times New Roman" w:eastAsia="宋体" w:cs="Times New Roman"/>
                <w:color w:val="auto"/>
                <w:sz w:val="24"/>
                <w:lang w:val="en-US" w:eastAsia="zh-CN"/>
              </w:rPr>
              <w:t>班制</w:t>
            </w:r>
            <w:r>
              <w:rPr>
                <w:rFonts w:hint="eastAsia" w:cs="Times New Roman"/>
                <w:color w:val="auto"/>
                <w:sz w:val="24"/>
                <w:lang w:val="en-US" w:eastAsia="zh-CN"/>
              </w:rPr>
              <w:t>，夜间不生产</w:t>
            </w:r>
            <w:r>
              <w:rPr>
                <w:rFonts w:hint="default" w:ascii="Times New Roman" w:hAnsi="Times New Roman" w:eastAsia="宋体" w:cs="Times New Roman"/>
                <w:color w:val="auto"/>
                <w:sz w:val="24"/>
                <w:lang w:val="en-US" w:eastAsia="zh-CN"/>
              </w:rPr>
              <w:t>，故本次评价对东、南、西、北厂界进行昼间噪声的影响预测。</w:t>
            </w:r>
            <w:r>
              <w:rPr>
                <w:rFonts w:hint="default" w:ascii="Times New Roman" w:hAnsi="Times New Roman" w:cs="Times New Roman"/>
                <w:color w:val="auto"/>
                <w:sz w:val="24"/>
              </w:rPr>
              <w:t>根据企业提供的噪声设</w:t>
            </w:r>
            <w:r>
              <w:rPr>
                <w:rFonts w:hint="default" w:ascii="Times New Roman" w:hAnsi="Times New Roman" w:eastAsia="宋体" w:cs="Times New Roman"/>
                <w:color w:val="auto"/>
                <w:sz w:val="24"/>
              </w:rPr>
              <w:t>备分布情况，</w:t>
            </w:r>
            <w:r>
              <w:rPr>
                <w:rFonts w:hint="default" w:ascii="Times New Roman" w:hAnsi="Times New Roman" w:eastAsia="宋体" w:cs="Times New Roman"/>
                <w:color w:val="auto"/>
                <w:sz w:val="24"/>
                <w:lang w:val="en-US" w:eastAsia="zh-CN"/>
              </w:rPr>
              <w:t>噪声源对厂界噪声的影响预测结果见下表。</w:t>
            </w:r>
          </w:p>
          <w:p w14:paraId="13454FD7">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w:t>
            </w:r>
            <w:r>
              <w:rPr>
                <w:rFonts w:hint="eastAsia"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本项目各厂界</w:t>
            </w:r>
            <w:r>
              <w:rPr>
                <w:rFonts w:hint="eastAsia" w:cs="Times New Roman"/>
                <w:b/>
                <w:bCs/>
                <w:color w:val="auto"/>
                <w:sz w:val="21"/>
                <w:szCs w:val="21"/>
                <w:lang w:val="en-US" w:eastAsia="zh-CN"/>
              </w:rPr>
              <w:t>昼间</w:t>
            </w:r>
            <w:r>
              <w:rPr>
                <w:rFonts w:hint="default" w:ascii="Times New Roman" w:hAnsi="Times New Roman" w:cs="Times New Roman"/>
                <w:b/>
                <w:bCs/>
                <w:color w:val="auto"/>
                <w:sz w:val="21"/>
                <w:szCs w:val="21"/>
                <w:lang w:val="en-US" w:eastAsia="zh-CN"/>
              </w:rPr>
              <w:t>噪声预测结果dB(A)</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54"/>
              <w:gridCol w:w="2906"/>
              <w:gridCol w:w="2880"/>
            </w:tblGrid>
            <w:tr w14:paraId="51ED0D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27" w:type="pct"/>
                  <w:tcMar>
                    <w:left w:w="0" w:type="dxa"/>
                    <w:right w:w="0" w:type="dxa"/>
                  </w:tcMar>
                  <w:vAlign w:val="center"/>
                </w:tcPr>
                <w:p w14:paraId="1BAC0CC0">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目标</w:t>
                  </w:r>
                </w:p>
              </w:tc>
              <w:tc>
                <w:tcPr>
                  <w:tcW w:w="1643" w:type="pct"/>
                  <w:tcMar>
                    <w:left w:w="0" w:type="dxa"/>
                    <w:right w:w="0" w:type="dxa"/>
                  </w:tcMar>
                  <w:vAlign w:val="center"/>
                </w:tcPr>
                <w:p w14:paraId="7873A609">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昼间</w:t>
                  </w:r>
                  <w:r>
                    <w:rPr>
                      <w:rFonts w:hint="eastAsia" w:cs="Times New Roman"/>
                      <w:b/>
                      <w:color w:val="auto"/>
                      <w:szCs w:val="21"/>
                      <w:lang w:val="en-US" w:eastAsia="zh-CN"/>
                    </w:rPr>
                    <w:t>噪声</w:t>
                  </w:r>
                  <w:r>
                    <w:rPr>
                      <w:rFonts w:hint="default" w:ascii="Times New Roman" w:hAnsi="Times New Roman" w:cs="Times New Roman"/>
                      <w:b/>
                      <w:color w:val="auto"/>
                      <w:szCs w:val="21"/>
                    </w:rPr>
                    <w:t>贡献值</w:t>
                  </w:r>
                </w:p>
              </w:tc>
              <w:tc>
                <w:tcPr>
                  <w:tcW w:w="1628" w:type="pct"/>
                  <w:tcMar>
                    <w:left w:w="0" w:type="dxa"/>
                    <w:right w:w="0" w:type="dxa"/>
                  </w:tcMar>
                  <w:vAlign w:val="center"/>
                </w:tcPr>
                <w:p w14:paraId="0E962589">
                  <w:pPr>
                    <w:jc w:val="center"/>
                    <w:rPr>
                      <w:rFonts w:hint="eastAsia"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标准</w:t>
                  </w:r>
                  <w:r>
                    <w:rPr>
                      <w:rFonts w:hint="eastAsia" w:cs="Times New Roman"/>
                      <w:b/>
                      <w:color w:val="auto"/>
                      <w:szCs w:val="21"/>
                      <w:lang w:eastAsia="zh-CN"/>
                    </w:rPr>
                    <w:t>（</w:t>
                  </w:r>
                  <w:r>
                    <w:rPr>
                      <w:rFonts w:hint="default" w:ascii="Times New Roman" w:hAnsi="Times New Roman" w:cs="Times New Roman"/>
                      <w:b/>
                      <w:color w:val="auto"/>
                      <w:szCs w:val="21"/>
                    </w:rPr>
                    <w:t>昼间</w:t>
                  </w:r>
                  <w:r>
                    <w:rPr>
                      <w:rFonts w:hint="eastAsia" w:cs="Times New Roman"/>
                      <w:b/>
                      <w:color w:val="auto"/>
                      <w:szCs w:val="21"/>
                      <w:lang w:eastAsia="zh-CN"/>
                    </w:rPr>
                    <w:t>）</w:t>
                  </w:r>
                </w:p>
              </w:tc>
            </w:tr>
            <w:tr w14:paraId="44F6BF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27" w:type="pct"/>
                  <w:tcMar>
                    <w:left w:w="0" w:type="dxa"/>
                    <w:right w:w="0" w:type="dxa"/>
                  </w:tcMar>
                  <w:vAlign w:val="center"/>
                </w:tcPr>
                <w:p w14:paraId="60F794BB">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东厂界</w:t>
                  </w:r>
                </w:p>
              </w:tc>
              <w:tc>
                <w:tcPr>
                  <w:tcW w:w="2906" w:type="dxa"/>
                  <w:tcMar>
                    <w:left w:w="0" w:type="dxa"/>
                    <w:right w:w="0" w:type="dxa"/>
                  </w:tcMar>
                  <w:vAlign w:val="center"/>
                </w:tcPr>
                <w:p w14:paraId="004B1E8D">
                  <w:pPr>
                    <w:pStyle w:val="18"/>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46.2</w:t>
                  </w:r>
                </w:p>
              </w:tc>
              <w:tc>
                <w:tcPr>
                  <w:tcW w:w="1628" w:type="pct"/>
                  <w:tcMar>
                    <w:left w:w="0" w:type="dxa"/>
                    <w:right w:w="0" w:type="dxa"/>
                  </w:tcMar>
                  <w:vAlign w:val="center"/>
                </w:tcPr>
                <w:p w14:paraId="7150F6BE">
                  <w:pPr>
                    <w:pStyle w:val="18"/>
                    <w:tabs>
                      <w:tab w:val="clear" w:pos="4153"/>
                      <w:tab w:val="clear" w:pos="8306"/>
                    </w:tabs>
                    <w:snapToGrid/>
                    <w:spacing w:line="300" w:lineRule="exact"/>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6</w:t>
                  </w:r>
                  <w:r>
                    <w:rPr>
                      <w:rFonts w:hint="default" w:ascii="Times New Roman" w:hAnsi="Times New Roman" w:cs="Times New Roman"/>
                      <w:bCs/>
                      <w:color w:val="auto"/>
                      <w:sz w:val="21"/>
                      <w:szCs w:val="21"/>
                      <w:lang w:val="en-US" w:eastAsia="zh-CN"/>
                    </w:rPr>
                    <w:t>5</w:t>
                  </w:r>
                </w:p>
              </w:tc>
            </w:tr>
            <w:tr w14:paraId="6FB1E1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27" w:type="pct"/>
                  <w:tcMar>
                    <w:left w:w="0" w:type="dxa"/>
                    <w:right w:w="0" w:type="dxa"/>
                  </w:tcMar>
                  <w:vAlign w:val="center"/>
                </w:tcPr>
                <w:p w14:paraId="1C9E71E5">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南厂界</w:t>
                  </w:r>
                </w:p>
              </w:tc>
              <w:tc>
                <w:tcPr>
                  <w:tcW w:w="2906" w:type="dxa"/>
                  <w:tcMar>
                    <w:left w:w="0" w:type="dxa"/>
                    <w:right w:w="0" w:type="dxa"/>
                  </w:tcMar>
                  <w:vAlign w:val="center"/>
                </w:tcPr>
                <w:p w14:paraId="07D22258">
                  <w:pPr>
                    <w:pStyle w:val="18"/>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37.9</w:t>
                  </w:r>
                </w:p>
              </w:tc>
              <w:tc>
                <w:tcPr>
                  <w:tcW w:w="1628" w:type="pct"/>
                  <w:tcMar>
                    <w:left w:w="0" w:type="dxa"/>
                    <w:right w:w="0" w:type="dxa"/>
                  </w:tcMar>
                  <w:vAlign w:val="center"/>
                </w:tcPr>
                <w:p w14:paraId="24FD2080">
                  <w:pPr>
                    <w:pStyle w:val="18"/>
                    <w:tabs>
                      <w:tab w:val="clear" w:pos="4153"/>
                      <w:tab w:val="clear" w:pos="8306"/>
                    </w:tabs>
                    <w:snapToGrid/>
                    <w:spacing w:line="300" w:lineRule="exac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r>
                    <w:rPr>
                      <w:rFonts w:hint="default" w:ascii="Times New Roman" w:hAnsi="Times New Roman" w:cs="Times New Roman"/>
                      <w:bCs/>
                      <w:color w:val="auto"/>
                      <w:sz w:val="21"/>
                      <w:szCs w:val="21"/>
                      <w:lang w:val="en-US" w:eastAsia="zh-CN"/>
                    </w:rPr>
                    <w:t>5</w:t>
                  </w:r>
                </w:p>
              </w:tc>
            </w:tr>
            <w:tr w14:paraId="3AFA62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27" w:type="pct"/>
                  <w:tcMar>
                    <w:left w:w="0" w:type="dxa"/>
                    <w:right w:w="0" w:type="dxa"/>
                  </w:tcMar>
                  <w:vAlign w:val="center"/>
                </w:tcPr>
                <w:p w14:paraId="34E18B0B">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西厂界</w:t>
                  </w:r>
                </w:p>
              </w:tc>
              <w:tc>
                <w:tcPr>
                  <w:tcW w:w="2906" w:type="dxa"/>
                  <w:tcMar>
                    <w:left w:w="0" w:type="dxa"/>
                    <w:right w:w="0" w:type="dxa"/>
                  </w:tcMar>
                  <w:vAlign w:val="center"/>
                </w:tcPr>
                <w:p w14:paraId="640D4B53">
                  <w:pPr>
                    <w:pStyle w:val="18"/>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47.7</w:t>
                  </w:r>
                </w:p>
              </w:tc>
              <w:tc>
                <w:tcPr>
                  <w:tcW w:w="1628" w:type="pct"/>
                  <w:tcMar>
                    <w:left w:w="0" w:type="dxa"/>
                    <w:right w:w="0" w:type="dxa"/>
                  </w:tcMar>
                  <w:vAlign w:val="center"/>
                </w:tcPr>
                <w:p w14:paraId="505E004B">
                  <w:pPr>
                    <w:pStyle w:val="18"/>
                    <w:tabs>
                      <w:tab w:val="clear" w:pos="4153"/>
                      <w:tab w:val="clear" w:pos="8306"/>
                    </w:tabs>
                    <w:snapToGrid/>
                    <w:spacing w:line="300" w:lineRule="exac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r>
                    <w:rPr>
                      <w:rFonts w:hint="default" w:ascii="Times New Roman" w:hAnsi="Times New Roman" w:cs="Times New Roman"/>
                      <w:bCs/>
                      <w:color w:val="auto"/>
                      <w:sz w:val="21"/>
                      <w:szCs w:val="21"/>
                      <w:lang w:val="en-US" w:eastAsia="zh-CN"/>
                    </w:rPr>
                    <w:t>5</w:t>
                  </w:r>
                </w:p>
              </w:tc>
            </w:tr>
            <w:tr w14:paraId="6F7F2E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27" w:type="pct"/>
                  <w:tcMar>
                    <w:left w:w="0" w:type="dxa"/>
                    <w:right w:w="0" w:type="dxa"/>
                  </w:tcMar>
                  <w:vAlign w:val="center"/>
                </w:tcPr>
                <w:p w14:paraId="18C384B8">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北厂界</w:t>
                  </w:r>
                </w:p>
              </w:tc>
              <w:tc>
                <w:tcPr>
                  <w:tcW w:w="2906" w:type="dxa"/>
                  <w:tcMar>
                    <w:left w:w="0" w:type="dxa"/>
                    <w:right w:w="0" w:type="dxa"/>
                  </w:tcMar>
                  <w:vAlign w:val="center"/>
                </w:tcPr>
                <w:p w14:paraId="6086E216">
                  <w:pPr>
                    <w:pStyle w:val="18"/>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45.7</w:t>
                  </w:r>
                </w:p>
              </w:tc>
              <w:tc>
                <w:tcPr>
                  <w:tcW w:w="1628" w:type="pct"/>
                  <w:tcMar>
                    <w:left w:w="0" w:type="dxa"/>
                    <w:right w:w="0" w:type="dxa"/>
                  </w:tcMar>
                  <w:vAlign w:val="center"/>
                </w:tcPr>
                <w:p w14:paraId="3B25B288">
                  <w:pPr>
                    <w:pStyle w:val="18"/>
                    <w:tabs>
                      <w:tab w:val="clear" w:pos="4153"/>
                      <w:tab w:val="clear" w:pos="8306"/>
                    </w:tabs>
                    <w:snapToGrid/>
                    <w:spacing w:line="300" w:lineRule="exac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r>
                    <w:rPr>
                      <w:rFonts w:hint="default" w:ascii="Times New Roman" w:hAnsi="Times New Roman" w:cs="Times New Roman"/>
                      <w:bCs/>
                      <w:color w:val="auto"/>
                      <w:sz w:val="21"/>
                      <w:szCs w:val="21"/>
                      <w:lang w:val="en-US" w:eastAsia="zh-CN"/>
                    </w:rPr>
                    <w:t>5</w:t>
                  </w:r>
                </w:p>
              </w:tc>
            </w:tr>
          </w:tbl>
          <w:p w14:paraId="1FDC74D5">
            <w:pPr>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由上表可知，本项目经过减振、隔音等降噪措施后，东、南、西、北各厂界昼</w:t>
            </w:r>
            <w:r>
              <w:rPr>
                <w:rFonts w:hint="eastAsia" w:cs="Times New Roman"/>
                <w:bCs/>
                <w:color w:val="auto"/>
                <w:sz w:val="24"/>
                <w:lang w:val="en-US" w:eastAsia="zh-CN"/>
              </w:rPr>
              <w:t>间</w:t>
            </w:r>
            <w:r>
              <w:rPr>
                <w:rFonts w:hint="default" w:ascii="Times New Roman" w:hAnsi="Times New Roman" w:eastAsia="宋体" w:cs="Times New Roman"/>
                <w:bCs/>
                <w:color w:val="auto"/>
                <w:sz w:val="24"/>
                <w:lang w:val="en-US" w:eastAsia="zh-CN"/>
              </w:rPr>
              <w:t>噪声贡献值均符合《工业企业环境噪声排放标准》（GB12348-20083）3类标准。</w:t>
            </w:r>
          </w:p>
          <w:p w14:paraId="71BE1A1F">
            <w:pPr>
              <w:adjustRightInd w:val="0"/>
              <w:snapToGrid w:val="0"/>
              <w:spacing w:line="500" w:lineRule="exact"/>
              <w:ind w:firstLine="482" w:firstLineChars="200"/>
              <w:rPr>
                <w:rFonts w:hint="default" w:ascii="Times New Roman" w:hAnsi="Times New Roman" w:eastAsia="宋体" w:cs="Times New Roman"/>
                <w:b/>
                <w:bCs/>
                <w:color w:val="auto"/>
                <w:sz w:val="24"/>
                <w:lang w:eastAsia="zh-CN"/>
              </w:rPr>
            </w:pPr>
            <w:r>
              <w:rPr>
                <w:rFonts w:hint="eastAsia" w:cs="Times New Roman"/>
                <w:b/>
                <w:bCs/>
                <w:color w:val="auto"/>
                <w:sz w:val="24"/>
                <w:lang w:val="en-US" w:eastAsia="zh-CN"/>
              </w:rPr>
              <w:t>3、</w:t>
            </w:r>
            <w:r>
              <w:rPr>
                <w:rFonts w:hint="default" w:ascii="Times New Roman" w:hAnsi="Times New Roman" w:cs="Times New Roman"/>
                <w:b/>
                <w:bCs/>
                <w:color w:val="auto"/>
                <w:sz w:val="24"/>
              </w:rPr>
              <w:t>监测</w:t>
            </w:r>
            <w:r>
              <w:rPr>
                <w:rFonts w:hint="default" w:ascii="Times New Roman" w:hAnsi="Times New Roman" w:cs="Times New Roman"/>
                <w:b/>
                <w:bCs/>
                <w:color w:val="auto"/>
                <w:sz w:val="24"/>
                <w:lang w:val="en-US" w:eastAsia="zh-CN"/>
              </w:rPr>
              <w:t>要求</w:t>
            </w:r>
          </w:p>
          <w:p w14:paraId="27A7DD58">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w:t>
            </w:r>
            <w:r>
              <w:rPr>
                <w:rFonts w:hint="eastAsia" w:cs="Times New Roman"/>
                <w:b/>
                <w:bCs/>
                <w:color w:val="auto"/>
                <w:sz w:val="21"/>
                <w:szCs w:val="21"/>
                <w:lang w:val="en-US" w:eastAsia="zh-CN"/>
              </w:rPr>
              <w:t>6</w:t>
            </w:r>
            <w:r>
              <w:rPr>
                <w:rFonts w:hint="default" w:ascii="Times New Roman" w:hAnsi="Times New Roman" w:cs="Times New Roman"/>
                <w:b/>
                <w:bCs/>
                <w:color w:val="auto"/>
                <w:sz w:val="21"/>
                <w:szCs w:val="21"/>
                <w:lang w:val="en-US" w:eastAsia="zh-CN"/>
              </w:rPr>
              <w:t>噪声监测因子及频次表</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167"/>
              <w:gridCol w:w="2032"/>
              <w:gridCol w:w="2771"/>
              <w:gridCol w:w="2869"/>
            </w:tblGrid>
            <w:tr w14:paraId="1B8BD7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5D4B6E25">
                  <w:pPr>
                    <w:snapToGrid w:val="0"/>
                    <w:spacing w:line="280" w:lineRule="exact"/>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val="en-US" w:eastAsia="zh-CN"/>
                    </w:rPr>
                    <w:t>类别</w:t>
                  </w:r>
                </w:p>
              </w:tc>
              <w:tc>
                <w:tcPr>
                  <w:tcW w:w="1149" w:type="pct"/>
                  <w:tcBorders>
                    <w:tl2br w:val="nil"/>
                    <w:tr2bl w:val="nil"/>
                  </w:tcBorders>
                  <w:vAlign w:val="center"/>
                </w:tcPr>
                <w:p w14:paraId="34CCC22D">
                  <w:pPr>
                    <w:snapToGrid w:val="0"/>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1567" w:type="pct"/>
                  <w:tcBorders>
                    <w:tl2br w:val="nil"/>
                    <w:tr2bl w:val="nil"/>
                  </w:tcBorders>
                  <w:vAlign w:val="center"/>
                </w:tcPr>
                <w:p w14:paraId="72E176CF">
                  <w:pPr>
                    <w:snapToGrid w:val="0"/>
                    <w:spacing w:line="280" w:lineRule="exact"/>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监测</w:t>
                  </w:r>
                  <w:r>
                    <w:rPr>
                      <w:rFonts w:hint="default" w:ascii="Times New Roman" w:hAnsi="Times New Roman" w:cs="Times New Roman"/>
                      <w:b/>
                      <w:color w:val="auto"/>
                      <w:szCs w:val="21"/>
                      <w:lang w:val="en-US" w:eastAsia="zh-CN"/>
                    </w:rPr>
                    <w:t>项目</w:t>
                  </w:r>
                </w:p>
              </w:tc>
              <w:tc>
                <w:tcPr>
                  <w:tcW w:w="1622" w:type="pct"/>
                  <w:tcBorders>
                    <w:tl2br w:val="nil"/>
                    <w:tr2bl w:val="nil"/>
                  </w:tcBorders>
                  <w:vAlign w:val="center"/>
                </w:tcPr>
                <w:p w14:paraId="7A5CA877">
                  <w:pPr>
                    <w:snapToGrid w:val="0"/>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监测频次</w:t>
                  </w:r>
                </w:p>
              </w:tc>
            </w:tr>
            <w:tr w14:paraId="61DF03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5A7570BD">
                  <w:pPr>
                    <w:snapToGrid w:val="0"/>
                    <w:spacing w:line="28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噪声</w:t>
                  </w:r>
                </w:p>
              </w:tc>
              <w:tc>
                <w:tcPr>
                  <w:tcW w:w="1149" w:type="pct"/>
                  <w:tcBorders>
                    <w:tl2br w:val="nil"/>
                    <w:tr2bl w:val="nil"/>
                  </w:tcBorders>
                  <w:vAlign w:val="center"/>
                </w:tcPr>
                <w:p w14:paraId="1422EF74">
                  <w:pPr>
                    <w:snapToGrid w:val="0"/>
                    <w:spacing w:line="2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四周</w:t>
                  </w:r>
                  <w:r>
                    <w:rPr>
                      <w:rFonts w:hint="default" w:ascii="Times New Roman" w:hAnsi="Times New Roman" w:cs="Times New Roman"/>
                      <w:color w:val="auto"/>
                      <w:szCs w:val="21"/>
                    </w:rPr>
                    <w:t>厂界</w:t>
                  </w:r>
                  <w:r>
                    <w:rPr>
                      <w:rFonts w:hint="default" w:ascii="Times New Roman" w:hAnsi="Times New Roman" w:cs="Times New Roman"/>
                      <w:color w:val="auto"/>
                      <w:szCs w:val="21"/>
                      <w:lang w:val="en-US" w:eastAsia="zh-CN"/>
                    </w:rPr>
                    <w:t>外1米处</w:t>
                  </w:r>
                </w:p>
              </w:tc>
              <w:tc>
                <w:tcPr>
                  <w:tcW w:w="1567" w:type="pct"/>
                  <w:tcBorders>
                    <w:tl2br w:val="nil"/>
                    <w:tr2bl w:val="nil"/>
                  </w:tcBorders>
                  <w:vAlign w:val="center"/>
                </w:tcPr>
                <w:p w14:paraId="5C79E041">
                  <w:pPr>
                    <w:snapToGrid w:val="0"/>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昼</w:t>
                  </w:r>
                  <w:r>
                    <w:rPr>
                      <w:rFonts w:hint="eastAsia" w:cs="Times New Roman"/>
                      <w:bCs/>
                      <w:color w:val="auto"/>
                      <w:szCs w:val="21"/>
                      <w:lang w:val="en-US" w:eastAsia="zh-CN"/>
                    </w:rPr>
                    <w:t>间</w:t>
                  </w:r>
                  <w:r>
                    <w:rPr>
                      <w:rFonts w:hint="default" w:ascii="Times New Roman" w:hAnsi="Times New Roman" w:cs="Times New Roman"/>
                      <w:bCs/>
                      <w:color w:val="auto"/>
                      <w:szCs w:val="21"/>
                    </w:rPr>
                    <w:t>等效连续A声级</w:t>
                  </w:r>
                </w:p>
              </w:tc>
              <w:tc>
                <w:tcPr>
                  <w:tcW w:w="1622" w:type="pct"/>
                  <w:tcBorders>
                    <w:tl2br w:val="nil"/>
                    <w:tr2bl w:val="nil"/>
                  </w:tcBorders>
                  <w:vAlign w:val="center"/>
                </w:tcPr>
                <w:p w14:paraId="56287A82">
                  <w:pPr>
                    <w:snapToGrid w:val="0"/>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每季度监测1次</w:t>
                  </w:r>
                </w:p>
              </w:tc>
            </w:tr>
          </w:tbl>
          <w:p w14:paraId="78D381D5">
            <w:pPr>
              <w:adjustRightInd w:val="0"/>
              <w:snapToGrid w:val="0"/>
              <w:spacing w:line="500" w:lineRule="exact"/>
              <w:rPr>
                <w:rFonts w:hint="default" w:ascii="Times New Roman" w:hAnsi="Times New Roman" w:cs="Times New Roman"/>
                <w:b/>
                <w:color w:val="auto"/>
                <w:sz w:val="24"/>
              </w:rPr>
            </w:pPr>
            <w:r>
              <w:rPr>
                <w:rFonts w:hint="eastAsia" w:cs="Times New Roman"/>
                <w:b/>
                <w:color w:val="auto"/>
                <w:sz w:val="24"/>
                <w:lang w:eastAsia="zh-CN"/>
              </w:rPr>
              <w:t>四</w:t>
            </w:r>
            <w:r>
              <w:rPr>
                <w:rFonts w:hint="default" w:ascii="Times New Roman" w:hAnsi="Times New Roman" w:cs="Times New Roman"/>
                <w:b/>
                <w:color w:val="auto"/>
                <w:sz w:val="24"/>
              </w:rPr>
              <w:t>、固体废物</w:t>
            </w:r>
          </w:p>
          <w:p w14:paraId="3EA6D888">
            <w:pPr>
              <w:adjustRightInd w:val="0"/>
              <w:snapToGrid w:val="0"/>
              <w:spacing w:line="500" w:lineRule="exact"/>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1、</w:t>
            </w:r>
            <w:r>
              <w:rPr>
                <w:rFonts w:hint="default" w:ascii="Times New Roman" w:hAnsi="Times New Roman" w:cs="Times New Roman"/>
                <w:b/>
                <w:bCs/>
                <w:color w:val="auto"/>
                <w:sz w:val="24"/>
              </w:rPr>
              <w:t>固体废物产生情况</w:t>
            </w:r>
          </w:p>
          <w:p w14:paraId="7548AAB2">
            <w:pPr>
              <w:pStyle w:val="6"/>
              <w:adjustRightInd w:val="0"/>
              <w:snapToGrid w:val="0"/>
              <w:spacing w:line="500" w:lineRule="exact"/>
              <w:ind w:firstLine="482" w:firstLineChars="20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废包装袋</w:t>
            </w:r>
            <w:r>
              <w:rPr>
                <w:rFonts w:hint="eastAsia" w:ascii="Times New Roman" w:hAnsi="Times New Roman" w:eastAsia="宋体" w:cs="Times New Roman"/>
                <w:color w:val="auto"/>
                <w:kern w:val="2"/>
                <w:sz w:val="24"/>
                <w:szCs w:val="24"/>
                <w:lang w:val="en-US" w:eastAsia="zh-CN" w:bidi="ar-SA"/>
              </w:rPr>
              <w:t>:项目塑料粒子、色母粒使用过程产生废包装袋，包装规格为</w:t>
            </w:r>
            <w:r>
              <w:rPr>
                <w:rFonts w:hint="default"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t>kg/</w:t>
            </w:r>
            <w:r>
              <w:rPr>
                <w:rFonts w:hint="eastAsia" w:ascii="Times New Roman" w:hAnsi="Times New Roman" w:eastAsia="宋体" w:cs="Times New Roman"/>
                <w:color w:val="auto"/>
                <w:kern w:val="2"/>
                <w:sz w:val="24"/>
                <w:szCs w:val="24"/>
                <w:lang w:val="en-US" w:eastAsia="zh-CN" w:bidi="ar-SA"/>
              </w:rPr>
              <w:t>袋，塑料粒子、色母粒用量约172t/a，产生废包装袋约6880个，单个净重约100g，则废包装袋产生量约0.688t/a</w:t>
            </w:r>
            <w:r>
              <w:rPr>
                <w:rFonts w:hint="default" w:ascii="Times New Roman" w:hAnsi="Times New Roman" w:eastAsia="宋体" w:cs="Times New Roman"/>
                <w:color w:val="auto"/>
                <w:kern w:val="2"/>
                <w:sz w:val="24"/>
                <w:szCs w:val="24"/>
                <w:lang w:val="en-US" w:eastAsia="zh-CN" w:bidi="ar-SA"/>
              </w:rPr>
              <w:t>。</w:t>
            </w:r>
          </w:p>
          <w:p w14:paraId="01066F4D">
            <w:pPr>
              <w:pStyle w:val="6"/>
              <w:adjustRightInd w:val="0"/>
              <w:snapToGrid w:val="0"/>
              <w:spacing w:line="500" w:lineRule="exact"/>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color w:val="auto"/>
                <w:sz w:val="24"/>
                <w:szCs w:val="24"/>
              </w:rPr>
              <w:t>边角料：</w:t>
            </w:r>
            <w:r>
              <w:rPr>
                <w:rFonts w:hint="eastAsia" w:ascii="Times New Roman" w:hAnsi="Times New Roman" w:cs="Times New Roman"/>
                <w:color w:val="auto"/>
                <w:sz w:val="24"/>
                <w:szCs w:val="24"/>
                <w:highlight w:val="none"/>
                <w:lang w:val="en-US" w:eastAsia="zh-CN"/>
              </w:rPr>
              <w:t>项目风机配件、风机外壳修边</w:t>
            </w:r>
            <w:r>
              <w:rPr>
                <w:rFonts w:hint="default" w:ascii="Times New Roman" w:hAnsi="Times New Roman" w:cs="Times New Roman"/>
                <w:color w:val="auto"/>
                <w:sz w:val="24"/>
                <w:szCs w:val="24"/>
                <w:highlight w:val="none"/>
                <w:lang w:val="en-US" w:eastAsia="zh-CN"/>
              </w:rPr>
              <w:t>过程中产生</w:t>
            </w:r>
            <w:r>
              <w:rPr>
                <w:rFonts w:hint="eastAsia" w:ascii="Times New Roman" w:hAnsi="Times New Roman" w:cs="Times New Roman"/>
                <w:color w:val="auto"/>
                <w:sz w:val="24"/>
                <w:szCs w:val="24"/>
                <w:highlight w:val="none"/>
                <w:lang w:val="en-US" w:eastAsia="zh-CN"/>
              </w:rPr>
              <w:t>少量</w:t>
            </w:r>
            <w:r>
              <w:rPr>
                <w:rFonts w:hint="default" w:ascii="Times New Roman" w:hAnsi="Times New Roman" w:cs="Times New Roman"/>
                <w:color w:val="auto"/>
                <w:sz w:val="24"/>
                <w:szCs w:val="24"/>
                <w:highlight w:val="none"/>
                <w:lang w:val="en-US" w:eastAsia="zh-CN"/>
              </w:rPr>
              <w:t>边角料，</w:t>
            </w:r>
            <w:r>
              <w:rPr>
                <w:rFonts w:hint="default" w:ascii="Times New Roman" w:hAnsi="Times New Roman" w:cs="Times New Roman"/>
                <w:color w:val="auto"/>
                <w:sz w:val="24"/>
                <w:szCs w:val="24"/>
              </w:rPr>
              <w:t>产生量约占原料量的</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ascii="Times New Roman" w:hAnsi="Times New Roman" w:eastAsia="宋体" w:cs="Times New Roman"/>
                <w:color w:val="auto"/>
                <w:kern w:val="2"/>
                <w:sz w:val="24"/>
                <w:szCs w:val="24"/>
                <w:lang w:val="en-US" w:eastAsia="zh-CN" w:bidi="ar-SA"/>
              </w:rPr>
              <w:t>塑料粒子、色母粒用量约172t/a</w:t>
            </w:r>
            <w:r>
              <w:rPr>
                <w:rFonts w:hint="eastAsia"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sz w:val="24"/>
                <w:szCs w:val="24"/>
              </w:rPr>
              <w:t>则边角料产生量为</w:t>
            </w:r>
            <w:r>
              <w:rPr>
                <w:rFonts w:hint="eastAsia" w:ascii="Times New Roman" w:hAnsi="Times New Roman" w:cs="Times New Roman"/>
                <w:color w:val="auto"/>
                <w:sz w:val="24"/>
                <w:szCs w:val="24"/>
                <w:lang w:val="en-US" w:eastAsia="zh-CN"/>
              </w:rPr>
              <w:t>3.44</w:t>
            </w:r>
            <w:r>
              <w:rPr>
                <w:rFonts w:hint="default" w:ascii="Times New Roman" w:hAnsi="Times New Roman" w:cs="Times New Roman"/>
                <w:color w:val="auto"/>
                <w:sz w:val="24"/>
                <w:szCs w:val="24"/>
              </w:rPr>
              <w:t>t/a。</w:t>
            </w:r>
          </w:p>
          <w:p w14:paraId="12CDCE53">
            <w:pPr>
              <w:adjustRightInd w:val="0"/>
              <w:snapToGrid w:val="0"/>
              <w:spacing w:line="500" w:lineRule="exact"/>
              <w:ind w:firstLine="482" w:firstLineChars="200"/>
              <w:rPr>
                <w:rFonts w:hint="default" w:ascii="Times New Roman" w:hAnsi="Times New Roman" w:cs="Times New Roman"/>
                <w:color w:val="auto"/>
                <w:sz w:val="24"/>
              </w:rPr>
            </w:pPr>
            <w:r>
              <w:rPr>
                <w:rFonts w:hint="eastAsia" w:cs="Times New Roman"/>
                <w:b/>
                <w:color w:val="auto"/>
                <w:sz w:val="24"/>
                <w:lang w:eastAsia="zh-CN"/>
              </w:rPr>
              <w:t>次品</w:t>
            </w:r>
            <w:r>
              <w:rPr>
                <w:rFonts w:hint="default" w:ascii="Times New Roman" w:hAnsi="Times New Roman" w:cs="Times New Roman"/>
                <w:b/>
                <w:color w:val="auto"/>
                <w:sz w:val="24"/>
              </w:rPr>
              <w:t>：</w:t>
            </w:r>
            <w:r>
              <w:rPr>
                <w:rFonts w:hint="eastAsia" w:cs="Times New Roman"/>
                <w:color w:val="auto"/>
                <w:sz w:val="24"/>
                <w:szCs w:val="24"/>
                <w:highlight w:val="none"/>
                <w:lang w:val="en-US" w:eastAsia="zh-CN"/>
              </w:rPr>
              <w:t>项目风机叶轮、风机外壳检验</w:t>
            </w:r>
            <w:r>
              <w:rPr>
                <w:rFonts w:hint="default" w:ascii="Times New Roman" w:hAnsi="Times New Roman" w:cs="Times New Roman"/>
                <w:bCs/>
                <w:color w:val="auto"/>
                <w:sz w:val="24"/>
              </w:rPr>
              <w:t>过程中会产生</w:t>
            </w:r>
            <w:r>
              <w:rPr>
                <w:rFonts w:hint="eastAsia" w:cs="Times New Roman"/>
                <w:bCs/>
                <w:color w:val="auto"/>
                <w:sz w:val="24"/>
                <w:lang w:eastAsia="zh-CN"/>
              </w:rPr>
              <w:t>少量次品</w:t>
            </w:r>
            <w:r>
              <w:rPr>
                <w:rFonts w:hint="default" w:ascii="Times New Roman" w:hAnsi="Times New Roman" w:cs="Times New Roman"/>
                <w:bCs/>
                <w:color w:val="auto"/>
                <w:sz w:val="24"/>
              </w:rPr>
              <w:t>，</w:t>
            </w:r>
            <w:r>
              <w:rPr>
                <w:rFonts w:hint="default" w:ascii="Times New Roman" w:hAnsi="Times New Roman" w:cs="Times New Roman"/>
                <w:color w:val="auto"/>
                <w:sz w:val="24"/>
                <w:szCs w:val="24"/>
              </w:rPr>
              <w:t>产生量约占原料量的</w:t>
            </w:r>
            <w:r>
              <w:rPr>
                <w:rFonts w:hint="eastAsia" w:cs="Times New Roman"/>
                <w:color w:val="auto"/>
                <w:sz w:val="24"/>
                <w:szCs w:val="24"/>
                <w:lang w:val="en-US" w:eastAsia="zh-CN"/>
              </w:rPr>
              <w:t>1</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highlight w:val="none"/>
                <w:lang w:val="en-US" w:eastAsia="zh-CN"/>
              </w:rPr>
              <w:t>项目</w:t>
            </w:r>
            <w:r>
              <w:rPr>
                <w:rFonts w:hint="eastAsia" w:cs="Times New Roman"/>
                <w:color w:val="auto"/>
                <w:sz w:val="24"/>
                <w:szCs w:val="24"/>
                <w:highlight w:val="none"/>
                <w:lang w:val="en-US" w:eastAsia="zh-CN"/>
              </w:rPr>
              <w:t>风机叶轮、风机外壳原料</w:t>
            </w:r>
            <w:r>
              <w:rPr>
                <w:rFonts w:hint="eastAsia" w:ascii="Times New Roman" w:hAnsi="Times New Roman" w:cs="Times New Roman"/>
                <w:color w:val="auto"/>
                <w:sz w:val="24"/>
                <w:szCs w:val="24"/>
                <w:highlight w:val="none"/>
                <w:lang w:val="en-US" w:eastAsia="zh-CN"/>
              </w:rPr>
              <w:t>用量</w:t>
            </w:r>
            <w:r>
              <w:rPr>
                <w:rFonts w:hint="eastAsia" w:ascii="Times New Roman" w:hAnsi="Times New Roman" w:cs="Times New Roman"/>
                <w:color w:val="auto"/>
                <w:kern w:val="0"/>
                <w:sz w:val="24"/>
                <w:szCs w:val="24"/>
                <w:highlight w:val="none"/>
                <w:lang w:val="en-US" w:eastAsia="zh-CN"/>
              </w:rPr>
              <w:t>约</w:t>
            </w:r>
            <w:r>
              <w:rPr>
                <w:rFonts w:hint="eastAsia" w:cs="Times New Roman"/>
                <w:color w:val="auto"/>
                <w:kern w:val="0"/>
                <w:sz w:val="24"/>
                <w:szCs w:val="24"/>
                <w:highlight w:val="none"/>
                <w:lang w:val="en-US" w:eastAsia="zh-CN"/>
              </w:rPr>
              <w:t>172</w:t>
            </w:r>
            <w:r>
              <w:rPr>
                <w:rFonts w:hint="eastAsia" w:ascii="Times New Roman" w:hAnsi="Times New Roman" w:cs="Times New Roman"/>
                <w:color w:val="auto"/>
                <w:kern w:val="0"/>
                <w:sz w:val="24"/>
                <w:szCs w:val="24"/>
                <w:highlight w:val="none"/>
                <w:lang w:val="en-US" w:eastAsia="zh-CN"/>
              </w:rPr>
              <w:t>t/a，</w:t>
            </w:r>
            <w:r>
              <w:rPr>
                <w:rFonts w:hint="default" w:ascii="Times New Roman" w:hAnsi="Times New Roman" w:cs="Times New Roman"/>
                <w:color w:val="auto"/>
                <w:sz w:val="24"/>
                <w:szCs w:val="24"/>
              </w:rPr>
              <w:t>则</w:t>
            </w:r>
            <w:r>
              <w:rPr>
                <w:rFonts w:hint="eastAsia" w:ascii="Times New Roman" w:hAnsi="Times New Roman" w:cs="Times New Roman"/>
                <w:color w:val="auto"/>
                <w:sz w:val="24"/>
                <w:szCs w:val="24"/>
                <w:lang w:eastAsia="zh-CN"/>
              </w:rPr>
              <w:t>次品</w:t>
            </w:r>
            <w:r>
              <w:rPr>
                <w:rFonts w:hint="default" w:ascii="Times New Roman" w:hAnsi="Times New Roman" w:cs="Times New Roman"/>
                <w:color w:val="auto"/>
                <w:sz w:val="24"/>
                <w:szCs w:val="24"/>
              </w:rPr>
              <w:t>产生量为</w:t>
            </w:r>
            <w:r>
              <w:rPr>
                <w:rFonts w:hint="eastAsia" w:cs="Times New Roman"/>
                <w:color w:val="auto"/>
                <w:sz w:val="24"/>
                <w:szCs w:val="24"/>
                <w:lang w:val="en-US" w:eastAsia="zh-CN"/>
              </w:rPr>
              <w:t>1.72</w:t>
            </w:r>
            <w:r>
              <w:rPr>
                <w:rFonts w:hint="default" w:ascii="Times New Roman" w:hAnsi="Times New Roman" w:cs="Times New Roman"/>
                <w:color w:val="auto"/>
                <w:sz w:val="24"/>
                <w:szCs w:val="24"/>
              </w:rPr>
              <w:t>t/a</w:t>
            </w:r>
            <w:r>
              <w:rPr>
                <w:rFonts w:hint="default" w:ascii="Times New Roman" w:hAnsi="Times New Roman" w:cs="Times New Roman"/>
                <w:bCs/>
                <w:color w:val="auto"/>
                <w:sz w:val="24"/>
              </w:rPr>
              <w:t>。</w:t>
            </w:r>
          </w:p>
          <w:p w14:paraId="1AACF001">
            <w:pPr>
              <w:adjustRightInd w:val="0"/>
              <w:snapToGrid w:val="0"/>
              <w:spacing w:line="500" w:lineRule="exact"/>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废活性炭：</w:t>
            </w:r>
            <w:r>
              <w:rPr>
                <w:rFonts w:hint="default" w:ascii="Times New Roman" w:hAnsi="Times New Roman" w:cs="Times New Roman"/>
                <w:color w:val="auto"/>
                <w:sz w:val="24"/>
              </w:rPr>
              <w:t>本项目</w:t>
            </w:r>
            <w:r>
              <w:rPr>
                <w:rFonts w:hint="default" w:ascii="Times New Roman" w:hAnsi="Times New Roman" w:cs="Times New Roman"/>
                <w:color w:val="auto"/>
                <w:sz w:val="24"/>
                <w:lang w:val="en-US" w:eastAsia="zh-CN"/>
              </w:rPr>
              <w:t>废气处理采用二级活性炭吸附</w:t>
            </w:r>
            <w:r>
              <w:rPr>
                <w:rFonts w:hint="default" w:ascii="Times New Roman" w:hAnsi="Times New Roman" w:cs="Times New Roman"/>
                <w:color w:val="auto"/>
                <w:sz w:val="24"/>
              </w:rPr>
              <w:t>处理工艺</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需定期更换活性炭</w:t>
            </w:r>
            <w:r>
              <w:rPr>
                <w:rFonts w:hint="default" w:ascii="Times New Roman" w:hAnsi="Times New Roman" w:cs="Times New Roman"/>
                <w:color w:val="auto"/>
                <w:sz w:val="24"/>
              </w:rPr>
              <w:t>，根据</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省生态环境厅关于将排污单位活性炭使用更换纳入排污许可管理的通知</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中附件涉活性炭吸附排污单位的排污许可管理要求内的相关公式</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计算活性炭更换周期</w:t>
            </w:r>
            <w:r>
              <w:rPr>
                <w:rFonts w:hint="default" w:ascii="Times New Roman" w:hAnsi="Times New Roman" w:cs="Times New Roman"/>
                <w:color w:val="auto"/>
                <w:sz w:val="24"/>
              </w:rPr>
              <w:t>：</w:t>
            </w:r>
          </w:p>
          <w:p w14:paraId="04D4ACD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T=m×s÷（c×10</w:t>
            </w:r>
            <w:r>
              <w:rPr>
                <w:rFonts w:hint="default" w:ascii="Times New Roman" w:hAnsi="Times New Roman" w:cs="Times New Roman"/>
                <w:color w:val="auto"/>
                <w:sz w:val="24"/>
                <w:vertAlign w:val="superscript"/>
              </w:rPr>
              <w:t>-6</w:t>
            </w:r>
            <w:r>
              <w:rPr>
                <w:rFonts w:hint="default" w:ascii="Times New Roman" w:hAnsi="Times New Roman" w:cs="Times New Roman"/>
                <w:color w:val="auto"/>
                <w:sz w:val="24"/>
              </w:rPr>
              <w:t>×Q×t）</w:t>
            </w:r>
          </w:p>
          <w:p w14:paraId="52149D2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T—更换周期，天；</w:t>
            </w:r>
          </w:p>
          <w:p w14:paraId="08D0D99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m—活性炭的用量，kg；</w:t>
            </w:r>
          </w:p>
          <w:p w14:paraId="09CEF3A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s—动态吸附量，%；</w:t>
            </w:r>
          </w:p>
          <w:p w14:paraId="128A98E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c—活性炭削减VOCs浓度，mg/m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7216313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Q—风量，单位m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w:t>
            </w:r>
          </w:p>
          <w:p w14:paraId="7CE6BA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2880" w:firstLineChars="1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t—运行时间，单位h/d。</w:t>
            </w:r>
          </w:p>
          <w:p w14:paraId="64083024">
            <w:pPr>
              <w:pStyle w:val="8"/>
              <w:keepNext w:val="0"/>
              <w:keepLines w:val="0"/>
              <w:pageBreakBefore w:val="0"/>
              <w:widowControl/>
              <w:kinsoku/>
              <w:wordWrap/>
              <w:overflowPunct/>
              <w:topLinePunct w:val="0"/>
              <w:autoSpaceDE/>
              <w:autoSpaceDN/>
              <w:bidi w:val="0"/>
              <w:adjustRightInd w:val="0"/>
              <w:snapToGrid w:val="0"/>
              <w:spacing w:before="0" w:after="0" w:line="500" w:lineRule="exact"/>
              <w:ind w:right="0" w:firstLine="422" w:firstLineChars="200"/>
              <w:jc w:val="center"/>
              <w:textAlignment w:val="auto"/>
              <w:rPr>
                <w:b/>
                <w:bCs/>
                <w:color w:val="auto"/>
                <w:sz w:val="21"/>
                <w:szCs w:val="21"/>
              </w:rPr>
            </w:pPr>
            <w:r>
              <w:rPr>
                <w:b/>
                <w:color w:val="auto"/>
                <w:sz w:val="21"/>
                <w:szCs w:val="21"/>
              </w:rPr>
              <w:t>表4-</w:t>
            </w:r>
            <w:r>
              <w:rPr>
                <w:rFonts w:hint="eastAsia"/>
                <w:b/>
                <w:color w:val="auto"/>
                <w:sz w:val="21"/>
                <w:szCs w:val="21"/>
                <w:lang w:val="en-US" w:eastAsia="zh-CN"/>
              </w:rPr>
              <w:t>17</w:t>
            </w:r>
            <w:r>
              <w:rPr>
                <w:b/>
                <w:color w:val="auto"/>
                <w:sz w:val="21"/>
                <w:szCs w:val="21"/>
              </w:rPr>
              <w:t>活性炭更换周期一览表</w:t>
            </w:r>
          </w:p>
          <w:tbl>
            <w:tblPr>
              <w:tblStyle w:val="27"/>
              <w:tblW w:w="499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51"/>
              <w:gridCol w:w="1103"/>
              <w:gridCol w:w="970"/>
              <w:gridCol w:w="2284"/>
              <w:gridCol w:w="868"/>
              <w:gridCol w:w="878"/>
              <w:gridCol w:w="879"/>
            </w:tblGrid>
            <w:tr w14:paraId="6DA37B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47" w:type="pct"/>
                  <w:noWrap w:val="0"/>
                  <w:vAlign w:val="center"/>
                </w:tcPr>
                <w:p w14:paraId="1C35CA65">
                  <w:pPr>
                    <w:adjustRightInd w:val="0"/>
                    <w:snapToGrid w:val="0"/>
                    <w:jc w:val="center"/>
                    <w:rPr>
                      <w:color w:val="auto"/>
                      <w:szCs w:val="21"/>
                    </w:rPr>
                  </w:pPr>
                  <w:r>
                    <w:rPr>
                      <w:color w:val="auto"/>
                      <w:szCs w:val="21"/>
                    </w:rPr>
                    <w:t>装置名称</w:t>
                  </w:r>
                </w:p>
              </w:tc>
              <w:tc>
                <w:tcPr>
                  <w:tcW w:w="624" w:type="pct"/>
                  <w:noWrap w:val="0"/>
                  <w:vAlign w:val="center"/>
                </w:tcPr>
                <w:p w14:paraId="35EB7822">
                  <w:pPr>
                    <w:adjustRightInd w:val="0"/>
                    <w:snapToGrid w:val="0"/>
                    <w:jc w:val="center"/>
                    <w:rPr>
                      <w:color w:val="auto"/>
                      <w:szCs w:val="21"/>
                    </w:rPr>
                  </w:pPr>
                  <w:r>
                    <w:rPr>
                      <w:color w:val="auto"/>
                      <w:szCs w:val="21"/>
                    </w:rPr>
                    <w:t>活性炭的用量（kg）</w:t>
                  </w:r>
                </w:p>
              </w:tc>
              <w:tc>
                <w:tcPr>
                  <w:tcW w:w="549" w:type="pct"/>
                  <w:noWrap w:val="0"/>
                  <w:vAlign w:val="center"/>
                </w:tcPr>
                <w:p w14:paraId="71A22AB7">
                  <w:pPr>
                    <w:adjustRightInd w:val="0"/>
                    <w:snapToGrid w:val="0"/>
                    <w:jc w:val="center"/>
                    <w:rPr>
                      <w:color w:val="auto"/>
                      <w:szCs w:val="21"/>
                    </w:rPr>
                  </w:pPr>
                  <w:r>
                    <w:rPr>
                      <w:color w:val="auto"/>
                      <w:szCs w:val="21"/>
                    </w:rPr>
                    <w:t>动态吸附量（%）</w:t>
                  </w:r>
                </w:p>
              </w:tc>
              <w:tc>
                <w:tcPr>
                  <w:tcW w:w="1292" w:type="pct"/>
                  <w:noWrap w:val="0"/>
                  <w:vAlign w:val="center"/>
                </w:tcPr>
                <w:p w14:paraId="158B08E0">
                  <w:pPr>
                    <w:adjustRightInd w:val="0"/>
                    <w:snapToGrid w:val="0"/>
                    <w:jc w:val="center"/>
                    <w:rPr>
                      <w:color w:val="auto"/>
                      <w:szCs w:val="21"/>
                    </w:rPr>
                  </w:pPr>
                  <w:r>
                    <w:rPr>
                      <w:color w:val="auto"/>
                      <w:szCs w:val="21"/>
                    </w:rPr>
                    <w:t>活性炭削减的VOCs浓度（mg/m</w:t>
                  </w:r>
                  <w:r>
                    <w:rPr>
                      <w:color w:val="auto"/>
                      <w:szCs w:val="21"/>
                      <w:vertAlign w:val="superscript"/>
                    </w:rPr>
                    <w:t>3</w:t>
                  </w:r>
                  <w:r>
                    <w:rPr>
                      <w:color w:val="auto"/>
                      <w:szCs w:val="21"/>
                    </w:rPr>
                    <w:t>）</w:t>
                  </w:r>
                </w:p>
              </w:tc>
              <w:tc>
                <w:tcPr>
                  <w:tcW w:w="491" w:type="pct"/>
                  <w:noWrap w:val="0"/>
                  <w:vAlign w:val="center"/>
                </w:tcPr>
                <w:p w14:paraId="25A17AC7">
                  <w:pPr>
                    <w:adjustRightInd w:val="0"/>
                    <w:snapToGrid w:val="0"/>
                    <w:jc w:val="center"/>
                    <w:rPr>
                      <w:color w:val="auto"/>
                      <w:szCs w:val="21"/>
                    </w:rPr>
                  </w:pPr>
                  <w:r>
                    <w:rPr>
                      <w:color w:val="auto"/>
                      <w:szCs w:val="21"/>
                    </w:rPr>
                    <w:t>风量（m</w:t>
                  </w:r>
                  <w:r>
                    <w:rPr>
                      <w:color w:val="auto"/>
                      <w:szCs w:val="21"/>
                      <w:vertAlign w:val="superscript"/>
                    </w:rPr>
                    <w:t>3</w:t>
                  </w:r>
                  <w:r>
                    <w:rPr>
                      <w:color w:val="auto"/>
                      <w:szCs w:val="21"/>
                    </w:rPr>
                    <w:t>/h）</w:t>
                  </w:r>
                </w:p>
              </w:tc>
              <w:tc>
                <w:tcPr>
                  <w:tcW w:w="497" w:type="pct"/>
                  <w:noWrap w:val="0"/>
                  <w:vAlign w:val="center"/>
                </w:tcPr>
                <w:p w14:paraId="4F93714C">
                  <w:pPr>
                    <w:adjustRightInd w:val="0"/>
                    <w:snapToGrid w:val="0"/>
                    <w:jc w:val="center"/>
                    <w:rPr>
                      <w:color w:val="auto"/>
                      <w:szCs w:val="21"/>
                    </w:rPr>
                  </w:pPr>
                  <w:r>
                    <w:rPr>
                      <w:color w:val="auto"/>
                      <w:szCs w:val="21"/>
                    </w:rPr>
                    <w:t>运行时间（h/d）</w:t>
                  </w:r>
                </w:p>
              </w:tc>
              <w:tc>
                <w:tcPr>
                  <w:tcW w:w="497" w:type="pct"/>
                  <w:noWrap w:val="0"/>
                  <w:vAlign w:val="center"/>
                </w:tcPr>
                <w:p w14:paraId="6F3BF8C9">
                  <w:pPr>
                    <w:adjustRightInd w:val="0"/>
                    <w:snapToGrid w:val="0"/>
                    <w:jc w:val="center"/>
                    <w:rPr>
                      <w:color w:val="auto"/>
                      <w:szCs w:val="21"/>
                    </w:rPr>
                  </w:pPr>
                  <w:r>
                    <w:rPr>
                      <w:rFonts w:hint="eastAsia"/>
                      <w:color w:val="auto"/>
                      <w:szCs w:val="21"/>
                    </w:rPr>
                    <w:t>更换</w:t>
                  </w:r>
                  <w:r>
                    <w:rPr>
                      <w:color w:val="auto"/>
                      <w:szCs w:val="21"/>
                    </w:rPr>
                    <w:t>周期（d）</w:t>
                  </w:r>
                </w:p>
              </w:tc>
            </w:tr>
            <w:tr w14:paraId="64C741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047" w:type="pct"/>
                  <w:noWrap w:val="0"/>
                  <w:vAlign w:val="center"/>
                </w:tcPr>
                <w:p w14:paraId="7B710FD8">
                  <w:pPr>
                    <w:adjustRightInd w:val="0"/>
                    <w:snapToGrid w:val="0"/>
                    <w:jc w:val="center"/>
                    <w:rPr>
                      <w:color w:val="auto"/>
                      <w:szCs w:val="21"/>
                    </w:rPr>
                  </w:pPr>
                  <w:r>
                    <w:rPr>
                      <w:bCs/>
                      <w:color w:val="auto"/>
                      <w:szCs w:val="21"/>
                    </w:rPr>
                    <w:t>活性炭吸附装置</w:t>
                  </w:r>
                </w:p>
              </w:tc>
              <w:tc>
                <w:tcPr>
                  <w:tcW w:w="624" w:type="pct"/>
                  <w:noWrap w:val="0"/>
                  <w:vAlign w:val="center"/>
                </w:tcPr>
                <w:p w14:paraId="246AA449">
                  <w:pPr>
                    <w:widowControl/>
                    <w:jc w:val="center"/>
                    <w:textAlignment w:val="center"/>
                    <w:rPr>
                      <w:rFonts w:hint="default" w:eastAsia="宋体"/>
                      <w:color w:val="auto"/>
                      <w:szCs w:val="21"/>
                      <w:lang w:val="en-US" w:eastAsia="zh-CN"/>
                    </w:rPr>
                  </w:pPr>
                  <w:r>
                    <w:rPr>
                      <w:rFonts w:hint="eastAsia"/>
                      <w:color w:val="auto"/>
                      <w:szCs w:val="21"/>
                      <w:lang w:val="en-US" w:eastAsia="zh-CN"/>
                    </w:rPr>
                    <w:t>380</w:t>
                  </w:r>
                </w:p>
              </w:tc>
              <w:tc>
                <w:tcPr>
                  <w:tcW w:w="549" w:type="pct"/>
                  <w:noWrap w:val="0"/>
                  <w:vAlign w:val="center"/>
                </w:tcPr>
                <w:p w14:paraId="43443A46">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20</w:t>
                  </w:r>
                </w:p>
              </w:tc>
              <w:tc>
                <w:tcPr>
                  <w:tcW w:w="1292" w:type="pct"/>
                  <w:noWrap w:val="0"/>
                  <w:vAlign w:val="center"/>
                </w:tcPr>
                <w:p w14:paraId="4060C401">
                  <w:pPr>
                    <w:keepNext w:val="0"/>
                    <w:keepLines w:val="0"/>
                    <w:widowControl/>
                    <w:suppressLineNumbers w:val="0"/>
                    <w:jc w:val="center"/>
                    <w:textAlignment w:val="center"/>
                    <w:rPr>
                      <w:rFonts w:hint="default" w:eastAsia="宋体"/>
                      <w:color w:val="auto"/>
                      <w:szCs w:val="21"/>
                      <w:lang w:val="en-US" w:eastAsia="zh-CN"/>
                    </w:rPr>
                  </w:pPr>
                  <w:r>
                    <w:rPr>
                      <w:rFonts w:hint="eastAsia" w:cs="Times New Roman"/>
                      <w:i w:val="0"/>
                      <w:iCs w:val="0"/>
                      <w:color w:val="auto"/>
                      <w:kern w:val="0"/>
                      <w:sz w:val="21"/>
                      <w:szCs w:val="21"/>
                      <w:u w:val="none"/>
                      <w:lang w:val="en-US" w:eastAsia="zh-CN" w:bidi="ar"/>
                    </w:rPr>
                    <w:t>13.06</w:t>
                  </w:r>
                </w:p>
              </w:tc>
              <w:tc>
                <w:tcPr>
                  <w:tcW w:w="491" w:type="pct"/>
                  <w:noWrap w:val="0"/>
                  <w:vAlign w:val="center"/>
                </w:tcPr>
                <w:p w14:paraId="0C9C98CA">
                  <w:pPr>
                    <w:tabs>
                      <w:tab w:val="left" w:pos="360"/>
                      <w:tab w:val="left" w:pos="540"/>
                    </w:tabs>
                    <w:adjustRightInd w:val="0"/>
                    <w:snapToGrid w:val="0"/>
                    <w:jc w:val="center"/>
                    <w:rPr>
                      <w:color w:val="auto"/>
                      <w:szCs w:val="21"/>
                    </w:rPr>
                  </w:pPr>
                  <w:r>
                    <w:rPr>
                      <w:rFonts w:hint="eastAsia" w:cs="Times New Roman"/>
                      <w:color w:val="auto"/>
                      <w:sz w:val="21"/>
                      <w:szCs w:val="21"/>
                      <w:lang w:val="en-US" w:eastAsia="zh-CN"/>
                    </w:rPr>
                    <w:t>12000</w:t>
                  </w:r>
                </w:p>
              </w:tc>
              <w:tc>
                <w:tcPr>
                  <w:tcW w:w="497" w:type="pct"/>
                  <w:noWrap w:val="0"/>
                  <w:vAlign w:val="center"/>
                </w:tcPr>
                <w:p w14:paraId="5B039C28">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8</w:t>
                  </w:r>
                </w:p>
              </w:tc>
              <w:tc>
                <w:tcPr>
                  <w:tcW w:w="497" w:type="pct"/>
                  <w:noWrap w:val="0"/>
                  <w:vAlign w:val="center"/>
                </w:tcPr>
                <w:p w14:paraId="1E12D7E1">
                  <w:pPr>
                    <w:tabs>
                      <w:tab w:val="left" w:pos="360"/>
                      <w:tab w:val="left" w:pos="540"/>
                    </w:tabs>
                    <w:adjustRightInd w:val="0"/>
                    <w:snapToGrid w:val="0"/>
                    <w:jc w:val="center"/>
                    <w:rPr>
                      <w:rFonts w:hint="default" w:eastAsia="宋体"/>
                      <w:color w:val="auto"/>
                      <w:szCs w:val="21"/>
                      <w:lang w:val="en-US" w:eastAsia="zh-CN"/>
                    </w:rPr>
                  </w:pPr>
                  <w:r>
                    <w:rPr>
                      <w:rFonts w:hint="eastAsia"/>
                      <w:color w:val="auto"/>
                      <w:szCs w:val="21"/>
                      <w:lang w:val="en-US" w:eastAsia="zh-CN"/>
                    </w:rPr>
                    <w:t>60.6</w:t>
                  </w:r>
                </w:p>
              </w:tc>
            </w:tr>
          </w:tbl>
          <w:p w14:paraId="22A57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注:</w:t>
            </w:r>
            <w:r>
              <w:rPr>
                <w:color w:val="auto"/>
                <w:sz w:val="21"/>
                <w:szCs w:val="21"/>
              </w:rPr>
              <w:t>本项目采用一次性</w:t>
            </w:r>
            <w:r>
              <w:rPr>
                <w:rFonts w:hint="eastAsia"/>
                <w:color w:val="auto"/>
                <w:sz w:val="21"/>
                <w:szCs w:val="21"/>
                <w:lang w:val="en-US" w:eastAsia="zh-CN"/>
              </w:rPr>
              <w:t>颗粒</w:t>
            </w:r>
            <w:r>
              <w:rPr>
                <w:color w:val="auto"/>
                <w:sz w:val="21"/>
                <w:szCs w:val="21"/>
              </w:rPr>
              <w:t>活性炭，碘值不小于800，比表面积≥850m</w:t>
            </w:r>
            <w:r>
              <w:rPr>
                <w:color w:val="auto"/>
                <w:sz w:val="21"/>
                <w:szCs w:val="21"/>
                <w:vertAlign w:val="superscript"/>
              </w:rPr>
              <w:t>2</w:t>
            </w:r>
            <w:r>
              <w:rPr>
                <w:color w:val="auto"/>
                <w:sz w:val="21"/>
                <w:szCs w:val="21"/>
              </w:rPr>
              <w:t>/g，根据《省生态环境厅关于深入开展涉VOCs治理重点工作核查的通知》（苏环办〔2022〕218号），每5吨活性炭吸附1吨有机废气，因此，动态吸附量取值</w:t>
            </w:r>
            <w:r>
              <w:rPr>
                <w:rFonts w:hint="eastAsia"/>
                <w:color w:val="auto"/>
                <w:sz w:val="21"/>
                <w:szCs w:val="21"/>
                <w:lang w:val="en-US" w:eastAsia="zh-CN"/>
              </w:rPr>
              <w:t>2</w:t>
            </w:r>
            <w:r>
              <w:rPr>
                <w:color w:val="auto"/>
                <w:sz w:val="21"/>
                <w:szCs w:val="21"/>
              </w:rPr>
              <w:t>0%</w:t>
            </w:r>
            <w:r>
              <w:rPr>
                <w:rFonts w:hint="default" w:ascii="Times New Roman" w:hAnsi="Times New Roman" w:cs="Times New Roman"/>
                <w:color w:val="auto"/>
                <w:sz w:val="21"/>
                <w:szCs w:val="21"/>
              </w:rPr>
              <w:t>。</w:t>
            </w:r>
          </w:p>
          <w:p w14:paraId="6CE0CE1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80" w:firstLineChars="200"/>
              <w:jc w:val="both"/>
              <w:textAlignment w:val="auto"/>
              <w:rPr>
                <w:rFonts w:hint="default" w:ascii="Times New Roman" w:hAnsi="Times New Roman" w:cs="Times New Roman"/>
                <w:bCs/>
                <w:color w:val="auto"/>
                <w:sz w:val="24"/>
              </w:rPr>
            </w:pPr>
            <w:r>
              <w:rPr>
                <w:rFonts w:hint="eastAsia" w:ascii="Times New Roman" w:hAnsi="Times New Roman" w:eastAsia="宋体" w:cs="Times New Roman"/>
                <w:bCs/>
                <w:color w:val="auto"/>
                <w:sz w:val="24"/>
                <w:lang w:val="en-US" w:eastAsia="zh-CN"/>
              </w:rPr>
              <w:t>根据计算所得，本项目活性炭吸附装置更换周期为</w:t>
            </w:r>
            <w:r>
              <w:rPr>
                <w:rFonts w:hint="eastAsia" w:cs="Times New Roman"/>
                <w:bCs/>
                <w:color w:val="auto"/>
                <w:sz w:val="24"/>
                <w:lang w:val="en-US" w:eastAsia="zh-CN"/>
              </w:rPr>
              <w:t>6</w:t>
            </w:r>
            <w:r>
              <w:rPr>
                <w:rFonts w:hint="eastAsia" w:ascii="Times New Roman" w:hAnsi="Times New Roman" w:eastAsia="宋体" w:cs="Times New Roman"/>
                <w:bCs/>
                <w:color w:val="auto"/>
                <w:sz w:val="24"/>
                <w:lang w:val="en-US" w:eastAsia="zh-CN"/>
              </w:rPr>
              <w:t>0天。</w:t>
            </w:r>
            <w:r>
              <w:rPr>
                <w:rFonts w:hint="eastAsia" w:cs="Times New Roman"/>
                <w:bCs/>
                <w:color w:val="auto"/>
                <w:sz w:val="24"/>
                <w:lang w:val="en-US" w:eastAsia="zh-CN"/>
              </w:rPr>
              <w:t>根据前文分析，项目</w:t>
            </w:r>
            <w:r>
              <w:rPr>
                <w:rFonts w:hint="default" w:ascii="Times New Roman" w:hAnsi="Times New Roman" w:cs="Times New Roman"/>
                <w:bCs/>
                <w:color w:val="auto"/>
                <w:sz w:val="24"/>
                <w:lang w:val="en-US" w:eastAsia="zh-CN"/>
              </w:rPr>
              <w:t>二级活性炭</w:t>
            </w:r>
            <w:r>
              <w:rPr>
                <w:rFonts w:hint="eastAsia" w:cs="Times New Roman"/>
                <w:bCs/>
                <w:color w:val="auto"/>
                <w:sz w:val="24"/>
                <w:lang w:val="en-US" w:eastAsia="zh-CN"/>
              </w:rPr>
              <w:t>废气</w:t>
            </w:r>
            <w:r>
              <w:rPr>
                <w:rFonts w:hint="default" w:ascii="Times New Roman" w:hAnsi="Times New Roman" w:cs="Times New Roman"/>
                <w:bCs/>
                <w:color w:val="auto"/>
                <w:sz w:val="24"/>
                <w:lang w:val="en-US" w:eastAsia="zh-CN"/>
              </w:rPr>
              <w:t>吸附量为</w:t>
            </w:r>
            <w:r>
              <w:rPr>
                <w:rFonts w:hint="eastAsia" w:cs="Times New Roman"/>
                <w:bCs/>
                <w:color w:val="auto"/>
                <w:sz w:val="24"/>
                <w:lang w:val="en-US" w:eastAsia="zh-CN"/>
              </w:rPr>
              <w:t>0.376</w:t>
            </w:r>
            <w:r>
              <w:rPr>
                <w:rFonts w:hint="default" w:ascii="Times New Roman" w:hAnsi="Times New Roman" w:cs="Times New Roman"/>
                <w:bCs/>
                <w:color w:val="auto"/>
                <w:sz w:val="24"/>
                <w:lang w:val="en-US" w:eastAsia="zh-CN"/>
              </w:rPr>
              <w:t>t/a。</w:t>
            </w:r>
            <w:r>
              <w:rPr>
                <w:rFonts w:hint="eastAsia" w:cs="Times New Roman"/>
                <w:color w:val="auto"/>
                <w:sz w:val="24"/>
                <w:szCs w:val="24"/>
                <w:lang w:eastAsia="zh-CN"/>
              </w:rPr>
              <w:t>则项目</w:t>
            </w:r>
            <w:r>
              <w:rPr>
                <w:rFonts w:hint="default" w:ascii="Times New Roman" w:hAnsi="Times New Roman" w:cs="Times New Roman"/>
                <w:bCs/>
                <w:color w:val="auto"/>
                <w:sz w:val="24"/>
                <w:lang w:val="en-US" w:eastAsia="zh-CN"/>
              </w:rPr>
              <w:t>废</w:t>
            </w:r>
            <w:r>
              <w:rPr>
                <w:rFonts w:hint="default" w:ascii="Times New Roman" w:hAnsi="Times New Roman" w:cs="Times New Roman"/>
                <w:bCs/>
                <w:color w:val="auto"/>
                <w:sz w:val="24"/>
                <w:lang w:eastAsia="zh-CN"/>
              </w:rPr>
              <w:t>活性炭产生量</w:t>
            </w:r>
            <w:r>
              <w:rPr>
                <w:rFonts w:hint="eastAsia" w:cs="Times New Roman"/>
                <w:bCs/>
                <w:color w:val="auto"/>
                <w:sz w:val="24"/>
                <w:lang w:val="en-US" w:eastAsia="zh-CN"/>
              </w:rPr>
              <w:t>约</w:t>
            </w:r>
            <w:r>
              <w:rPr>
                <w:rFonts w:hint="default" w:ascii="Times New Roman" w:hAnsi="Times New Roman" w:cs="Times New Roman"/>
                <w:bCs/>
                <w:color w:val="auto"/>
                <w:sz w:val="24"/>
                <w:lang w:eastAsia="zh-CN"/>
              </w:rPr>
              <w:t>为</w:t>
            </w:r>
            <w:r>
              <w:rPr>
                <w:rFonts w:hint="eastAsia" w:cs="Times New Roman"/>
                <w:bCs/>
                <w:color w:val="auto"/>
                <w:sz w:val="24"/>
                <w:lang w:val="en-US" w:eastAsia="zh-CN"/>
              </w:rPr>
              <w:t>2.656</w:t>
            </w:r>
            <w:r>
              <w:rPr>
                <w:rFonts w:hint="default" w:ascii="Times New Roman" w:hAnsi="Times New Roman" w:cs="Times New Roman"/>
                <w:bCs/>
                <w:color w:val="auto"/>
                <w:sz w:val="24"/>
                <w:lang w:val="en-US" w:eastAsia="zh-CN"/>
              </w:rPr>
              <w:t>t/</w:t>
            </w:r>
            <w:r>
              <w:rPr>
                <w:rFonts w:hint="default" w:ascii="Times New Roman" w:hAnsi="Times New Roman" w:cs="Times New Roman"/>
                <w:bCs/>
                <w:color w:val="auto"/>
                <w:sz w:val="24"/>
                <w:highlight w:val="none"/>
                <w:lang w:val="en-US" w:eastAsia="zh-CN"/>
              </w:rPr>
              <w:t>a</w:t>
            </w:r>
            <w:r>
              <w:rPr>
                <w:rFonts w:hint="default" w:ascii="Times New Roman" w:hAnsi="Times New Roman" w:cs="Times New Roman"/>
                <w:color w:val="auto"/>
                <w:sz w:val="24"/>
              </w:rPr>
              <w:t>。</w:t>
            </w:r>
          </w:p>
          <w:p w14:paraId="6319070D">
            <w:pPr>
              <w:adjustRightInd w:val="0"/>
              <w:snapToGrid w:val="0"/>
              <w:spacing w:line="500" w:lineRule="exact"/>
              <w:ind w:firstLine="482" w:firstLineChars="200"/>
              <w:rPr>
                <w:rFonts w:hint="eastAsia" w:cs="Times New Roman"/>
                <w:bCs/>
                <w:color w:val="auto"/>
                <w:sz w:val="24"/>
                <w:lang w:val="en-US" w:eastAsia="zh-CN"/>
              </w:rPr>
            </w:pPr>
            <w:r>
              <w:rPr>
                <w:rFonts w:hint="eastAsia" w:ascii="Times New Roman" w:hAnsi="Times New Roman" w:eastAsia="宋体" w:cs="Times New Roman"/>
                <w:b/>
                <w:bCs w:val="0"/>
                <w:color w:val="auto"/>
                <w:kern w:val="2"/>
                <w:sz w:val="24"/>
                <w:szCs w:val="24"/>
                <w:lang w:val="en-US" w:eastAsia="zh-CN" w:bidi="ar-SA"/>
              </w:rPr>
              <w:t>废液压油</w:t>
            </w:r>
            <w:r>
              <w:rPr>
                <w:rFonts w:hint="eastAsia" w:cs="Times New Roman"/>
                <w:b/>
                <w:bCs w:val="0"/>
                <w:color w:val="auto"/>
                <w:sz w:val="24"/>
                <w:lang w:val="en-US" w:eastAsia="zh-CN"/>
              </w:rPr>
              <w:t>：</w:t>
            </w:r>
            <w:r>
              <w:rPr>
                <w:rFonts w:hint="eastAsia" w:ascii="Times New Roman" w:hAnsi="Times New Roman" w:eastAsia="宋体" w:cs="Times New Roman"/>
                <w:b w:val="0"/>
                <w:bCs/>
                <w:color w:val="auto"/>
                <w:kern w:val="2"/>
                <w:sz w:val="24"/>
                <w:szCs w:val="24"/>
                <w:lang w:val="en-US" w:eastAsia="zh-CN" w:bidi="ar-SA"/>
              </w:rPr>
              <w:t>项目压塑机、吹塑机等设备定期保养，产生少量废液压油，项目液压油消耗约0.8t/a，</w:t>
            </w:r>
            <w:r>
              <w:rPr>
                <w:rFonts w:hint="eastAsia" w:cs="Times New Roman"/>
                <w:b w:val="0"/>
                <w:bCs/>
                <w:color w:val="auto"/>
                <w:kern w:val="2"/>
                <w:sz w:val="24"/>
                <w:szCs w:val="24"/>
                <w:lang w:val="en-US" w:eastAsia="zh-CN" w:bidi="ar-SA"/>
              </w:rPr>
              <w:t>产污系数约0.9，则</w:t>
            </w:r>
            <w:r>
              <w:rPr>
                <w:rFonts w:hint="eastAsia" w:ascii="Times New Roman" w:hAnsi="Times New Roman" w:eastAsia="宋体" w:cs="Times New Roman"/>
                <w:b w:val="0"/>
                <w:bCs/>
                <w:color w:val="auto"/>
                <w:kern w:val="2"/>
                <w:sz w:val="24"/>
                <w:szCs w:val="24"/>
                <w:lang w:val="en-US" w:eastAsia="zh-CN" w:bidi="ar-SA"/>
              </w:rPr>
              <w:t>废液压油产生量约0.</w:t>
            </w:r>
            <w:r>
              <w:rPr>
                <w:rFonts w:hint="eastAsia" w:cs="Times New Roman"/>
                <w:b w:val="0"/>
                <w:bCs/>
                <w:color w:val="auto"/>
                <w:kern w:val="2"/>
                <w:sz w:val="24"/>
                <w:szCs w:val="24"/>
                <w:lang w:val="en-US" w:eastAsia="zh-CN" w:bidi="ar-SA"/>
              </w:rPr>
              <w:t>72</w:t>
            </w:r>
            <w:r>
              <w:rPr>
                <w:rFonts w:hint="eastAsia" w:ascii="Times New Roman" w:hAnsi="Times New Roman" w:eastAsia="宋体" w:cs="Times New Roman"/>
                <w:b w:val="0"/>
                <w:bCs/>
                <w:color w:val="auto"/>
                <w:kern w:val="2"/>
                <w:sz w:val="24"/>
                <w:szCs w:val="24"/>
                <w:lang w:val="en-US" w:eastAsia="zh-CN" w:bidi="ar-SA"/>
              </w:rPr>
              <w:t>t/a。</w:t>
            </w:r>
          </w:p>
          <w:p w14:paraId="60798CBA">
            <w:pPr>
              <w:pStyle w:val="6"/>
              <w:adjustRightInd w:val="0"/>
              <w:snapToGrid w:val="0"/>
              <w:spacing w:line="500" w:lineRule="exact"/>
              <w:ind w:firstLine="482"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b/>
                <w:color w:val="auto"/>
                <w:sz w:val="24"/>
              </w:rPr>
              <w:t>废</w:t>
            </w:r>
            <w:r>
              <w:rPr>
                <w:rFonts w:hint="eastAsia" w:cs="Times New Roman"/>
                <w:b/>
                <w:color w:val="auto"/>
                <w:sz w:val="24"/>
                <w:lang w:val="en-US" w:eastAsia="zh-CN"/>
              </w:rPr>
              <w:t>油</w:t>
            </w:r>
            <w:r>
              <w:rPr>
                <w:rFonts w:hint="default" w:ascii="Times New Roman" w:hAnsi="Times New Roman" w:cs="Times New Roman"/>
                <w:b/>
                <w:color w:val="auto"/>
                <w:sz w:val="24"/>
              </w:rPr>
              <w:t>桶：</w:t>
            </w:r>
            <w:r>
              <w:rPr>
                <w:rFonts w:hint="default" w:ascii="Times New Roman" w:hAnsi="Times New Roman" w:eastAsia="宋体" w:cs="Times New Roman"/>
                <w:color w:val="auto"/>
                <w:kern w:val="0"/>
                <w:sz w:val="24"/>
                <w:szCs w:val="24"/>
                <w:lang w:val="en-US" w:eastAsia="zh-CN" w:bidi="ar"/>
              </w:rPr>
              <w:t>本项目</w:t>
            </w:r>
            <w:r>
              <w:rPr>
                <w:rFonts w:hint="eastAsia" w:ascii="Times New Roman" w:hAnsi="Times New Roman" w:eastAsia="宋体" w:cs="Times New Roman"/>
                <w:b w:val="0"/>
                <w:bCs/>
                <w:color w:val="auto"/>
                <w:kern w:val="2"/>
                <w:sz w:val="24"/>
                <w:szCs w:val="24"/>
                <w:lang w:val="en-US" w:eastAsia="zh-CN" w:bidi="ar-SA"/>
              </w:rPr>
              <w:t>液压油使用过程产生少量废油桶，</w:t>
            </w:r>
            <w:r>
              <w:rPr>
                <w:rFonts w:hint="eastAsia" w:ascii="Times New Roman" w:hAnsi="Times New Roman" w:eastAsia="宋体" w:cs="Times New Roman"/>
                <w:color w:val="auto"/>
                <w:kern w:val="2"/>
                <w:sz w:val="24"/>
                <w:szCs w:val="24"/>
                <w:lang w:val="en-US" w:eastAsia="zh-CN" w:bidi="ar-SA"/>
              </w:rPr>
              <w:t>包装规格为170</w:t>
            </w:r>
            <w:r>
              <w:rPr>
                <w:rFonts w:hint="default" w:ascii="Times New Roman" w:hAnsi="Times New Roman" w:eastAsia="宋体" w:cs="Times New Roman"/>
                <w:color w:val="auto"/>
                <w:kern w:val="2"/>
                <w:sz w:val="24"/>
                <w:szCs w:val="24"/>
                <w:lang w:val="en-US" w:eastAsia="zh-CN" w:bidi="ar-SA"/>
              </w:rPr>
              <w:t>kg/</w:t>
            </w:r>
            <w:r>
              <w:rPr>
                <w:rFonts w:hint="eastAsia" w:ascii="Times New Roman" w:hAnsi="Times New Roman" w:eastAsia="宋体" w:cs="Times New Roman"/>
                <w:color w:val="auto"/>
                <w:kern w:val="2"/>
                <w:sz w:val="24"/>
                <w:szCs w:val="24"/>
                <w:lang w:val="en-US" w:eastAsia="zh-CN" w:bidi="ar-SA"/>
              </w:rPr>
              <w:t>桶，</w:t>
            </w:r>
            <w:r>
              <w:rPr>
                <w:rFonts w:hint="eastAsia" w:ascii="Times New Roman" w:hAnsi="Times New Roman" w:eastAsia="宋体" w:cs="Times New Roman"/>
                <w:b w:val="0"/>
                <w:bCs/>
                <w:color w:val="auto"/>
                <w:kern w:val="2"/>
                <w:sz w:val="24"/>
                <w:szCs w:val="24"/>
                <w:lang w:val="en-US" w:eastAsia="zh-CN" w:bidi="ar-SA"/>
              </w:rPr>
              <w:t>液压油</w:t>
            </w:r>
            <w:r>
              <w:rPr>
                <w:rFonts w:hint="eastAsia" w:ascii="Times New Roman" w:hAnsi="Times New Roman" w:eastAsia="宋体" w:cs="Times New Roman"/>
                <w:color w:val="auto"/>
                <w:kern w:val="2"/>
                <w:sz w:val="24"/>
                <w:szCs w:val="24"/>
                <w:lang w:val="en-US" w:eastAsia="zh-CN" w:bidi="ar-SA"/>
              </w:rPr>
              <w:t>用量约0.8t/a，产生</w:t>
            </w:r>
            <w:r>
              <w:rPr>
                <w:rFonts w:hint="eastAsia" w:ascii="Times New Roman" w:hAnsi="Times New Roman" w:eastAsia="宋体" w:cs="Times New Roman"/>
                <w:b w:val="0"/>
                <w:bCs/>
                <w:color w:val="auto"/>
                <w:kern w:val="2"/>
                <w:sz w:val="24"/>
                <w:szCs w:val="24"/>
                <w:lang w:val="en-US" w:eastAsia="zh-CN" w:bidi="ar-SA"/>
              </w:rPr>
              <w:t>废油桶</w:t>
            </w:r>
            <w:r>
              <w:rPr>
                <w:rFonts w:hint="eastAsia" w:ascii="Times New Roman" w:hAnsi="Times New Roman" w:eastAsia="宋体" w:cs="Times New Roman"/>
                <w:color w:val="auto"/>
                <w:kern w:val="2"/>
                <w:sz w:val="24"/>
                <w:szCs w:val="24"/>
                <w:lang w:val="en-US" w:eastAsia="zh-CN" w:bidi="ar-SA"/>
              </w:rPr>
              <w:t>约5个，单个</w:t>
            </w:r>
            <w:r>
              <w:rPr>
                <w:rFonts w:hint="eastAsia" w:ascii="Times New Roman" w:hAnsi="Times New Roman" w:eastAsia="宋体" w:cs="Times New Roman"/>
                <w:b w:val="0"/>
                <w:bCs/>
                <w:color w:val="auto"/>
                <w:kern w:val="2"/>
                <w:sz w:val="24"/>
                <w:szCs w:val="24"/>
                <w:lang w:val="en-US" w:eastAsia="zh-CN" w:bidi="ar-SA"/>
              </w:rPr>
              <w:t>油桶</w:t>
            </w:r>
            <w:r>
              <w:rPr>
                <w:rFonts w:hint="eastAsia" w:ascii="Times New Roman" w:hAnsi="Times New Roman" w:eastAsia="宋体" w:cs="Times New Roman"/>
                <w:color w:val="auto"/>
                <w:kern w:val="2"/>
                <w:sz w:val="24"/>
                <w:szCs w:val="24"/>
                <w:lang w:val="en-US" w:eastAsia="zh-CN" w:bidi="ar-SA"/>
              </w:rPr>
              <w:t>净重约10kg，则</w:t>
            </w:r>
            <w:r>
              <w:rPr>
                <w:rFonts w:hint="eastAsia" w:ascii="Times New Roman" w:hAnsi="Times New Roman" w:eastAsia="宋体" w:cs="Times New Roman"/>
                <w:b w:val="0"/>
                <w:bCs/>
                <w:color w:val="auto"/>
                <w:kern w:val="2"/>
                <w:sz w:val="24"/>
                <w:szCs w:val="24"/>
                <w:lang w:val="en-US" w:eastAsia="zh-CN" w:bidi="ar-SA"/>
              </w:rPr>
              <w:t>废油桶</w:t>
            </w:r>
            <w:r>
              <w:rPr>
                <w:rFonts w:hint="eastAsia" w:ascii="Times New Roman" w:hAnsi="Times New Roman" w:eastAsia="宋体" w:cs="Times New Roman"/>
                <w:color w:val="auto"/>
                <w:kern w:val="2"/>
                <w:sz w:val="24"/>
                <w:szCs w:val="24"/>
                <w:lang w:val="en-US" w:eastAsia="zh-CN" w:bidi="ar-SA"/>
              </w:rPr>
              <w:t>产生量约0.05t/a</w:t>
            </w:r>
            <w:r>
              <w:rPr>
                <w:rFonts w:hint="default" w:ascii="Times New Roman" w:hAnsi="Times New Roman" w:eastAsia="宋体" w:cs="Times New Roman"/>
                <w:color w:val="auto"/>
                <w:kern w:val="2"/>
                <w:sz w:val="24"/>
                <w:szCs w:val="24"/>
                <w:lang w:val="en-US" w:eastAsia="zh-CN" w:bidi="ar-SA"/>
              </w:rPr>
              <w:t>。</w:t>
            </w:r>
          </w:p>
          <w:p w14:paraId="49E3D6F2">
            <w:pPr>
              <w:adjustRightInd w:val="0"/>
              <w:snapToGrid w:val="0"/>
              <w:spacing w:line="500" w:lineRule="exact"/>
              <w:ind w:firstLine="482" w:firstLineChars="200"/>
              <w:rPr>
                <w:rFonts w:hint="default" w:ascii="Times New Roman" w:hAnsi="Times New Roman" w:eastAsia="宋体" w:cs="Times New Roman"/>
                <w:color w:val="auto"/>
                <w:kern w:val="0"/>
                <w:sz w:val="24"/>
                <w:szCs w:val="24"/>
                <w:lang w:val="en-US" w:eastAsia="zh-CN" w:bidi="ar"/>
              </w:rPr>
            </w:pPr>
            <w:r>
              <w:rPr>
                <w:rFonts w:hint="eastAsia" w:cs="Times New Roman"/>
                <w:b/>
                <w:bCs/>
                <w:color w:val="auto"/>
                <w:kern w:val="0"/>
                <w:sz w:val="24"/>
                <w:szCs w:val="24"/>
                <w:lang w:val="en-US" w:eastAsia="zh-CN" w:bidi="ar"/>
              </w:rPr>
              <w:t>含油废抹布手套</w:t>
            </w:r>
            <w:r>
              <w:rPr>
                <w:rFonts w:hint="eastAsia" w:cs="Times New Roman"/>
                <w:color w:val="auto"/>
                <w:kern w:val="0"/>
                <w:sz w:val="24"/>
                <w:szCs w:val="24"/>
                <w:lang w:val="en-US" w:eastAsia="zh-CN" w:bidi="ar"/>
              </w:rPr>
              <w:t>:</w:t>
            </w:r>
            <w:r>
              <w:rPr>
                <w:rFonts w:hint="eastAsia" w:ascii="Times New Roman" w:hAnsi="Times New Roman" w:eastAsia="宋体" w:cs="Times New Roman"/>
                <w:b w:val="0"/>
                <w:bCs/>
                <w:color w:val="auto"/>
                <w:kern w:val="2"/>
                <w:sz w:val="24"/>
                <w:szCs w:val="24"/>
                <w:lang w:val="en-US" w:eastAsia="zh-CN" w:bidi="ar-SA"/>
              </w:rPr>
              <w:t>项目压塑机、吹塑机等设备定期保养，保养过程产生少量含油</w:t>
            </w:r>
            <w:r>
              <w:rPr>
                <w:rFonts w:hint="eastAsia" w:cs="Times New Roman"/>
                <w:color w:val="auto"/>
                <w:kern w:val="0"/>
                <w:sz w:val="24"/>
                <w:szCs w:val="24"/>
                <w:lang w:val="en-US" w:eastAsia="zh-CN" w:bidi="ar"/>
              </w:rPr>
              <w:t>废抹布手套，产生量约0.05</w:t>
            </w:r>
            <w:r>
              <w:rPr>
                <w:rFonts w:hint="eastAsia" w:ascii="Times New Roman" w:hAnsi="Times New Roman" w:eastAsia="宋体" w:cs="Times New Roman"/>
                <w:color w:val="auto"/>
                <w:kern w:val="2"/>
                <w:sz w:val="24"/>
                <w:szCs w:val="24"/>
                <w:lang w:val="en-US" w:eastAsia="zh-CN" w:bidi="ar-SA"/>
              </w:rPr>
              <w:t>t/a</w:t>
            </w:r>
            <w:r>
              <w:rPr>
                <w:rFonts w:hint="default" w:ascii="Times New Roman" w:hAnsi="Times New Roman" w:eastAsia="宋体" w:cs="Times New Roman"/>
                <w:color w:val="auto"/>
                <w:kern w:val="0"/>
                <w:sz w:val="24"/>
                <w:szCs w:val="24"/>
                <w:lang w:val="en-US" w:eastAsia="zh-CN" w:bidi="ar"/>
              </w:rPr>
              <w:t>。</w:t>
            </w:r>
          </w:p>
          <w:p w14:paraId="1B8EACA3">
            <w:pPr>
              <w:adjustRightInd w:val="0"/>
              <w:snapToGrid w:val="0"/>
              <w:spacing w:line="500" w:lineRule="exact"/>
              <w:ind w:firstLine="482" w:firstLineChars="200"/>
              <w:rPr>
                <w:rFonts w:hint="eastAsia" w:ascii="Times New Roman" w:hAnsi="Times New Roman" w:eastAsia="宋体" w:cs="Times New Roman"/>
                <w:bCs/>
                <w:color w:val="auto"/>
                <w:sz w:val="24"/>
                <w:lang w:eastAsia="zh-CN"/>
              </w:rPr>
            </w:pPr>
            <w:r>
              <w:rPr>
                <w:rFonts w:hint="eastAsia" w:cs="Times New Roman"/>
                <w:b/>
                <w:bCs w:val="0"/>
                <w:color w:val="auto"/>
                <w:sz w:val="24"/>
                <w:lang w:eastAsia="zh-CN"/>
              </w:rPr>
              <w:t>生活垃圾</w:t>
            </w:r>
            <w:r>
              <w:rPr>
                <w:rFonts w:hint="eastAsia" w:cs="Times New Roman"/>
                <w:bCs/>
                <w:color w:val="auto"/>
                <w:sz w:val="24"/>
                <w:lang w:eastAsia="zh-CN"/>
              </w:rPr>
              <w:t>：</w:t>
            </w:r>
            <w:r>
              <w:rPr>
                <w:rFonts w:hint="eastAsia" w:ascii="Times New Roman" w:hAnsi="Times New Roman" w:eastAsia="宋体" w:cs="Times New Roman"/>
                <w:bCs/>
                <w:color w:val="auto"/>
                <w:sz w:val="24"/>
                <w:lang w:val="en-US" w:eastAsia="zh-CN"/>
              </w:rPr>
              <w:t>生活垃圾按人均产生量为1</w:t>
            </w:r>
            <w:r>
              <w:rPr>
                <w:rFonts w:hint="default" w:ascii="Times New Roman" w:hAnsi="Times New Roman" w:eastAsia="宋体" w:cs="Times New Roman"/>
                <w:bCs/>
                <w:color w:val="auto"/>
                <w:sz w:val="24"/>
                <w:lang w:val="en-US" w:eastAsia="zh-CN"/>
              </w:rPr>
              <w:t>kg/d</w:t>
            </w:r>
            <w:r>
              <w:rPr>
                <w:rFonts w:hint="eastAsia" w:ascii="Times New Roman" w:hAnsi="Times New Roman" w:eastAsia="宋体" w:cs="Times New Roman"/>
                <w:bCs/>
                <w:color w:val="auto"/>
                <w:sz w:val="24"/>
                <w:lang w:val="en-US" w:eastAsia="zh-CN"/>
              </w:rPr>
              <w:t>计算，项目劳动定员</w:t>
            </w:r>
            <w:r>
              <w:rPr>
                <w:rFonts w:hint="eastAsia" w:cs="Times New Roman"/>
                <w:bCs/>
                <w:color w:val="auto"/>
                <w:sz w:val="24"/>
                <w:lang w:val="en-US" w:eastAsia="zh-CN"/>
              </w:rPr>
              <w:t>15</w:t>
            </w:r>
            <w:r>
              <w:rPr>
                <w:rFonts w:hint="eastAsia" w:ascii="Times New Roman" w:hAnsi="Times New Roman" w:eastAsia="宋体" w:cs="Times New Roman"/>
                <w:bCs/>
                <w:color w:val="auto"/>
                <w:sz w:val="24"/>
                <w:lang w:val="en-US" w:eastAsia="zh-CN"/>
              </w:rPr>
              <w:t>人，则生活垃圾产生量为</w:t>
            </w:r>
            <w:r>
              <w:rPr>
                <w:rFonts w:hint="eastAsia" w:cs="Times New Roman"/>
                <w:bCs/>
                <w:color w:val="auto"/>
                <w:sz w:val="24"/>
                <w:lang w:val="en-US" w:eastAsia="zh-CN"/>
              </w:rPr>
              <w:t>4.5</w:t>
            </w:r>
            <w:r>
              <w:rPr>
                <w:rFonts w:hint="default" w:ascii="Times New Roman" w:hAnsi="Times New Roman" w:eastAsia="宋体" w:cs="Times New Roman"/>
                <w:bCs/>
                <w:color w:val="auto"/>
                <w:sz w:val="24"/>
                <w:lang w:val="en-US" w:eastAsia="zh-CN"/>
              </w:rPr>
              <w:t>t/a</w:t>
            </w:r>
            <w:r>
              <w:rPr>
                <w:rFonts w:hint="eastAsia" w:ascii="Times New Roman" w:hAnsi="Times New Roman" w:eastAsia="宋体" w:cs="Times New Roman"/>
                <w:bCs/>
                <w:color w:val="auto"/>
                <w:sz w:val="24"/>
                <w:lang w:val="en-US" w:eastAsia="zh-CN"/>
              </w:rPr>
              <w:t>。</w:t>
            </w:r>
          </w:p>
          <w:p w14:paraId="420A0A3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结合生产工艺流程及生产运营过程中的副产物产生情况，根据《固体废物鉴别标准通则》的规定，判断其是否属于固体废物，给出判定依据及结果，见下表。</w:t>
            </w:r>
          </w:p>
          <w:p w14:paraId="736BAA00">
            <w:pPr>
              <w:pStyle w:val="58"/>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表4-</w:t>
            </w:r>
            <w:r>
              <w:rPr>
                <w:rFonts w:hint="default" w:ascii="Times New Roman" w:hAnsi="Times New Roman" w:eastAsia="宋体" w:cs="Times New Roman"/>
                <w:b/>
                <w:color w:val="auto"/>
                <w:sz w:val="21"/>
                <w:szCs w:val="21"/>
                <w:highlight w:val="none"/>
                <w:lang w:val="en-US" w:eastAsia="zh-CN"/>
              </w:rPr>
              <w:t>1</w:t>
            </w:r>
            <w:r>
              <w:rPr>
                <w:rFonts w:hint="eastAsia" w:ascii="Times New Roman" w:hAnsi="Times New Roman"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lang w:val="en-US" w:eastAsia="zh-CN"/>
              </w:rPr>
              <w:t>本</w:t>
            </w:r>
            <w:r>
              <w:rPr>
                <w:rFonts w:hint="default" w:ascii="Times New Roman" w:hAnsi="Times New Roman" w:eastAsia="宋体" w:cs="Times New Roman"/>
                <w:b/>
                <w:color w:val="auto"/>
                <w:sz w:val="21"/>
                <w:szCs w:val="21"/>
                <w:highlight w:val="none"/>
              </w:rPr>
              <w:t>项目固废</w:t>
            </w:r>
            <w:r>
              <w:rPr>
                <w:rFonts w:hint="default" w:ascii="Times New Roman" w:hAnsi="Times New Roman" w:eastAsia="宋体" w:cs="Times New Roman"/>
                <w:b/>
                <w:color w:val="auto"/>
                <w:sz w:val="21"/>
                <w:szCs w:val="21"/>
                <w:highlight w:val="none"/>
                <w:lang w:val="en-US" w:eastAsia="zh-CN"/>
              </w:rPr>
              <w:t>鉴别</w:t>
            </w:r>
            <w:r>
              <w:rPr>
                <w:rFonts w:hint="default" w:ascii="Times New Roman" w:hAnsi="Times New Roman" w:eastAsia="宋体" w:cs="Times New Roman"/>
                <w:b/>
                <w:color w:val="auto"/>
                <w:sz w:val="21"/>
                <w:szCs w:val="21"/>
                <w:highlight w:val="none"/>
              </w:rPr>
              <w:t>情况</w:t>
            </w:r>
            <w:r>
              <w:rPr>
                <w:rFonts w:hint="default" w:ascii="Times New Roman" w:hAnsi="Times New Roman" w:eastAsia="宋体" w:cs="Times New Roman"/>
                <w:b/>
                <w:color w:val="auto"/>
                <w:sz w:val="21"/>
                <w:szCs w:val="21"/>
                <w:highlight w:val="none"/>
                <w:lang w:val="en-US" w:eastAsia="zh-CN"/>
              </w:rPr>
              <w:t>汇总表</w:t>
            </w:r>
          </w:p>
          <w:tbl>
            <w:tblPr>
              <w:tblStyle w:val="27"/>
              <w:tblW w:w="490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5"/>
              <w:gridCol w:w="1004"/>
              <w:gridCol w:w="1558"/>
              <w:gridCol w:w="610"/>
              <w:gridCol w:w="1480"/>
              <w:gridCol w:w="1028"/>
              <w:gridCol w:w="931"/>
              <w:gridCol w:w="695"/>
              <w:gridCol w:w="919"/>
            </w:tblGrid>
            <w:tr w14:paraId="1478A4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vMerge w:val="restart"/>
                  <w:tcBorders>
                    <w:tl2br w:val="nil"/>
                    <w:tr2bl w:val="nil"/>
                  </w:tcBorders>
                  <w:noWrap w:val="0"/>
                  <w:vAlign w:val="center"/>
                </w:tcPr>
                <w:p w14:paraId="06974C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578" w:type="pct"/>
                  <w:vMerge w:val="restart"/>
                  <w:tcBorders>
                    <w:tl2br w:val="nil"/>
                    <w:tr2bl w:val="nil"/>
                  </w:tcBorders>
                  <w:noWrap w:val="0"/>
                  <w:vAlign w:val="center"/>
                </w:tcPr>
                <w:p w14:paraId="6D86A11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副产物</w:t>
                  </w:r>
                  <w:r>
                    <w:rPr>
                      <w:rFonts w:hint="default" w:ascii="Times New Roman" w:hAnsi="Times New Roman" w:cs="Times New Roman"/>
                      <w:b/>
                      <w:bCs/>
                      <w:color w:val="auto"/>
                      <w:sz w:val="21"/>
                      <w:szCs w:val="21"/>
                    </w:rPr>
                    <w:t>名称</w:t>
                  </w:r>
                </w:p>
              </w:tc>
              <w:tc>
                <w:tcPr>
                  <w:tcW w:w="897" w:type="pct"/>
                  <w:vMerge w:val="restart"/>
                  <w:tcBorders>
                    <w:tl2br w:val="nil"/>
                    <w:tr2bl w:val="nil"/>
                  </w:tcBorders>
                  <w:noWrap w:val="0"/>
                  <w:vAlign w:val="center"/>
                </w:tcPr>
                <w:p w14:paraId="6BDBB7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产生</w:t>
                  </w:r>
                  <w:r>
                    <w:rPr>
                      <w:rFonts w:hint="default" w:ascii="Times New Roman" w:hAnsi="Times New Roman" w:cs="Times New Roman"/>
                      <w:b/>
                      <w:bCs/>
                      <w:color w:val="auto"/>
                      <w:sz w:val="21"/>
                      <w:szCs w:val="21"/>
                      <w:lang w:val="en-US" w:eastAsia="zh-CN"/>
                    </w:rPr>
                    <w:t>工序</w:t>
                  </w:r>
                </w:p>
              </w:tc>
              <w:tc>
                <w:tcPr>
                  <w:tcW w:w="351" w:type="pct"/>
                  <w:vMerge w:val="restart"/>
                  <w:tcBorders>
                    <w:tl2br w:val="nil"/>
                    <w:tr2bl w:val="nil"/>
                  </w:tcBorders>
                  <w:noWrap w:val="0"/>
                  <w:vAlign w:val="center"/>
                </w:tcPr>
                <w:p w14:paraId="6B9848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形态</w:t>
                  </w:r>
                </w:p>
              </w:tc>
              <w:tc>
                <w:tcPr>
                  <w:tcW w:w="852" w:type="pct"/>
                  <w:vMerge w:val="restart"/>
                  <w:tcBorders>
                    <w:tl2br w:val="nil"/>
                    <w:tr2bl w:val="nil"/>
                  </w:tcBorders>
                  <w:noWrap w:val="0"/>
                  <w:vAlign w:val="center"/>
                </w:tcPr>
                <w:p w14:paraId="1AC2935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主要成分</w:t>
                  </w:r>
                </w:p>
              </w:tc>
              <w:tc>
                <w:tcPr>
                  <w:tcW w:w="592" w:type="pct"/>
                  <w:vMerge w:val="restart"/>
                  <w:tcBorders>
                    <w:tl2br w:val="nil"/>
                    <w:tr2bl w:val="nil"/>
                  </w:tcBorders>
                  <w:noWrap w:val="0"/>
                  <w:vAlign w:val="center"/>
                </w:tcPr>
                <w:p w14:paraId="549FC4E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预测</w:t>
                  </w:r>
                  <w:r>
                    <w:rPr>
                      <w:rFonts w:hint="default" w:ascii="Times New Roman" w:hAnsi="Times New Roman" w:cs="Times New Roman"/>
                      <w:b/>
                      <w:bCs/>
                      <w:color w:val="auto"/>
                      <w:sz w:val="21"/>
                      <w:szCs w:val="21"/>
                    </w:rPr>
                    <w:t>产生量（t/a）</w:t>
                  </w:r>
                </w:p>
              </w:tc>
              <w:tc>
                <w:tcPr>
                  <w:tcW w:w="1465" w:type="pct"/>
                  <w:gridSpan w:val="3"/>
                  <w:tcBorders>
                    <w:tl2br w:val="nil"/>
                    <w:tr2bl w:val="nil"/>
                  </w:tcBorders>
                  <w:noWrap w:val="0"/>
                  <w:vAlign w:val="center"/>
                </w:tcPr>
                <w:p w14:paraId="7F3D65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种类判断</w:t>
                  </w:r>
                </w:p>
              </w:tc>
            </w:tr>
            <w:tr w14:paraId="78F269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262" w:type="pct"/>
                  <w:vMerge w:val="continue"/>
                  <w:tcBorders>
                    <w:tl2br w:val="nil"/>
                    <w:tr2bl w:val="nil"/>
                  </w:tcBorders>
                  <w:noWrap w:val="0"/>
                  <w:vAlign w:val="center"/>
                </w:tcPr>
                <w:p w14:paraId="424EEC9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578" w:type="pct"/>
                  <w:vMerge w:val="continue"/>
                  <w:tcBorders>
                    <w:tl2br w:val="nil"/>
                    <w:tr2bl w:val="nil"/>
                  </w:tcBorders>
                  <w:noWrap w:val="0"/>
                  <w:vAlign w:val="center"/>
                </w:tcPr>
                <w:p w14:paraId="0F0124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p>
              </w:tc>
              <w:tc>
                <w:tcPr>
                  <w:tcW w:w="897" w:type="pct"/>
                  <w:vMerge w:val="continue"/>
                  <w:tcBorders>
                    <w:tl2br w:val="nil"/>
                    <w:tr2bl w:val="nil"/>
                  </w:tcBorders>
                  <w:noWrap w:val="0"/>
                  <w:vAlign w:val="center"/>
                </w:tcPr>
                <w:p w14:paraId="6D86C52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351" w:type="pct"/>
                  <w:vMerge w:val="continue"/>
                  <w:tcBorders>
                    <w:tl2br w:val="nil"/>
                    <w:tr2bl w:val="nil"/>
                  </w:tcBorders>
                  <w:noWrap w:val="0"/>
                  <w:vAlign w:val="center"/>
                </w:tcPr>
                <w:p w14:paraId="11E73A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852" w:type="pct"/>
                  <w:vMerge w:val="continue"/>
                  <w:tcBorders>
                    <w:tl2br w:val="nil"/>
                    <w:tr2bl w:val="nil"/>
                  </w:tcBorders>
                  <w:noWrap w:val="0"/>
                  <w:vAlign w:val="center"/>
                </w:tcPr>
                <w:p w14:paraId="5885BA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592" w:type="pct"/>
                  <w:vMerge w:val="continue"/>
                  <w:tcBorders>
                    <w:tl2br w:val="nil"/>
                    <w:tr2bl w:val="nil"/>
                  </w:tcBorders>
                  <w:noWrap w:val="0"/>
                  <w:vAlign w:val="center"/>
                </w:tcPr>
                <w:p w14:paraId="1B03A10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lang w:val="en-US" w:eastAsia="zh-CN"/>
                    </w:rPr>
                  </w:pPr>
                </w:p>
              </w:tc>
              <w:tc>
                <w:tcPr>
                  <w:tcW w:w="536" w:type="pct"/>
                  <w:tcBorders>
                    <w:tl2br w:val="nil"/>
                    <w:tr2bl w:val="nil"/>
                  </w:tcBorders>
                  <w:noWrap w:val="0"/>
                  <w:vAlign w:val="center"/>
                </w:tcPr>
                <w:p w14:paraId="15A29D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固体废物</w:t>
                  </w:r>
                </w:p>
              </w:tc>
              <w:tc>
                <w:tcPr>
                  <w:tcW w:w="400" w:type="pct"/>
                  <w:tcBorders>
                    <w:tl2br w:val="nil"/>
                    <w:tr2bl w:val="nil"/>
                  </w:tcBorders>
                  <w:noWrap w:val="0"/>
                  <w:vAlign w:val="center"/>
                </w:tcPr>
                <w:p w14:paraId="291EE3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副产品</w:t>
                  </w:r>
                </w:p>
              </w:tc>
              <w:tc>
                <w:tcPr>
                  <w:tcW w:w="528" w:type="pct"/>
                  <w:tcBorders>
                    <w:tl2br w:val="nil"/>
                    <w:tr2bl w:val="nil"/>
                  </w:tcBorders>
                  <w:noWrap w:val="0"/>
                  <w:vAlign w:val="center"/>
                </w:tcPr>
                <w:p w14:paraId="241CFC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判定依据</w:t>
                  </w:r>
                </w:p>
              </w:tc>
            </w:tr>
            <w:tr w14:paraId="1FAF97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5D8AB69A">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78" w:type="pct"/>
                  <w:tcBorders>
                    <w:tl2br w:val="nil"/>
                    <w:tr2bl w:val="nil"/>
                  </w:tcBorders>
                  <w:noWrap w:val="0"/>
                  <w:vAlign w:val="center"/>
                </w:tcPr>
                <w:p w14:paraId="2015E89A">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边角料</w:t>
                  </w:r>
                </w:p>
              </w:tc>
              <w:tc>
                <w:tcPr>
                  <w:tcW w:w="897" w:type="pct"/>
                  <w:tcBorders>
                    <w:tl2br w:val="nil"/>
                    <w:tr2bl w:val="nil"/>
                  </w:tcBorders>
                  <w:noWrap w:val="0"/>
                  <w:vAlign w:val="center"/>
                </w:tcPr>
                <w:p w14:paraId="01C73A09">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修边</w:t>
                  </w:r>
                </w:p>
              </w:tc>
              <w:tc>
                <w:tcPr>
                  <w:tcW w:w="351" w:type="pct"/>
                  <w:tcBorders>
                    <w:tl2br w:val="nil"/>
                    <w:tr2bl w:val="nil"/>
                  </w:tcBorders>
                  <w:noWrap w:val="0"/>
                  <w:vAlign w:val="center"/>
                </w:tcPr>
                <w:p w14:paraId="1887917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固态</w:t>
                  </w:r>
                </w:p>
              </w:tc>
              <w:tc>
                <w:tcPr>
                  <w:tcW w:w="852" w:type="pct"/>
                  <w:tcBorders>
                    <w:tl2br w:val="nil"/>
                    <w:tr2bl w:val="nil"/>
                  </w:tcBorders>
                  <w:noWrap w:val="0"/>
                  <w:vAlign w:val="center"/>
                </w:tcPr>
                <w:p w14:paraId="537209C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塑料</w:t>
                  </w:r>
                </w:p>
              </w:tc>
              <w:tc>
                <w:tcPr>
                  <w:tcW w:w="592" w:type="pct"/>
                  <w:tcBorders>
                    <w:tl2br w:val="nil"/>
                    <w:tr2bl w:val="nil"/>
                  </w:tcBorders>
                  <w:noWrap w:val="0"/>
                  <w:vAlign w:val="center"/>
                </w:tcPr>
                <w:p w14:paraId="6E7CFC7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3.44</w:t>
                  </w:r>
                </w:p>
              </w:tc>
              <w:tc>
                <w:tcPr>
                  <w:tcW w:w="536" w:type="pct"/>
                  <w:tcBorders>
                    <w:tl2br w:val="nil"/>
                    <w:tr2bl w:val="nil"/>
                  </w:tcBorders>
                  <w:noWrap w:val="0"/>
                  <w:vAlign w:val="center"/>
                </w:tcPr>
                <w:p w14:paraId="388EE74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11B224B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28" w:type="pct"/>
                  <w:vMerge w:val="restart"/>
                  <w:tcBorders>
                    <w:tl2br w:val="nil"/>
                    <w:tr2bl w:val="nil"/>
                  </w:tcBorders>
                  <w:noWrap w:val="0"/>
                  <w:vAlign w:val="center"/>
                </w:tcPr>
                <w:p w14:paraId="7420A35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《固体废物鉴别标准通则》</w:t>
                  </w:r>
                </w:p>
              </w:tc>
            </w:tr>
            <w:tr w14:paraId="6FBE93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4BF28B63">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78" w:type="pct"/>
                  <w:tcBorders>
                    <w:tl2br w:val="nil"/>
                    <w:tr2bl w:val="nil"/>
                  </w:tcBorders>
                  <w:noWrap w:val="0"/>
                  <w:vAlign w:val="center"/>
                </w:tcPr>
                <w:p w14:paraId="52A91BE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次品</w:t>
                  </w:r>
                </w:p>
              </w:tc>
              <w:tc>
                <w:tcPr>
                  <w:tcW w:w="897" w:type="pct"/>
                  <w:tcBorders>
                    <w:tl2br w:val="nil"/>
                    <w:tr2bl w:val="nil"/>
                  </w:tcBorders>
                  <w:noWrap w:val="0"/>
                  <w:vAlign w:val="center"/>
                </w:tcPr>
                <w:p w14:paraId="57C9B850">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检验</w:t>
                  </w:r>
                </w:p>
              </w:tc>
              <w:tc>
                <w:tcPr>
                  <w:tcW w:w="351" w:type="pct"/>
                  <w:tcBorders>
                    <w:tl2br w:val="nil"/>
                    <w:tr2bl w:val="nil"/>
                  </w:tcBorders>
                  <w:noWrap w:val="0"/>
                  <w:vAlign w:val="center"/>
                </w:tcPr>
                <w:p w14:paraId="6A32C5F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52" w:type="pct"/>
                  <w:tcBorders>
                    <w:tl2br w:val="nil"/>
                    <w:tr2bl w:val="nil"/>
                  </w:tcBorders>
                  <w:noWrap w:val="0"/>
                  <w:vAlign w:val="center"/>
                </w:tcPr>
                <w:p w14:paraId="10994C9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塑料</w:t>
                  </w:r>
                </w:p>
              </w:tc>
              <w:tc>
                <w:tcPr>
                  <w:tcW w:w="592" w:type="pct"/>
                  <w:tcBorders>
                    <w:tl2br w:val="nil"/>
                    <w:tr2bl w:val="nil"/>
                  </w:tcBorders>
                  <w:noWrap w:val="0"/>
                  <w:vAlign w:val="center"/>
                </w:tcPr>
                <w:p w14:paraId="7DF90C21">
                  <w:pPr>
                    <w:adjustRightInd w:val="0"/>
                    <w:snapToGrid w:val="0"/>
                    <w:jc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1.72</w:t>
                  </w:r>
                </w:p>
              </w:tc>
              <w:tc>
                <w:tcPr>
                  <w:tcW w:w="536" w:type="pct"/>
                  <w:tcBorders>
                    <w:tl2br w:val="nil"/>
                    <w:tr2bl w:val="nil"/>
                  </w:tcBorders>
                  <w:noWrap w:val="0"/>
                  <w:vAlign w:val="center"/>
                </w:tcPr>
                <w:p w14:paraId="4FD013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219C95D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8" w:type="pct"/>
                  <w:vMerge w:val="continue"/>
                  <w:tcBorders>
                    <w:tl2br w:val="nil"/>
                    <w:tr2bl w:val="nil"/>
                  </w:tcBorders>
                  <w:noWrap w:val="0"/>
                  <w:vAlign w:val="center"/>
                </w:tcPr>
                <w:p w14:paraId="470BECF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1216D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0D1D6409">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578" w:type="pct"/>
                  <w:tcBorders>
                    <w:tl2br w:val="nil"/>
                    <w:tr2bl w:val="nil"/>
                  </w:tcBorders>
                  <w:noWrap w:val="0"/>
                  <w:vAlign w:val="center"/>
                </w:tcPr>
                <w:p w14:paraId="16F7BAB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897" w:type="pct"/>
                  <w:tcBorders>
                    <w:tl2br w:val="nil"/>
                    <w:tr2bl w:val="nil"/>
                  </w:tcBorders>
                  <w:noWrap w:val="0"/>
                  <w:vAlign w:val="center"/>
                </w:tcPr>
                <w:p w14:paraId="62B9DCC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塑料粒子包装</w:t>
                  </w:r>
                </w:p>
              </w:tc>
              <w:tc>
                <w:tcPr>
                  <w:tcW w:w="351" w:type="pct"/>
                  <w:tcBorders>
                    <w:tl2br w:val="nil"/>
                    <w:tr2bl w:val="nil"/>
                  </w:tcBorders>
                  <w:noWrap w:val="0"/>
                  <w:vAlign w:val="center"/>
                </w:tcPr>
                <w:p w14:paraId="0A12EE1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52" w:type="pct"/>
                  <w:tcBorders>
                    <w:tl2br w:val="nil"/>
                    <w:tr2bl w:val="nil"/>
                  </w:tcBorders>
                  <w:noWrap w:val="0"/>
                  <w:vAlign w:val="center"/>
                </w:tcPr>
                <w:p w14:paraId="33C82376">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塑料</w:t>
                  </w:r>
                </w:p>
              </w:tc>
              <w:tc>
                <w:tcPr>
                  <w:tcW w:w="592" w:type="pct"/>
                  <w:tcBorders>
                    <w:tl2br w:val="nil"/>
                    <w:tr2bl w:val="nil"/>
                  </w:tcBorders>
                  <w:noWrap w:val="0"/>
                  <w:vAlign w:val="center"/>
                </w:tcPr>
                <w:p w14:paraId="648501EE">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0.688</w:t>
                  </w:r>
                </w:p>
              </w:tc>
              <w:tc>
                <w:tcPr>
                  <w:tcW w:w="536" w:type="pct"/>
                  <w:tcBorders>
                    <w:tl2br w:val="nil"/>
                    <w:tr2bl w:val="nil"/>
                  </w:tcBorders>
                  <w:noWrap w:val="0"/>
                  <w:vAlign w:val="center"/>
                </w:tcPr>
                <w:p w14:paraId="7FA3C78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7580B2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28" w:type="pct"/>
                  <w:vMerge w:val="continue"/>
                  <w:tcBorders>
                    <w:tl2br w:val="nil"/>
                    <w:tr2bl w:val="nil"/>
                  </w:tcBorders>
                  <w:noWrap w:val="0"/>
                  <w:vAlign w:val="center"/>
                </w:tcPr>
                <w:p w14:paraId="4FDA566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p>
              </w:tc>
            </w:tr>
            <w:tr w14:paraId="488815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6DF993C7">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78" w:type="pct"/>
                  <w:tcBorders>
                    <w:tl2br w:val="nil"/>
                    <w:tr2bl w:val="nil"/>
                  </w:tcBorders>
                  <w:noWrap w:val="0"/>
                  <w:vAlign w:val="center"/>
                </w:tcPr>
                <w:p w14:paraId="49A0544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废活性炭</w:t>
                  </w:r>
                </w:p>
              </w:tc>
              <w:tc>
                <w:tcPr>
                  <w:tcW w:w="897" w:type="pct"/>
                  <w:tcBorders>
                    <w:tl2br w:val="nil"/>
                    <w:tr2bl w:val="nil"/>
                  </w:tcBorders>
                  <w:noWrap w:val="0"/>
                  <w:vAlign w:val="center"/>
                </w:tcPr>
                <w:p w14:paraId="392833F4">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废气处理</w:t>
                  </w:r>
                </w:p>
              </w:tc>
              <w:tc>
                <w:tcPr>
                  <w:tcW w:w="351" w:type="pct"/>
                  <w:tcBorders>
                    <w:tl2br w:val="nil"/>
                    <w:tr2bl w:val="nil"/>
                  </w:tcBorders>
                  <w:noWrap w:val="0"/>
                  <w:vAlign w:val="center"/>
                </w:tcPr>
                <w:p w14:paraId="37228D2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52" w:type="pct"/>
                  <w:tcBorders>
                    <w:tl2br w:val="nil"/>
                    <w:tr2bl w:val="nil"/>
                  </w:tcBorders>
                  <w:noWrap w:val="0"/>
                  <w:vAlign w:val="center"/>
                </w:tcPr>
                <w:p w14:paraId="6592D2BF">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废活性炭</w:t>
                  </w:r>
                </w:p>
              </w:tc>
              <w:tc>
                <w:tcPr>
                  <w:tcW w:w="592" w:type="pct"/>
                  <w:tcBorders>
                    <w:tl2br w:val="nil"/>
                    <w:tr2bl w:val="nil"/>
                  </w:tcBorders>
                  <w:noWrap w:val="0"/>
                  <w:vAlign w:val="center"/>
                </w:tcPr>
                <w:p w14:paraId="1DC6A5A0">
                  <w:pPr>
                    <w:adjustRightInd w:val="0"/>
                    <w:snapToGrid w:val="0"/>
                    <w:jc w:val="center"/>
                    <w:rPr>
                      <w:rFonts w:hint="default" w:cs="Times New Roman"/>
                      <w:b w:val="0"/>
                      <w:bCs/>
                      <w:color w:val="auto"/>
                      <w:kern w:val="2"/>
                      <w:sz w:val="21"/>
                      <w:szCs w:val="21"/>
                      <w:lang w:val="en-US" w:eastAsia="zh-CN" w:bidi="ar-SA"/>
                    </w:rPr>
                  </w:pPr>
                  <w:r>
                    <w:rPr>
                      <w:rFonts w:hint="eastAsia" w:cs="Times New Roman"/>
                      <w:b w:val="0"/>
                      <w:bCs/>
                      <w:color w:val="auto"/>
                      <w:sz w:val="21"/>
                      <w:szCs w:val="21"/>
                      <w:lang w:val="en-US" w:eastAsia="zh-CN"/>
                    </w:rPr>
                    <w:t>2.656</w:t>
                  </w:r>
                </w:p>
              </w:tc>
              <w:tc>
                <w:tcPr>
                  <w:tcW w:w="536" w:type="pct"/>
                  <w:tcBorders>
                    <w:tl2br w:val="nil"/>
                    <w:tr2bl w:val="nil"/>
                  </w:tcBorders>
                  <w:noWrap w:val="0"/>
                  <w:vAlign w:val="center"/>
                </w:tcPr>
                <w:p w14:paraId="5FC157F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5B11EF7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8" w:type="pct"/>
                  <w:vMerge w:val="continue"/>
                  <w:tcBorders>
                    <w:tl2br w:val="nil"/>
                    <w:tr2bl w:val="nil"/>
                  </w:tcBorders>
                  <w:noWrap w:val="0"/>
                  <w:vAlign w:val="center"/>
                </w:tcPr>
                <w:p w14:paraId="175F18F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1BD621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71F50E92">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78" w:type="pct"/>
                  <w:tcBorders>
                    <w:tl2br w:val="nil"/>
                    <w:tr2bl w:val="nil"/>
                  </w:tcBorders>
                  <w:noWrap w:val="0"/>
                  <w:vAlign w:val="center"/>
                </w:tcPr>
                <w:p w14:paraId="4BA8233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废液压油</w:t>
                  </w:r>
                </w:p>
              </w:tc>
              <w:tc>
                <w:tcPr>
                  <w:tcW w:w="897" w:type="pct"/>
                  <w:tcBorders>
                    <w:tl2br w:val="nil"/>
                    <w:tr2bl w:val="nil"/>
                  </w:tcBorders>
                  <w:noWrap w:val="0"/>
                  <w:vAlign w:val="center"/>
                </w:tcPr>
                <w:p w14:paraId="6A1F5B8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351" w:type="pct"/>
                  <w:tcBorders>
                    <w:tl2br w:val="nil"/>
                    <w:tr2bl w:val="nil"/>
                  </w:tcBorders>
                  <w:noWrap w:val="0"/>
                  <w:vAlign w:val="center"/>
                </w:tcPr>
                <w:p w14:paraId="3752DA4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852" w:type="pct"/>
                  <w:tcBorders>
                    <w:tl2br w:val="nil"/>
                    <w:tr2bl w:val="nil"/>
                  </w:tcBorders>
                  <w:noWrap w:val="0"/>
                  <w:vAlign w:val="center"/>
                </w:tcPr>
                <w:p w14:paraId="2ACB29E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矿物油</w:t>
                  </w:r>
                </w:p>
              </w:tc>
              <w:tc>
                <w:tcPr>
                  <w:tcW w:w="1028" w:type="dxa"/>
                  <w:tcBorders>
                    <w:tl2br w:val="nil"/>
                    <w:tr2bl w:val="nil"/>
                  </w:tcBorders>
                  <w:noWrap w:val="0"/>
                  <w:vAlign w:val="center"/>
                </w:tcPr>
                <w:p w14:paraId="665A717B">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0.72</w:t>
                  </w:r>
                </w:p>
              </w:tc>
              <w:tc>
                <w:tcPr>
                  <w:tcW w:w="931" w:type="dxa"/>
                  <w:tcBorders>
                    <w:tl2br w:val="nil"/>
                    <w:tr2bl w:val="nil"/>
                  </w:tcBorders>
                  <w:noWrap w:val="0"/>
                  <w:vAlign w:val="center"/>
                </w:tcPr>
                <w:p w14:paraId="1F33260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w:t>
                  </w:r>
                </w:p>
              </w:tc>
              <w:tc>
                <w:tcPr>
                  <w:tcW w:w="695" w:type="dxa"/>
                  <w:tcBorders>
                    <w:tl2br w:val="nil"/>
                    <w:tr2bl w:val="nil"/>
                  </w:tcBorders>
                  <w:noWrap w:val="0"/>
                  <w:vAlign w:val="center"/>
                </w:tcPr>
                <w:p w14:paraId="06EC543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8" w:type="pct"/>
                  <w:vMerge w:val="continue"/>
                  <w:tcBorders>
                    <w:tl2br w:val="nil"/>
                    <w:tr2bl w:val="nil"/>
                  </w:tcBorders>
                  <w:noWrap w:val="0"/>
                  <w:vAlign w:val="center"/>
                </w:tcPr>
                <w:p w14:paraId="575763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57F4D6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0F1D3FAC">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78" w:type="pct"/>
                  <w:tcBorders>
                    <w:tl2br w:val="nil"/>
                    <w:tr2bl w:val="nil"/>
                  </w:tcBorders>
                  <w:noWrap w:val="0"/>
                  <w:vAlign w:val="center"/>
                </w:tcPr>
                <w:p w14:paraId="7BCEDAE3">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w:t>
                  </w:r>
                  <w:r>
                    <w:rPr>
                      <w:rFonts w:hint="eastAsia" w:ascii="Times New Roman" w:hAnsi="Times New Roman" w:eastAsia="宋体" w:cs="Times New Roman"/>
                      <w:color w:val="auto"/>
                      <w:sz w:val="21"/>
                      <w:szCs w:val="21"/>
                      <w:lang w:val="en-US" w:eastAsia="zh-CN"/>
                    </w:rPr>
                    <w:t>油</w:t>
                  </w:r>
                  <w:r>
                    <w:rPr>
                      <w:rFonts w:hint="default" w:ascii="Times New Roman" w:hAnsi="Times New Roman" w:eastAsia="宋体" w:cs="Times New Roman"/>
                      <w:color w:val="auto"/>
                      <w:sz w:val="21"/>
                      <w:szCs w:val="21"/>
                      <w:lang w:val="en-US" w:eastAsia="zh-CN"/>
                    </w:rPr>
                    <w:t>桶</w:t>
                  </w:r>
                </w:p>
              </w:tc>
              <w:tc>
                <w:tcPr>
                  <w:tcW w:w="897" w:type="pct"/>
                  <w:tcBorders>
                    <w:tl2br w:val="nil"/>
                    <w:tr2bl w:val="nil"/>
                  </w:tcBorders>
                  <w:noWrap w:val="0"/>
                  <w:vAlign w:val="center"/>
                </w:tcPr>
                <w:p w14:paraId="48DA70C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油品包装</w:t>
                  </w:r>
                </w:p>
              </w:tc>
              <w:tc>
                <w:tcPr>
                  <w:tcW w:w="351" w:type="pct"/>
                  <w:tcBorders>
                    <w:tl2br w:val="nil"/>
                    <w:tr2bl w:val="nil"/>
                  </w:tcBorders>
                  <w:noWrap w:val="0"/>
                  <w:vAlign w:val="center"/>
                </w:tcPr>
                <w:p w14:paraId="42ADD1D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固态</w:t>
                  </w:r>
                </w:p>
              </w:tc>
              <w:tc>
                <w:tcPr>
                  <w:tcW w:w="852" w:type="pct"/>
                  <w:tcBorders>
                    <w:tl2br w:val="nil"/>
                    <w:tr2bl w:val="nil"/>
                  </w:tcBorders>
                  <w:noWrap w:val="0"/>
                  <w:vAlign w:val="center"/>
                </w:tcPr>
                <w:p w14:paraId="60ADF9D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矿物油、铁</w:t>
                  </w:r>
                </w:p>
              </w:tc>
              <w:tc>
                <w:tcPr>
                  <w:tcW w:w="1028" w:type="dxa"/>
                  <w:tcBorders>
                    <w:tl2br w:val="nil"/>
                    <w:tr2bl w:val="nil"/>
                  </w:tcBorders>
                  <w:noWrap w:val="0"/>
                  <w:vAlign w:val="center"/>
                </w:tcPr>
                <w:p w14:paraId="7BA84A85">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0.05</w:t>
                  </w:r>
                </w:p>
              </w:tc>
              <w:tc>
                <w:tcPr>
                  <w:tcW w:w="931" w:type="dxa"/>
                  <w:tcBorders>
                    <w:tl2br w:val="nil"/>
                    <w:tr2bl w:val="nil"/>
                  </w:tcBorders>
                  <w:noWrap w:val="0"/>
                  <w:vAlign w:val="center"/>
                </w:tcPr>
                <w:p w14:paraId="3664748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w:t>
                  </w:r>
                </w:p>
              </w:tc>
              <w:tc>
                <w:tcPr>
                  <w:tcW w:w="695" w:type="dxa"/>
                  <w:tcBorders>
                    <w:tl2br w:val="nil"/>
                    <w:tr2bl w:val="nil"/>
                  </w:tcBorders>
                  <w:noWrap w:val="0"/>
                  <w:vAlign w:val="center"/>
                </w:tcPr>
                <w:p w14:paraId="3C52183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8" w:type="pct"/>
                  <w:vMerge w:val="continue"/>
                  <w:tcBorders>
                    <w:tl2br w:val="nil"/>
                    <w:tr2bl w:val="nil"/>
                  </w:tcBorders>
                  <w:noWrap w:val="0"/>
                  <w:vAlign w:val="center"/>
                </w:tcPr>
                <w:p w14:paraId="79A81C8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4D20D0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1EA5900B">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578" w:type="pct"/>
                  <w:tcBorders>
                    <w:tl2br w:val="nil"/>
                    <w:tr2bl w:val="nil"/>
                  </w:tcBorders>
                  <w:noWrap w:val="0"/>
                  <w:vAlign w:val="center"/>
                </w:tcPr>
                <w:p w14:paraId="43183597">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含油废抹布手套</w:t>
                  </w:r>
                </w:p>
              </w:tc>
              <w:tc>
                <w:tcPr>
                  <w:tcW w:w="897" w:type="pct"/>
                  <w:tcBorders>
                    <w:tl2br w:val="nil"/>
                    <w:tr2bl w:val="nil"/>
                  </w:tcBorders>
                  <w:noWrap w:val="0"/>
                  <w:vAlign w:val="center"/>
                </w:tcPr>
                <w:p w14:paraId="6B26FD5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351" w:type="pct"/>
                  <w:tcBorders>
                    <w:tl2br w:val="nil"/>
                    <w:tr2bl w:val="nil"/>
                  </w:tcBorders>
                  <w:noWrap w:val="0"/>
                  <w:vAlign w:val="center"/>
                </w:tcPr>
                <w:p w14:paraId="1F69497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固态</w:t>
                  </w:r>
                </w:p>
              </w:tc>
              <w:tc>
                <w:tcPr>
                  <w:tcW w:w="852" w:type="pct"/>
                  <w:tcBorders>
                    <w:tl2br w:val="nil"/>
                    <w:tr2bl w:val="nil"/>
                  </w:tcBorders>
                  <w:noWrap w:val="0"/>
                  <w:vAlign w:val="center"/>
                </w:tcPr>
                <w:p w14:paraId="780A7FD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矿物油、纤维</w:t>
                  </w:r>
                </w:p>
              </w:tc>
              <w:tc>
                <w:tcPr>
                  <w:tcW w:w="592" w:type="pct"/>
                  <w:tcBorders>
                    <w:tl2br w:val="nil"/>
                    <w:tr2bl w:val="nil"/>
                  </w:tcBorders>
                  <w:noWrap w:val="0"/>
                  <w:vAlign w:val="center"/>
                </w:tcPr>
                <w:p w14:paraId="5ADD2065">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0.05</w:t>
                  </w:r>
                </w:p>
              </w:tc>
              <w:tc>
                <w:tcPr>
                  <w:tcW w:w="931" w:type="dxa"/>
                  <w:tcBorders>
                    <w:tl2br w:val="nil"/>
                    <w:tr2bl w:val="nil"/>
                  </w:tcBorders>
                  <w:noWrap w:val="0"/>
                  <w:vAlign w:val="center"/>
                </w:tcPr>
                <w:p w14:paraId="36BD7571">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bCs/>
                      <w:color w:val="auto"/>
                      <w:sz w:val="21"/>
                      <w:szCs w:val="21"/>
                      <w:lang w:val="en-US" w:eastAsia="zh-CN"/>
                    </w:rPr>
                  </w:pPr>
                  <w:r>
                    <w:rPr>
                      <w:rFonts w:hint="default" w:ascii="Times New Roman" w:hAnsi="Times New Roman" w:cs="Times New Roman"/>
                      <w:b/>
                      <w:bCs/>
                      <w:color w:val="auto"/>
                      <w:sz w:val="21"/>
                      <w:szCs w:val="21"/>
                    </w:rPr>
                    <w:t>√</w:t>
                  </w:r>
                </w:p>
              </w:tc>
              <w:tc>
                <w:tcPr>
                  <w:tcW w:w="695" w:type="dxa"/>
                  <w:tcBorders>
                    <w:tl2br w:val="nil"/>
                    <w:tr2bl w:val="nil"/>
                  </w:tcBorders>
                  <w:noWrap w:val="0"/>
                  <w:vAlign w:val="center"/>
                </w:tcPr>
                <w:p w14:paraId="03E1B44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8" w:type="pct"/>
                  <w:vMerge w:val="continue"/>
                  <w:tcBorders>
                    <w:tl2br w:val="nil"/>
                    <w:tr2bl w:val="nil"/>
                  </w:tcBorders>
                  <w:noWrap w:val="0"/>
                  <w:vAlign w:val="center"/>
                </w:tcPr>
                <w:p w14:paraId="6A304D5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57B15B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vAlign w:val="center"/>
                </w:tcPr>
                <w:p w14:paraId="3CB315BF">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w:t>
                  </w:r>
                </w:p>
              </w:tc>
              <w:tc>
                <w:tcPr>
                  <w:tcW w:w="578" w:type="pct"/>
                  <w:vAlign w:val="center"/>
                </w:tcPr>
                <w:p w14:paraId="0828884B">
                  <w:pPr>
                    <w:pStyle w:val="6"/>
                    <w:adjustRightInd w:val="0"/>
                    <w:snapToGrid w:val="0"/>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生活垃圾</w:t>
                  </w:r>
                </w:p>
              </w:tc>
              <w:tc>
                <w:tcPr>
                  <w:tcW w:w="897" w:type="pct"/>
                  <w:vAlign w:val="center"/>
                </w:tcPr>
                <w:p w14:paraId="35091A44">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日常办公</w:t>
                  </w:r>
                </w:p>
              </w:tc>
              <w:tc>
                <w:tcPr>
                  <w:tcW w:w="351" w:type="pct"/>
                  <w:vAlign w:val="center"/>
                </w:tcPr>
                <w:p w14:paraId="493CD7E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852" w:type="pct"/>
                  <w:vAlign w:val="center"/>
                </w:tcPr>
                <w:p w14:paraId="696B7676">
                  <w:pPr>
                    <w:widowControl/>
                    <w:jc w:val="center"/>
                    <w:rPr>
                      <w:rFonts w:hint="default" w:ascii="Times New Roman" w:hAnsi="Times New Roman" w:cs="Times New Roman"/>
                      <w:color w:val="auto"/>
                      <w:sz w:val="21"/>
                      <w:szCs w:val="21"/>
                    </w:rPr>
                  </w:pPr>
                  <w:r>
                    <w:rPr>
                      <w:rFonts w:hint="eastAsia" w:ascii="Times New Roman" w:hAnsi="Times New Roman" w:cs="Times New Roman"/>
                      <w:color w:val="auto"/>
                      <w:szCs w:val="21"/>
                      <w:lang w:val="en-US" w:eastAsia="zh-CN"/>
                    </w:rPr>
                    <w:t>纸张等</w:t>
                  </w:r>
                </w:p>
              </w:tc>
              <w:tc>
                <w:tcPr>
                  <w:tcW w:w="592" w:type="pct"/>
                  <w:vAlign w:val="center"/>
                </w:tcPr>
                <w:p w14:paraId="20958674">
                  <w:pPr>
                    <w:adjustRightInd w:val="0"/>
                    <w:snapToGrid w:val="0"/>
                    <w:jc w:val="center"/>
                    <w:rPr>
                      <w:rFonts w:hint="default" w:ascii="Times New Roman" w:hAnsi="Times New Roman"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4.5</w:t>
                  </w:r>
                </w:p>
              </w:tc>
              <w:tc>
                <w:tcPr>
                  <w:tcW w:w="536" w:type="pct"/>
                  <w:vAlign w:val="center"/>
                </w:tcPr>
                <w:p w14:paraId="1BE4C77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vAlign w:val="center"/>
                </w:tcPr>
                <w:p w14:paraId="18F288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8" w:type="pct"/>
                  <w:vMerge w:val="continue"/>
                  <w:vAlign w:val="center"/>
                </w:tcPr>
                <w:p w14:paraId="24ED4B5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bl>
          <w:p w14:paraId="4AE06485">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按照《建设项目危险废物环境影响评价指南》（环保部公告【2017】43号）要求，本项目营运期产生的固体废物的名称、类别、属性和数量等情况见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p>
          <w:p w14:paraId="145E2B04">
            <w:pPr>
              <w:pStyle w:val="58"/>
              <w:keepNext w:val="0"/>
              <w:keepLines w:val="0"/>
              <w:pageBreakBefore w:val="0"/>
              <w:widowControl w:val="0"/>
              <w:tabs>
                <w:tab w:val="left" w:pos="3240"/>
              </w:tabs>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19本项目</w:t>
            </w:r>
            <w:r>
              <w:rPr>
                <w:rFonts w:hint="default" w:ascii="Times New Roman" w:hAnsi="Times New Roman" w:eastAsia="宋体" w:cs="Times New Roman"/>
                <w:b/>
                <w:color w:val="auto"/>
                <w:sz w:val="21"/>
                <w:szCs w:val="21"/>
                <w:highlight w:val="none"/>
                <w:lang w:val="en-US" w:eastAsia="zh-CN"/>
              </w:rPr>
              <w:t>固废产生情况</w:t>
            </w:r>
          </w:p>
          <w:tbl>
            <w:tblPr>
              <w:tblStyle w:val="27"/>
              <w:tblW w:w="495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6"/>
              <w:gridCol w:w="981"/>
              <w:gridCol w:w="625"/>
              <w:gridCol w:w="855"/>
              <w:gridCol w:w="556"/>
              <w:gridCol w:w="923"/>
              <w:gridCol w:w="1137"/>
              <w:gridCol w:w="584"/>
              <w:gridCol w:w="718"/>
              <w:gridCol w:w="1211"/>
              <w:gridCol w:w="827"/>
            </w:tblGrid>
            <w:tr w14:paraId="213D6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9" w:hRule="atLeast"/>
                <w:jc w:val="center"/>
              </w:trPr>
              <w:tc>
                <w:tcPr>
                  <w:tcW w:w="197" w:type="pct"/>
                  <w:vAlign w:val="center"/>
                </w:tcPr>
                <w:p w14:paraId="5946F895">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559" w:type="pct"/>
                  <w:vAlign w:val="center"/>
                </w:tcPr>
                <w:p w14:paraId="6CC9D8CA">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固废名称</w:t>
                  </w:r>
                </w:p>
              </w:tc>
              <w:tc>
                <w:tcPr>
                  <w:tcW w:w="356" w:type="pct"/>
                  <w:tcBorders>
                    <w:bottom w:val="single" w:color="auto" w:sz="4" w:space="0"/>
                  </w:tcBorders>
                  <w:vAlign w:val="center"/>
                </w:tcPr>
                <w:p w14:paraId="1152BA37">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属性</w:t>
                  </w:r>
                </w:p>
              </w:tc>
              <w:tc>
                <w:tcPr>
                  <w:tcW w:w="487" w:type="pct"/>
                  <w:vAlign w:val="center"/>
                </w:tcPr>
                <w:p w14:paraId="3718033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产生来源</w:t>
                  </w:r>
                </w:p>
              </w:tc>
              <w:tc>
                <w:tcPr>
                  <w:tcW w:w="317" w:type="pct"/>
                  <w:vAlign w:val="center"/>
                </w:tcPr>
                <w:p w14:paraId="5AFE908A">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形态</w:t>
                  </w:r>
                </w:p>
              </w:tc>
              <w:tc>
                <w:tcPr>
                  <w:tcW w:w="526" w:type="pct"/>
                  <w:vAlign w:val="center"/>
                </w:tcPr>
                <w:p w14:paraId="0EE2E8C5">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主要成分</w:t>
                  </w:r>
                </w:p>
              </w:tc>
              <w:tc>
                <w:tcPr>
                  <w:tcW w:w="648" w:type="pct"/>
                  <w:vAlign w:val="center"/>
                </w:tcPr>
                <w:p w14:paraId="70CAD6A7">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危险特性鉴别方法</w:t>
                  </w:r>
                </w:p>
              </w:tc>
              <w:tc>
                <w:tcPr>
                  <w:tcW w:w="333" w:type="pct"/>
                  <w:vAlign w:val="center"/>
                </w:tcPr>
                <w:p w14:paraId="78D9E11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废物特性</w:t>
                  </w:r>
                </w:p>
              </w:tc>
              <w:tc>
                <w:tcPr>
                  <w:tcW w:w="409" w:type="pct"/>
                  <w:vAlign w:val="center"/>
                </w:tcPr>
                <w:p w14:paraId="7633F77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废物类别</w:t>
                  </w:r>
                </w:p>
              </w:tc>
              <w:tc>
                <w:tcPr>
                  <w:tcW w:w="690" w:type="pct"/>
                  <w:vAlign w:val="center"/>
                </w:tcPr>
                <w:p w14:paraId="32AFE8B0">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废物代码</w:t>
                  </w:r>
                </w:p>
              </w:tc>
              <w:tc>
                <w:tcPr>
                  <w:tcW w:w="471" w:type="pct"/>
                  <w:vAlign w:val="center"/>
                </w:tcPr>
                <w:p w14:paraId="469F249C">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估算产生量（t/a）</w:t>
                  </w:r>
                </w:p>
              </w:tc>
            </w:tr>
            <w:tr w14:paraId="721246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6DD12AE0">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1</w:t>
                  </w:r>
                </w:p>
              </w:tc>
              <w:tc>
                <w:tcPr>
                  <w:tcW w:w="559" w:type="pct"/>
                  <w:vAlign w:val="center"/>
                </w:tcPr>
                <w:p w14:paraId="0CD36B7F">
                  <w:pPr>
                    <w:pStyle w:val="6"/>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边角料</w:t>
                  </w:r>
                </w:p>
              </w:tc>
              <w:tc>
                <w:tcPr>
                  <w:tcW w:w="356" w:type="pct"/>
                  <w:vMerge w:val="restart"/>
                  <w:tcBorders>
                    <w:top w:val="single" w:color="auto" w:sz="4" w:space="0"/>
                  </w:tcBorders>
                  <w:vAlign w:val="center"/>
                </w:tcPr>
                <w:p w14:paraId="32B02AF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487" w:type="pct"/>
                  <w:vAlign w:val="center"/>
                </w:tcPr>
                <w:p w14:paraId="79B4A149">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sz w:val="21"/>
                      <w:szCs w:val="21"/>
                      <w:lang w:val="en-US" w:eastAsia="zh-CN"/>
                    </w:rPr>
                    <w:t>修边</w:t>
                  </w:r>
                </w:p>
              </w:tc>
              <w:tc>
                <w:tcPr>
                  <w:tcW w:w="317" w:type="pct"/>
                  <w:vAlign w:val="center"/>
                </w:tcPr>
                <w:p w14:paraId="52C79E37">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rPr>
                    <w:t>固态</w:t>
                  </w:r>
                </w:p>
              </w:tc>
              <w:tc>
                <w:tcPr>
                  <w:tcW w:w="526" w:type="pct"/>
                  <w:vAlign w:val="center"/>
                </w:tcPr>
                <w:p w14:paraId="59ABD085">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cs="Times New Roman"/>
                      <w:color w:val="auto"/>
                      <w:sz w:val="21"/>
                      <w:szCs w:val="21"/>
                      <w:lang w:val="en-US" w:eastAsia="zh-CN"/>
                    </w:rPr>
                    <w:t>塑料</w:t>
                  </w:r>
                </w:p>
              </w:tc>
              <w:tc>
                <w:tcPr>
                  <w:tcW w:w="648" w:type="pct"/>
                  <w:vMerge w:val="restart"/>
                  <w:vAlign w:val="center"/>
                </w:tcPr>
                <w:p w14:paraId="24D6229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一般固体废物分类与代码(GBT39198</w:t>
                  </w:r>
                </w:p>
                <w:p w14:paraId="6CF62A9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-2020)</w:t>
                  </w:r>
                </w:p>
              </w:tc>
              <w:tc>
                <w:tcPr>
                  <w:tcW w:w="333" w:type="pct"/>
                  <w:vAlign w:val="center"/>
                </w:tcPr>
                <w:p w14:paraId="5D4B0A91">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2FE59490">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SW17</w:t>
                  </w:r>
                </w:p>
              </w:tc>
              <w:tc>
                <w:tcPr>
                  <w:tcW w:w="690" w:type="pct"/>
                  <w:vAlign w:val="center"/>
                </w:tcPr>
                <w:p w14:paraId="345F7F40">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900-003-S17</w:t>
                  </w:r>
                </w:p>
              </w:tc>
              <w:tc>
                <w:tcPr>
                  <w:tcW w:w="471" w:type="pct"/>
                  <w:vAlign w:val="center"/>
                </w:tcPr>
                <w:p w14:paraId="1C97891B">
                  <w:pPr>
                    <w:adjustRightInd w:val="0"/>
                    <w:snapToGrid w:val="0"/>
                    <w:jc w:val="center"/>
                    <w:rPr>
                      <w:rFonts w:hint="default" w:ascii="Times New Roman" w:hAnsi="Times New Roman" w:cs="Times New Roman"/>
                      <w:color w:val="auto"/>
                      <w:sz w:val="21"/>
                      <w:szCs w:val="21"/>
                      <w:lang w:val="en-US" w:eastAsia="zh-CN"/>
                    </w:rPr>
                  </w:pPr>
                  <w:r>
                    <w:rPr>
                      <w:rFonts w:hint="eastAsia" w:cs="Times New Roman"/>
                      <w:b w:val="0"/>
                      <w:bCs/>
                      <w:color w:val="auto"/>
                      <w:kern w:val="2"/>
                      <w:sz w:val="21"/>
                      <w:szCs w:val="21"/>
                      <w:lang w:val="en-US" w:eastAsia="zh-CN" w:bidi="ar-SA"/>
                    </w:rPr>
                    <w:t>3.44</w:t>
                  </w:r>
                </w:p>
              </w:tc>
            </w:tr>
            <w:tr w14:paraId="760A15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563855D0">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2</w:t>
                  </w:r>
                </w:p>
              </w:tc>
              <w:tc>
                <w:tcPr>
                  <w:tcW w:w="559" w:type="pct"/>
                  <w:vAlign w:val="center"/>
                </w:tcPr>
                <w:p w14:paraId="64C4A0CA">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color w:val="auto"/>
                      <w:sz w:val="21"/>
                      <w:szCs w:val="21"/>
                      <w:lang w:val="en-US" w:eastAsia="zh-CN"/>
                    </w:rPr>
                    <w:t>次品</w:t>
                  </w:r>
                </w:p>
              </w:tc>
              <w:tc>
                <w:tcPr>
                  <w:tcW w:w="356" w:type="pct"/>
                  <w:vMerge w:val="continue"/>
                  <w:vAlign w:val="center"/>
                </w:tcPr>
                <w:p w14:paraId="3B63D032">
                  <w:pPr>
                    <w:adjustRightInd w:val="0"/>
                    <w:snapToGrid w:val="0"/>
                    <w:jc w:val="center"/>
                    <w:rPr>
                      <w:rFonts w:hint="default" w:ascii="Times New Roman" w:hAnsi="Times New Roman" w:cs="Times New Roman"/>
                      <w:color w:val="auto"/>
                      <w:szCs w:val="21"/>
                    </w:rPr>
                  </w:pPr>
                </w:p>
              </w:tc>
              <w:tc>
                <w:tcPr>
                  <w:tcW w:w="487" w:type="pct"/>
                  <w:vAlign w:val="center"/>
                </w:tcPr>
                <w:p w14:paraId="5AF81445">
                  <w:pPr>
                    <w:adjustRightInd w:val="0"/>
                    <w:snapToGrid w:val="0"/>
                    <w:jc w:val="center"/>
                    <w:rPr>
                      <w:rFonts w:hint="eastAsia" w:ascii="Times New Roman" w:hAnsi="Times New Roman" w:cs="Times New Roman"/>
                      <w:bCs/>
                      <w:color w:val="auto"/>
                      <w:szCs w:val="21"/>
                      <w:lang w:val="en-US" w:eastAsia="zh-CN"/>
                    </w:rPr>
                  </w:pPr>
                  <w:r>
                    <w:rPr>
                      <w:rFonts w:hint="eastAsia" w:ascii="Times New Roman" w:hAnsi="Times New Roman" w:eastAsia="宋体" w:cs="Times New Roman"/>
                      <w:color w:val="auto"/>
                      <w:sz w:val="21"/>
                      <w:szCs w:val="21"/>
                      <w:lang w:val="en-US" w:eastAsia="zh-CN"/>
                    </w:rPr>
                    <w:t>检验</w:t>
                  </w:r>
                </w:p>
              </w:tc>
              <w:tc>
                <w:tcPr>
                  <w:tcW w:w="317" w:type="pct"/>
                  <w:vAlign w:val="center"/>
                </w:tcPr>
                <w:p w14:paraId="1E1BCBC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固态</w:t>
                  </w:r>
                </w:p>
              </w:tc>
              <w:tc>
                <w:tcPr>
                  <w:tcW w:w="526" w:type="pct"/>
                  <w:vAlign w:val="center"/>
                </w:tcPr>
                <w:p w14:paraId="0F6BEF73">
                  <w:pPr>
                    <w:adjustRightInd w:val="0"/>
                    <w:snapToGrid w:val="0"/>
                    <w:jc w:val="center"/>
                    <w:rPr>
                      <w:rFonts w:hint="eastAsia" w:cs="Times New Roman"/>
                      <w:color w:val="auto"/>
                      <w:kern w:val="2"/>
                      <w:sz w:val="21"/>
                      <w:szCs w:val="20"/>
                      <w:lang w:val="en-US" w:eastAsia="zh-CN" w:bidi="ar-SA"/>
                    </w:rPr>
                  </w:pPr>
                  <w:r>
                    <w:rPr>
                      <w:rFonts w:hint="eastAsia" w:ascii="Times New Roman" w:hAnsi="Times New Roman" w:eastAsia="宋体" w:cs="Times New Roman"/>
                      <w:color w:val="auto"/>
                      <w:sz w:val="21"/>
                      <w:szCs w:val="21"/>
                      <w:lang w:val="en-US" w:eastAsia="zh-CN"/>
                    </w:rPr>
                    <w:t>塑料</w:t>
                  </w:r>
                </w:p>
              </w:tc>
              <w:tc>
                <w:tcPr>
                  <w:tcW w:w="648" w:type="pct"/>
                  <w:vMerge w:val="continue"/>
                  <w:vAlign w:val="center"/>
                </w:tcPr>
                <w:p w14:paraId="6BD78C5A">
                  <w:pPr>
                    <w:adjustRightInd w:val="0"/>
                    <w:snapToGrid w:val="0"/>
                    <w:jc w:val="center"/>
                    <w:rPr>
                      <w:rFonts w:hint="default" w:ascii="Times New Roman" w:hAnsi="Times New Roman" w:cs="Times New Roman"/>
                      <w:color w:val="auto"/>
                      <w:szCs w:val="21"/>
                    </w:rPr>
                  </w:pPr>
                </w:p>
              </w:tc>
              <w:tc>
                <w:tcPr>
                  <w:tcW w:w="333" w:type="pct"/>
                  <w:vAlign w:val="center"/>
                </w:tcPr>
                <w:p w14:paraId="59C2BDB4">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668BE9F3">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SW17</w:t>
                  </w:r>
                </w:p>
              </w:tc>
              <w:tc>
                <w:tcPr>
                  <w:tcW w:w="690" w:type="pct"/>
                  <w:vAlign w:val="center"/>
                </w:tcPr>
                <w:p w14:paraId="374C9642">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900-003-S17</w:t>
                  </w:r>
                </w:p>
              </w:tc>
              <w:tc>
                <w:tcPr>
                  <w:tcW w:w="471" w:type="pct"/>
                  <w:vAlign w:val="center"/>
                </w:tcPr>
                <w:p w14:paraId="153A5718">
                  <w:pPr>
                    <w:adjustRightInd w:val="0"/>
                    <w:snapToGrid w:val="0"/>
                    <w:jc w:val="center"/>
                    <w:rPr>
                      <w:rFonts w:hint="default" w:cs="Times New Roman"/>
                      <w:bCs/>
                      <w:color w:val="auto"/>
                      <w:kern w:val="2"/>
                      <w:sz w:val="21"/>
                      <w:szCs w:val="21"/>
                      <w:lang w:val="en-US" w:eastAsia="zh-CN" w:bidi="ar-SA"/>
                    </w:rPr>
                  </w:pPr>
                  <w:r>
                    <w:rPr>
                      <w:rFonts w:hint="eastAsia" w:cs="Times New Roman"/>
                      <w:b w:val="0"/>
                      <w:bCs/>
                      <w:color w:val="auto"/>
                      <w:kern w:val="2"/>
                      <w:sz w:val="21"/>
                      <w:szCs w:val="21"/>
                      <w:lang w:val="en-US" w:eastAsia="zh-CN" w:bidi="ar-SA"/>
                    </w:rPr>
                    <w:t>1.72</w:t>
                  </w:r>
                </w:p>
              </w:tc>
            </w:tr>
            <w:tr w14:paraId="589CA6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3209117D">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3</w:t>
                  </w:r>
                </w:p>
              </w:tc>
              <w:tc>
                <w:tcPr>
                  <w:tcW w:w="559" w:type="pct"/>
                  <w:vAlign w:val="center"/>
                </w:tcPr>
                <w:p w14:paraId="578E1B16">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356" w:type="pct"/>
                  <w:vMerge w:val="continue"/>
                  <w:vAlign w:val="center"/>
                </w:tcPr>
                <w:p w14:paraId="7E99B6D7">
                  <w:pPr>
                    <w:adjustRightInd w:val="0"/>
                    <w:snapToGrid w:val="0"/>
                    <w:jc w:val="center"/>
                    <w:rPr>
                      <w:rFonts w:hint="default" w:ascii="Times New Roman" w:hAnsi="Times New Roman" w:cs="Times New Roman"/>
                      <w:color w:val="auto"/>
                      <w:szCs w:val="21"/>
                    </w:rPr>
                  </w:pPr>
                </w:p>
              </w:tc>
              <w:tc>
                <w:tcPr>
                  <w:tcW w:w="487" w:type="pct"/>
                  <w:vAlign w:val="center"/>
                </w:tcPr>
                <w:p w14:paraId="0499031C">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塑料粒子包装</w:t>
                  </w:r>
                </w:p>
              </w:tc>
              <w:tc>
                <w:tcPr>
                  <w:tcW w:w="317" w:type="pct"/>
                  <w:vAlign w:val="center"/>
                </w:tcPr>
                <w:p w14:paraId="2B15472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固态</w:t>
                  </w:r>
                </w:p>
              </w:tc>
              <w:tc>
                <w:tcPr>
                  <w:tcW w:w="526" w:type="pct"/>
                  <w:vAlign w:val="center"/>
                </w:tcPr>
                <w:p w14:paraId="3EB5F1C9">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塑料</w:t>
                  </w:r>
                </w:p>
              </w:tc>
              <w:tc>
                <w:tcPr>
                  <w:tcW w:w="648" w:type="pct"/>
                  <w:vMerge w:val="continue"/>
                  <w:vAlign w:val="center"/>
                </w:tcPr>
                <w:p w14:paraId="4491DDA4">
                  <w:pPr>
                    <w:adjustRightInd w:val="0"/>
                    <w:snapToGrid w:val="0"/>
                    <w:jc w:val="center"/>
                    <w:rPr>
                      <w:rFonts w:hint="default" w:ascii="Times New Roman" w:hAnsi="Times New Roman" w:cs="Times New Roman"/>
                      <w:color w:val="auto"/>
                      <w:szCs w:val="21"/>
                    </w:rPr>
                  </w:pPr>
                </w:p>
              </w:tc>
              <w:tc>
                <w:tcPr>
                  <w:tcW w:w="584" w:type="dxa"/>
                  <w:vAlign w:val="center"/>
                </w:tcPr>
                <w:p w14:paraId="636188E6">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18" w:type="dxa"/>
                  <w:vAlign w:val="center"/>
                </w:tcPr>
                <w:p w14:paraId="7442EF48">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11" w:type="dxa"/>
                  <w:vAlign w:val="center"/>
                </w:tcPr>
                <w:p w14:paraId="43D71F69">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471" w:type="pct"/>
                  <w:vAlign w:val="center"/>
                </w:tcPr>
                <w:p w14:paraId="23871F79">
                  <w:pPr>
                    <w:adjustRightInd w:val="0"/>
                    <w:snapToGrid w:val="0"/>
                    <w:jc w:val="center"/>
                    <w:rPr>
                      <w:rFonts w:hint="eastAsia" w:cs="Times New Roman"/>
                      <w:bCs/>
                      <w:color w:val="auto"/>
                      <w:kern w:val="2"/>
                      <w:sz w:val="21"/>
                      <w:szCs w:val="21"/>
                      <w:lang w:val="en-US" w:eastAsia="zh-CN" w:bidi="ar-SA"/>
                    </w:rPr>
                  </w:pPr>
                  <w:r>
                    <w:rPr>
                      <w:rFonts w:hint="eastAsia" w:cs="Times New Roman"/>
                      <w:b w:val="0"/>
                      <w:bCs/>
                      <w:color w:val="auto"/>
                      <w:sz w:val="21"/>
                      <w:szCs w:val="21"/>
                      <w:lang w:val="en-US" w:eastAsia="zh-CN"/>
                    </w:rPr>
                    <w:t>0.688</w:t>
                  </w:r>
                </w:p>
              </w:tc>
            </w:tr>
            <w:tr w14:paraId="311AE9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61E9B521">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 w:val="21"/>
                      <w:szCs w:val="21"/>
                      <w:lang w:val="en-US" w:eastAsia="zh-CN"/>
                    </w:rPr>
                    <w:t>4</w:t>
                  </w:r>
                </w:p>
              </w:tc>
              <w:tc>
                <w:tcPr>
                  <w:tcW w:w="559" w:type="pct"/>
                  <w:vAlign w:val="center"/>
                </w:tcPr>
                <w:p w14:paraId="16CFB824">
                  <w:pPr>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废活性炭</w:t>
                  </w:r>
                </w:p>
              </w:tc>
              <w:tc>
                <w:tcPr>
                  <w:tcW w:w="356" w:type="pct"/>
                  <w:vMerge w:val="restart"/>
                  <w:vAlign w:val="center"/>
                </w:tcPr>
                <w:p w14:paraId="642ABBD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危险固废</w:t>
                  </w:r>
                </w:p>
              </w:tc>
              <w:tc>
                <w:tcPr>
                  <w:tcW w:w="487" w:type="pct"/>
                  <w:vAlign w:val="center"/>
                </w:tcPr>
                <w:p w14:paraId="076BEFFC">
                  <w:pPr>
                    <w:pStyle w:val="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废气处理</w:t>
                  </w:r>
                </w:p>
              </w:tc>
              <w:tc>
                <w:tcPr>
                  <w:tcW w:w="317" w:type="pct"/>
                  <w:vAlign w:val="center"/>
                </w:tcPr>
                <w:p w14:paraId="540FAE4D">
                  <w:pPr>
                    <w:pStyle w:val="6"/>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固态</w:t>
                  </w:r>
                </w:p>
              </w:tc>
              <w:tc>
                <w:tcPr>
                  <w:tcW w:w="526" w:type="pct"/>
                  <w:vAlign w:val="center"/>
                </w:tcPr>
                <w:p w14:paraId="2750D8BE">
                  <w:pPr>
                    <w:pStyle w:val="6"/>
                    <w:adjustRightInd w:val="0"/>
                    <w:snapToGrid w:val="0"/>
                    <w:ind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废活性炭</w:t>
                  </w:r>
                </w:p>
              </w:tc>
              <w:tc>
                <w:tcPr>
                  <w:tcW w:w="648" w:type="pct"/>
                  <w:vMerge w:val="restart"/>
                  <w:vAlign w:val="center"/>
                </w:tcPr>
                <w:p w14:paraId="2CD15EC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《国家危险废物名录》（2021年）</w:t>
                  </w:r>
                </w:p>
              </w:tc>
              <w:tc>
                <w:tcPr>
                  <w:tcW w:w="333" w:type="pct"/>
                  <w:vAlign w:val="center"/>
                </w:tcPr>
                <w:p w14:paraId="456B2BD1">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p>
              </w:tc>
              <w:tc>
                <w:tcPr>
                  <w:tcW w:w="409" w:type="pct"/>
                  <w:vAlign w:val="center"/>
                </w:tcPr>
                <w:p w14:paraId="12A47731">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HW49</w:t>
                  </w:r>
                </w:p>
              </w:tc>
              <w:tc>
                <w:tcPr>
                  <w:tcW w:w="690" w:type="pct"/>
                  <w:vAlign w:val="center"/>
                </w:tcPr>
                <w:p w14:paraId="1C30C545">
                  <w:pPr>
                    <w:snapToGrid w:val="0"/>
                    <w:jc w:val="center"/>
                    <w:rPr>
                      <w:bCs/>
                      <w:color w:val="auto"/>
                      <w:sz w:val="21"/>
                      <w:szCs w:val="21"/>
                    </w:rPr>
                  </w:pPr>
                  <w:r>
                    <w:rPr>
                      <w:rFonts w:hint="default" w:ascii="Times New Roman" w:hAnsi="Times New Roman" w:cs="Times New Roman"/>
                      <w:color w:val="auto"/>
                      <w:sz w:val="21"/>
                      <w:szCs w:val="21"/>
                    </w:rPr>
                    <w:t>900-039-49</w:t>
                  </w:r>
                </w:p>
              </w:tc>
              <w:tc>
                <w:tcPr>
                  <w:tcW w:w="471" w:type="pct"/>
                  <w:vAlign w:val="center"/>
                </w:tcPr>
                <w:p w14:paraId="462118A9">
                  <w:pPr>
                    <w:adjustRightInd w:val="0"/>
                    <w:snapToGrid w:val="0"/>
                    <w:jc w:val="center"/>
                    <w:rPr>
                      <w:rFonts w:hint="default" w:cs="Times New Roman"/>
                      <w:color w:val="auto"/>
                      <w:kern w:val="2"/>
                      <w:sz w:val="21"/>
                      <w:szCs w:val="21"/>
                      <w:lang w:val="en-US" w:eastAsia="zh-CN" w:bidi="ar-SA"/>
                    </w:rPr>
                  </w:pPr>
                  <w:r>
                    <w:rPr>
                      <w:rFonts w:hint="eastAsia" w:cs="Times New Roman"/>
                      <w:b w:val="0"/>
                      <w:bCs/>
                      <w:color w:val="auto"/>
                      <w:sz w:val="21"/>
                      <w:szCs w:val="21"/>
                      <w:lang w:val="en-US" w:eastAsia="zh-CN"/>
                    </w:rPr>
                    <w:t>2.656</w:t>
                  </w:r>
                </w:p>
              </w:tc>
            </w:tr>
            <w:tr w14:paraId="3AE2C1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6C656F47">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5</w:t>
                  </w:r>
                </w:p>
              </w:tc>
              <w:tc>
                <w:tcPr>
                  <w:tcW w:w="559" w:type="pct"/>
                  <w:vAlign w:val="center"/>
                </w:tcPr>
                <w:p w14:paraId="4626D92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废液压油</w:t>
                  </w:r>
                </w:p>
              </w:tc>
              <w:tc>
                <w:tcPr>
                  <w:tcW w:w="356" w:type="pct"/>
                  <w:vMerge w:val="continue"/>
                  <w:vAlign w:val="center"/>
                </w:tcPr>
                <w:p w14:paraId="71FEF8C7">
                  <w:pPr>
                    <w:adjustRightInd w:val="0"/>
                    <w:snapToGrid w:val="0"/>
                    <w:jc w:val="center"/>
                    <w:rPr>
                      <w:rFonts w:hint="default" w:ascii="Times New Roman" w:hAnsi="Times New Roman" w:cs="Times New Roman"/>
                      <w:color w:val="auto"/>
                      <w:szCs w:val="21"/>
                    </w:rPr>
                  </w:pPr>
                </w:p>
              </w:tc>
              <w:tc>
                <w:tcPr>
                  <w:tcW w:w="487" w:type="pct"/>
                  <w:vAlign w:val="center"/>
                </w:tcPr>
                <w:p w14:paraId="27CF1E95">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sz w:val="21"/>
                      <w:szCs w:val="21"/>
                      <w:lang w:val="en-US" w:eastAsia="zh-CN"/>
                    </w:rPr>
                    <w:t>设备保养</w:t>
                  </w:r>
                </w:p>
              </w:tc>
              <w:tc>
                <w:tcPr>
                  <w:tcW w:w="317" w:type="pct"/>
                  <w:vAlign w:val="center"/>
                </w:tcPr>
                <w:p w14:paraId="1A90A262">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sz w:val="21"/>
                      <w:szCs w:val="21"/>
                      <w:lang w:val="en-US" w:eastAsia="zh-CN"/>
                    </w:rPr>
                    <w:t>液态</w:t>
                  </w:r>
                </w:p>
              </w:tc>
              <w:tc>
                <w:tcPr>
                  <w:tcW w:w="526" w:type="pct"/>
                  <w:vAlign w:val="center"/>
                </w:tcPr>
                <w:p w14:paraId="1916043B">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sz w:val="21"/>
                      <w:szCs w:val="21"/>
                      <w:lang w:val="en-US" w:eastAsia="zh-CN"/>
                    </w:rPr>
                    <w:t>矿物油</w:t>
                  </w:r>
                </w:p>
              </w:tc>
              <w:tc>
                <w:tcPr>
                  <w:tcW w:w="648" w:type="pct"/>
                  <w:vMerge w:val="continue"/>
                  <w:vAlign w:val="center"/>
                </w:tcPr>
                <w:p w14:paraId="2FFC64D8">
                  <w:pPr>
                    <w:adjustRightInd w:val="0"/>
                    <w:snapToGrid w:val="0"/>
                    <w:jc w:val="center"/>
                    <w:rPr>
                      <w:rFonts w:hint="default" w:ascii="Times New Roman" w:hAnsi="Times New Roman" w:cs="Times New Roman"/>
                      <w:color w:val="auto"/>
                      <w:szCs w:val="21"/>
                    </w:rPr>
                  </w:pPr>
                </w:p>
              </w:tc>
              <w:tc>
                <w:tcPr>
                  <w:tcW w:w="333" w:type="pct"/>
                  <w:vAlign w:val="center"/>
                </w:tcPr>
                <w:p w14:paraId="004319B6">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I</w:t>
                  </w:r>
                </w:p>
              </w:tc>
              <w:tc>
                <w:tcPr>
                  <w:tcW w:w="409" w:type="pct"/>
                  <w:vAlign w:val="center"/>
                </w:tcPr>
                <w:p w14:paraId="4CED54CC">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690" w:type="pct"/>
                  <w:vAlign w:val="center"/>
                </w:tcPr>
                <w:p w14:paraId="394E828D">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900-218-08</w:t>
                  </w:r>
                </w:p>
              </w:tc>
              <w:tc>
                <w:tcPr>
                  <w:tcW w:w="471" w:type="pct"/>
                  <w:vAlign w:val="center"/>
                </w:tcPr>
                <w:p w14:paraId="2A2BFB8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eastAsia" w:cs="Times New Roman"/>
                      <w:b w:val="0"/>
                      <w:bCs/>
                      <w:color w:val="auto"/>
                      <w:sz w:val="21"/>
                      <w:szCs w:val="21"/>
                      <w:lang w:val="en-US" w:eastAsia="zh-CN"/>
                    </w:rPr>
                    <w:t>0.72</w:t>
                  </w:r>
                </w:p>
              </w:tc>
            </w:tr>
            <w:tr w14:paraId="42EDB5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1111FD50">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6</w:t>
                  </w:r>
                </w:p>
              </w:tc>
              <w:tc>
                <w:tcPr>
                  <w:tcW w:w="559" w:type="pct"/>
                  <w:vAlign w:val="center"/>
                </w:tcPr>
                <w:p w14:paraId="05ABDB7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废</w:t>
                  </w:r>
                  <w:r>
                    <w:rPr>
                      <w:rFonts w:hint="eastAsia" w:ascii="Times New Roman" w:hAnsi="Times New Roman" w:eastAsia="宋体" w:cs="Times New Roman"/>
                      <w:color w:val="auto"/>
                      <w:sz w:val="21"/>
                      <w:szCs w:val="21"/>
                      <w:lang w:val="en-US" w:eastAsia="zh-CN"/>
                    </w:rPr>
                    <w:t>油</w:t>
                  </w:r>
                  <w:r>
                    <w:rPr>
                      <w:rFonts w:hint="default" w:ascii="Times New Roman" w:hAnsi="Times New Roman" w:eastAsia="宋体" w:cs="Times New Roman"/>
                      <w:color w:val="auto"/>
                      <w:sz w:val="21"/>
                      <w:szCs w:val="21"/>
                      <w:lang w:val="en-US" w:eastAsia="zh-CN"/>
                    </w:rPr>
                    <w:t>桶</w:t>
                  </w:r>
                </w:p>
              </w:tc>
              <w:tc>
                <w:tcPr>
                  <w:tcW w:w="356" w:type="pct"/>
                  <w:vMerge w:val="continue"/>
                  <w:vAlign w:val="center"/>
                </w:tcPr>
                <w:p w14:paraId="29DBE32B">
                  <w:pPr>
                    <w:adjustRightInd w:val="0"/>
                    <w:snapToGrid w:val="0"/>
                    <w:jc w:val="center"/>
                    <w:rPr>
                      <w:rFonts w:hint="default" w:ascii="Times New Roman" w:hAnsi="Times New Roman" w:cs="Times New Roman"/>
                      <w:color w:val="auto"/>
                      <w:szCs w:val="21"/>
                    </w:rPr>
                  </w:pPr>
                </w:p>
              </w:tc>
              <w:tc>
                <w:tcPr>
                  <w:tcW w:w="487" w:type="pct"/>
                  <w:vAlign w:val="center"/>
                </w:tcPr>
                <w:p w14:paraId="50312B9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油品包装</w:t>
                  </w:r>
                </w:p>
              </w:tc>
              <w:tc>
                <w:tcPr>
                  <w:tcW w:w="317" w:type="pct"/>
                  <w:vAlign w:val="center"/>
                </w:tcPr>
                <w:p w14:paraId="448E4D4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526" w:type="pct"/>
                  <w:vAlign w:val="center"/>
                </w:tcPr>
                <w:p w14:paraId="0C7DE5A2">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矿物油、铁</w:t>
                  </w:r>
                </w:p>
              </w:tc>
              <w:tc>
                <w:tcPr>
                  <w:tcW w:w="648" w:type="pct"/>
                  <w:vMerge w:val="continue"/>
                  <w:vAlign w:val="center"/>
                </w:tcPr>
                <w:p w14:paraId="794578E3">
                  <w:pPr>
                    <w:adjustRightInd w:val="0"/>
                    <w:snapToGrid w:val="0"/>
                    <w:jc w:val="center"/>
                    <w:rPr>
                      <w:rFonts w:hint="default" w:ascii="Times New Roman" w:hAnsi="Times New Roman" w:cs="Times New Roman"/>
                      <w:color w:val="auto"/>
                      <w:szCs w:val="21"/>
                    </w:rPr>
                  </w:pPr>
                </w:p>
              </w:tc>
              <w:tc>
                <w:tcPr>
                  <w:tcW w:w="333" w:type="pct"/>
                  <w:vAlign w:val="center"/>
                </w:tcPr>
                <w:p w14:paraId="2DDE41FD">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I</w:t>
                  </w:r>
                </w:p>
              </w:tc>
              <w:tc>
                <w:tcPr>
                  <w:tcW w:w="409" w:type="pct"/>
                  <w:vAlign w:val="center"/>
                </w:tcPr>
                <w:p w14:paraId="4E74CBA7">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690" w:type="pct"/>
                  <w:vAlign w:val="center"/>
                </w:tcPr>
                <w:p w14:paraId="2D8FBF9E">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900-249-08</w:t>
                  </w:r>
                </w:p>
              </w:tc>
              <w:tc>
                <w:tcPr>
                  <w:tcW w:w="471" w:type="pct"/>
                  <w:vAlign w:val="center"/>
                </w:tcPr>
                <w:p w14:paraId="287E78B7">
                  <w:pPr>
                    <w:keepNext w:val="0"/>
                    <w:keepLines w:val="0"/>
                    <w:suppressLineNumbers w:val="0"/>
                    <w:adjustRightInd w:val="0"/>
                    <w:snapToGrid w:val="0"/>
                    <w:spacing w:before="0" w:beforeAutospacing="0" w:after="0" w:afterAutospacing="0"/>
                    <w:ind w:left="0" w:leftChars="0" w:right="0" w:rightChars="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0.05</w:t>
                  </w:r>
                </w:p>
              </w:tc>
            </w:tr>
            <w:tr w14:paraId="59D8CB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4CBBE1E9">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w:t>
                  </w:r>
                </w:p>
              </w:tc>
              <w:tc>
                <w:tcPr>
                  <w:tcW w:w="559" w:type="pct"/>
                  <w:vAlign w:val="center"/>
                </w:tcPr>
                <w:p w14:paraId="578878EF">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 w:val="21"/>
                      <w:szCs w:val="21"/>
                      <w:lang w:val="en-US" w:eastAsia="zh-CN"/>
                    </w:rPr>
                    <w:t>含油废抹布手套</w:t>
                  </w:r>
                </w:p>
              </w:tc>
              <w:tc>
                <w:tcPr>
                  <w:tcW w:w="356" w:type="pct"/>
                  <w:vMerge w:val="continue"/>
                  <w:vAlign w:val="center"/>
                </w:tcPr>
                <w:p w14:paraId="11947F90">
                  <w:pPr>
                    <w:adjustRightInd w:val="0"/>
                    <w:snapToGrid w:val="0"/>
                    <w:jc w:val="center"/>
                    <w:rPr>
                      <w:rFonts w:hint="default" w:ascii="Times New Roman" w:hAnsi="Times New Roman" w:cs="Times New Roman"/>
                      <w:color w:val="auto"/>
                      <w:szCs w:val="21"/>
                    </w:rPr>
                  </w:pPr>
                </w:p>
              </w:tc>
              <w:tc>
                <w:tcPr>
                  <w:tcW w:w="487" w:type="pct"/>
                  <w:vAlign w:val="center"/>
                </w:tcPr>
                <w:p w14:paraId="6776F25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317" w:type="pct"/>
                  <w:vAlign w:val="center"/>
                </w:tcPr>
                <w:p w14:paraId="0428760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526" w:type="pct"/>
                  <w:vAlign w:val="center"/>
                </w:tcPr>
                <w:p w14:paraId="230F0766">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矿物油、纤维</w:t>
                  </w:r>
                </w:p>
              </w:tc>
              <w:tc>
                <w:tcPr>
                  <w:tcW w:w="648" w:type="pct"/>
                  <w:vMerge w:val="continue"/>
                  <w:vAlign w:val="center"/>
                </w:tcPr>
                <w:p w14:paraId="4AED055A">
                  <w:pPr>
                    <w:adjustRightInd w:val="0"/>
                    <w:snapToGrid w:val="0"/>
                    <w:jc w:val="center"/>
                    <w:rPr>
                      <w:rFonts w:hint="default" w:ascii="Times New Roman" w:hAnsi="Times New Roman" w:cs="Times New Roman"/>
                      <w:color w:val="auto"/>
                      <w:szCs w:val="21"/>
                    </w:rPr>
                  </w:pPr>
                </w:p>
              </w:tc>
              <w:tc>
                <w:tcPr>
                  <w:tcW w:w="333" w:type="pct"/>
                  <w:vAlign w:val="center"/>
                </w:tcPr>
                <w:p w14:paraId="2B4AA06F">
                  <w:pPr>
                    <w:snapToGrid w:val="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val="en-US" w:eastAsia="zh-CN"/>
                    </w:rPr>
                    <w:t>In</w:t>
                  </w:r>
                </w:p>
              </w:tc>
              <w:tc>
                <w:tcPr>
                  <w:tcW w:w="409" w:type="pct"/>
                  <w:vAlign w:val="center"/>
                </w:tcPr>
                <w:p w14:paraId="2CDBC115">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HW49</w:t>
                  </w:r>
                </w:p>
              </w:tc>
              <w:tc>
                <w:tcPr>
                  <w:tcW w:w="690" w:type="pct"/>
                  <w:vAlign w:val="center"/>
                </w:tcPr>
                <w:p w14:paraId="04DF1FD6">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w:t>
                  </w:r>
                  <w:r>
                    <w:rPr>
                      <w:rFonts w:hint="eastAsia" w:ascii="Times New Roman" w:hAnsi="Times New Roman" w:cs="Times New Roman"/>
                      <w:color w:val="auto"/>
                      <w:sz w:val="21"/>
                      <w:szCs w:val="21"/>
                      <w:lang w:val="en-US" w:eastAsia="zh-CN"/>
                    </w:rPr>
                    <w:t>41</w:t>
                  </w:r>
                  <w:r>
                    <w:rPr>
                      <w:rFonts w:hint="default" w:ascii="Times New Roman" w:hAnsi="Times New Roman" w:cs="Times New Roman"/>
                      <w:color w:val="auto"/>
                      <w:sz w:val="21"/>
                      <w:szCs w:val="21"/>
                    </w:rPr>
                    <w:t>-49</w:t>
                  </w:r>
                </w:p>
              </w:tc>
              <w:tc>
                <w:tcPr>
                  <w:tcW w:w="471" w:type="pct"/>
                  <w:vAlign w:val="center"/>
                </w:tcPr>
                <w:p w14:paraId="1821E0B6">
                  <w:pPr>
                    <w:adjustRightInd w:val="0"/>
                    <w:snapToGrid w:val="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0.05</w:t>
                  </w:r>
                </w:p>
              </w:tc>
            </w:tr>
            <w:tr w14:paraId="6250C8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7F81BFF0">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w:t>
                  </w:r>
                </w:p>
              </w:tc>
              <w:tc>
                <w:tcPr>
                  <w:tcW w:w="559" w:type="pct"/>
                  <w:vAlign w:val="center"/>
                </w:tcPr>
                <w:p w14:paraId="1DABB9BA">
                  <w:pPr>
                    <w:pStyle w:val="6"/>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snapToGrid w:val="0"/>
                      <w:color w:val="auto"/>
                      <w:kern w:val="21"/>
                      <w:szCs w:val="21"/>
                    </w:rPr>
                    <w:t>生活垃圾</w:t>
                  </w:r>
                </w:p>
              </w:tc>
              <w:tc>
                <w:tcPr>
                  <w:tcW w:w="356" w:type="pct"/>
                  <w:vAlign w:val="center"/>
                </w:tcPr>
                <w:p w14:paraId="2A87FF39">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487" w:type="pct"/>
                  <w:vAlign w:val="center"/>
                </w:tcPr>
                <w:p w14:paraId="40E23543">
                  <w:pPr>
                    <w:widowControl/>
                    <w:jc w:val="center"/>
                    <w:rPr>
                      <w:rFonts w:hint="default" w:ascii="Times New Roman" w:hAnsi="Times New Roman" w:cs="Times New Roman"/>
                      <w:color w:val="auto"/>
                      <w:szCs w:val="21"/>
                    </w:rPr>
                  </w:pPr>
                  <w:r>
                    <w:rPr>
                      <w:rFonts w:hint="default" w:ascii="Times New Roman" w:hAnsi="Times New Roman" w:eastAsia="宋体" w:cs="Times New Roman"/>
                      <w:color w:val="auto"/>
                      <w:kern w:val="0"/>
                    </w:rPr>
                    <w:t>日常办公</w:t>
                  </w:r>
                </w:p>
              </w:tc>
              <w:tc>
                <w:tcPr>
                  <w:tcW w:w="317" w:type="pct"/>
                  <w:vAlign w:val="center"/>
                </w:tcPr>
                <w:p w14:paraId="5E8CF2D1">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rPr>
                    <w:t>固态</w:t>
                  </w:r>
                </w:p>
              </w:tc>
              <w:tc>
                <w:tcPr>
                  <w:tcW w:w="526" w:type="pct"/>
                  <w:vAlign w:val="center"/>
                </w:tcPr>
                <w:p w14:paraId="0B7263AC">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纸张等</w:t>
                  </w:r>
                </w:p>
              </w:tc>
              <w:tc>
                <w:tcPr>
                  <w:tcW w:w="648" w:type="pct"/>
                  <w:vAlign w:val="center"/>
                </w:tcPr>
                <w:p w14:paraId="2F84A946">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333" w:type="pct"/>
                  <w:vAlign w:val="center"/>
                </w:tcPr>
                <w:p w14:paraId="0E2E6D99">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048EB245">
                  <w:pPr>
                    <w:snapToGrid w:val="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SW64</w:t>
                  </w:r>
                </w:p>
              </w:tc>
              <w:tc>
                <w:tcPr>
                  <w:tcW w:w="690" w:type="pct"/>
                  <w:vAlign w:val="center"/>
                </w:tcPr>
                <w:p w14:paraId="05A0F2C0">
                  <w:pPr>
                    <w:snapToGrid w:val="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900-099-S64</w:t>
                  </w:r>
                </w:p>
              </w:tc>
              <w:tc>
                <w:tcPr>
                  <w:tcW w:w="471" w:type="pct"/>
                  <w:vAlign w:val="center"/>
                </w:tcPr>
                <w:p w14:paraId="30924EE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kern w:val="2"/>
                      <w:sz w:val="21"/>
                      <w:szCs w:val="21"/>
                      <w:lang w:val="en-US" w:eastAsia="zh-CN" w:bidi="ar-SA"/>
                    </w:rPr>
                    <w:t>4.5</w:t>
                  </w:r>
                </w:p>
              </w:tc>
            </w:tr>
          </w:tbl>
          <w:p w14:paraId="2EDF3D33">
            <w:pPr>
              <w:adjustRightInd w:val="0"/>
              <w:snapToGrid w:val="0"/>
              <w:spacing w:line="500" w:lineRule="exact"/>
              <w:ind w:left="482"/>
              <w:rPr>
                <w:rFonts w:hint="default" w:ascii="Times New Roman" w:hAnsi="Times New Roman" w:cs="Times New Roman"/>
                <w:b/>
                <w:bCs/>
                <w:color w:val="auto"/>
                <w:sz w:val="24"/>
              </w:rPr>
            </w:pPr>
            <w:r>
              <w:rPr>
                <w:rFonts w:hint="eastAsia" w:cs="Times New Roman"/>
                <w:b/>
                <w:bCs/>
                <w:color w:val="auto"/>
                <w:sz w:val="24"/>
                <w:lang w:val="en-US" w:eastAsia="zh-CN"/>
              </w:rPr>
              <w:t>2、</w:t>
            </w:r>
            <w:r>
              <w:rPr>
                <w:rFonts w:hint="default" w:ascii="Times New Roman" w:hAnsi="Times New Roman" w:cs="Times New Roman"/>
                <w:b/>
                <w:bCs/>
                <w:color w:val="auto"/>
                <w:sz w:val="24"/>
                <w:lang w:val="en-US" w:eastAsia="zh-CN"/>
              </w:rPr>
              <w:t>处置</w:t>
            </w:r>
            <w:r>
              <w:rPr>
                <w:rFonts w:hint="default" w:ascii="Times New Roman" w:hAnsi="Times New Roman" w:cs="Times New Roman"/>
                <w:b/>
                <w:bCs/>
                <w:color w:val="auto"/>
                <w:sz w:val="24"/>
              </w:rPr>
              <w:t>措施</w:t>
            </w:r>
          </w:p>
          <w:p w14:paraId="07B4F29E">
            <w:pPr>
              <w:adjustRightInd w:val="0"/>
              <w:snapToGrid w:val="0"/>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本项目固体废物主要分为</w:t>
            </w:r>
            <w:r>
              <w:rPr>
                <w:rFonts w:hint="default" w:ascii="Times New Roman" w:hAnsi="Times New Roman" w:eastAsia="宋体" w:cs="Times New Roman"/>
                <w:color w:val="auto"/>
                <w:sz w:val="24"/>
                <w:szCs w:val="24"/>
              </w:rPr>
              <w:t>一般废物、危险废物和生活垃圾。</w:t>
            </w:r>
          </w:p>
          <w:p w14:paraId="052D309A">
            <w:pPr>
              <w:adjustRightInd w:val="0"/>
              <w:snapToGrid w:val="0"/>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边角料、</w:t>
            </w:r>
            <w:r>
              <w:rPr>
                <w:rFonts w:hint="eastAsia" w:cs="Times New Roman"/>
                <w:color w:val="auto"/>
                <w:sz w:val="24"/>
                <w:szCs w:val="24"/>
                <w:lang w:val="en-US" w:eastAsia="zh-CN"/>
              </w:rPr>
              <w:t>次</w:t>
            </w:r>
            <w:r>
              <w:rPr>
                <w:rFonts w:hint="eastAsia" w:ascii="Times New Roman" w:hAnsi="Times New Roman" w:eastAsia="宋体" w:cs="Times New Roman"/>
                <w:color w:val="auto"/>
                <w:sz w:val="24"/>
                <w:szCs w:val="24"/>
                <w:lang w:val="en-US" w:eastAsia="zh-CN"/>
              </w:rPr>
              <w:t>品、废包装袋</w:t>
            </w:r>
            <w:r>
              <w:rPr>
                <w:rFonts w:hint="default" w:ascii="Times New Roman" w:hAnsi="Times New Roman" w:eastAsia="宋体" w:cs="Times New Roman"/>
                <w:color w:val="auto"/>
                <w:sz w:val="24"/>
                <w:szCs w:val="24"/>
                <w:lang w:val="en-US" w:eastAsia="zh-CN"/>
              </w:rPr>
              <w:t>外售综合利用；</w:t>
            </w:r>
            <w:r>
              <w:rPr>
                <w:rFonts w:hint="eastAsia" w:ascii="Times New Roman" w:hAnsi="Times New Roman" w:eastAsia="宋体" w:cs="Times New Roman"/>
                <w:color w:val="auto"/>
                <w:sz w:val="24"/>
                <w:szCs w:val="24"/>
                <w:lang w:val="en-US" w:eastAsia="zh-CN"/>
              </w:rPr>
              <w:t>废液压油、</w:t>
            </w:r>
            <w:r>
              <w:rPr>
                <w:rFonts w:hint="default" w:ascii="Times New Roman" w:hAnsi="Times New Roman" w:eastAsia="宋体" w:cs="Times New Roman"/>
                <w:color w:val="auto"/>
                <w:sz w:val="24"/>
                <w:szCs w:val="24"/>
                <w:lang w:val="en-US" w:eastAsia="zh-CN"/>
              </w:rPr>
              <w:t>废活性炭</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废</w:t>
            </w:r>
            <w:r>
              <w:rPr>
                <w:rFonts w:hint="eastAsia" w:ascii="Times New Roman" w:hAnsi="Times New Roman" w:eastAsia="宋体" w:cs="Times New Roman"/>
                <w:color w:val="auto"/>
                <w:sz w:val="24"/>
                <w:szCs w:val="24"/>
                <w:lang w:val="en-US" w:eastAsia="zh-CN"/>
              </w:rPr>
              <w:t>油</w:t>
            </w:r>
            <w:r>
              <w:rPr>
                <w:rFonts w:hint="default" w:ascii="Times New Roman" w:hAnsi="Times New Roman" w:eastAsia="宋体" w:cs="Times New Roman"/>
                <w:color w:val="auto"/>
                <w:sz w:val="24"/>
                <w:szCs w:val="24"/>
                <w:lang w:val="en-US" w:eastAsia="zh-CN"/>
              </w:rPr>
              <w:t>桶</w:t>
            </w:r>
            <w:r>
              <w:rPr>
                <w:rFonts w:hint="eastAsia" w:ascii="Times New Roman" w:hAnsi="Times New Roman" w:eastAsia="宋体" w:cs="Times New Roman"/>
                <w:color w:val="auto"/>
                <w:sz w:val="24"/>
                <w:szCs w:val="24"/>
                <w:lang w:val="en-US" w:eastAsia="zh-CN"/>
              </w:rPr>
              <w:t>、含油废抹布手套</w:t>
            </w:r>
            <w:r>
              <w:rPr>
                <w:rFonts w:hint="default" w:ascii="Times New Roman" w:hAnsi="Times New Roman" w:eastAsia="宋体" w:cs="Times New Roman"/>
                <w:color w:val="auto"/>
                <w:sz w:val="24"/>
                <w:szCs w:val="24"/>
                <w:lang w:val="en-US" w:eastAsia="zh-CN"/>
              </w:rPr>
              <w:t>委托有资质单位处理；</w:t>
            </w:r>
            <w:r>
              <w:rPr>
                <w:rFonts w:hint="eastAsia" w:ascii="Times New Roman" w:hAnsi="Times New Roman" w:eastAsia="宋体" w:cs="Times New Roman"/>
                <w:color w:val="auto"/>
                <w:sz w:val="24"/>
                <w:szCs w:val="24"/>
                <w:lang w:val="en-US" w:eastAsia="zh-CN"/>
              </w:rPr>
              <w:t>生活垃圾</w:t>
            </w:r>
            <w:r>
              <w:rPr>
                <w:rFonts w:hint="default" w:ascii="Times New Roman" w:hAnsi="Times New Roman" w:eastAsia="宋体" w:cs="Times New Roman"/>
                <w:color w:val="auto"/>
                <w:sz w:val="24"/>
                <w:szCs w:val="24"/>
                <w:lang w:val="en-US" w:eastAsia="zh-CN"/>
              </w:rPr>
              <w:t>委托环卫清运。</w:t>
            </w:r>
          </w:p>
          <w:p w14:paraId="277EB1A6">
            <w:pPr>
              <w:adjustRightInd w:val="0"/>
              <w:snapToGrid w:val="0"/>
              <w:spacing w:line="500" w:lineRule="exact"/>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3、</w:t>
            </w:r>
            <w:r>
              <w:rPr>
                <w:rFonts w:hint="default" w:ascii="Times New Roman" w:hAnsi="Times New Roman" w:eastAsia="宋体" w:cs="Times New Roman"/>
                <w:b/>
                <w:bCs/>
                <w:color w:val="auto"/>
                <w:sz w:val="24"/>
                <w:lang w:val="en-US" w:eastAsia="zh-CN"/>
              </w:rPr>
              <w:t>处置利用情况</w:t>
            </w:r>
          </w:p>
          <w:p w14:paraId="283B94D6">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本项目固废均得到合理有效处置，不直接排向外环境。</w:t>
            </w:r>
          </w:p>
          <w:p w14:paraId="09CE9B90">
            <w:pPr>
              <w:adjustRightInd w:val="0"/>
              <w:snapToGrid w:val="0"/>
              <w:spacing w:line="500" w:lineRule="exact"/>
              <w:ind w:firstLine="480" w:firstLineChars="20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color w:val="auto"/>
                <w:sz w:val="24"/>
              </w:rPr>
              <w:t>按照《建设项目危险废物环境影响评价指南》（环保部公告【2017】43号）要求，本项目固废产生及处理处置措施汇总表见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p>
          <w:p w14:paraId="45A823D0">
            <w:pPr>
              <w:pStyle w:val="58"/>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20本项目</w:t>
            </w:r>
            <w:r>
              <w:rPr>
                <w:rFonts w:hint="default" w:ascii="Times New Roman" w:hAnsi="Times New Roman" w:eastAsia="宋体" w:cs="Times New Roman"/>
                <w:b/>
                <w:color w:val="auto"/>
                <w:sz w:val="21"/>
                <w:szCs w:val="21"/>
                <w:highlight w:val="none"/>
                <w:lang w:val="en-US" w:eastAsia="zh-CN"/>
              </w:rPr>
              <w:t>固废产生及处理处置措施汇总表</w:t>
            </w:r>
          </w:p>
          <w:tbl>
            <w:tblPr>
              <w:tblStyle w:val="27"/>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49"/>
              <w:gridCol w:w="1150"/>
              <w:gridCol w:w="692"/>
              <w:gridCol w:w="968"/>
              <w:gridCol w:w="668"/>
              <w:gridCol w:w="696"/>
              <w:gridCol w:w="1273"/>
              <w:gridCol w:w="1089"/>
              <w:gridCol w:w="805"/>
              <w:gridCol w:w="874"/>
            </w:tblGrid>
            <w:tr w14:paraId="075103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89EFA18">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663" w:type="pct"/>
                  <w:vAlign w:val="center"/>
                </w:tcPr>
                <w:p w14:paraId="7B1B21A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固废名称</w:t>
                  </w:r>
                </w:p>
              </w:tc>
              <w:tc>
                <w:tcPr>
                  <w:tcW w:w="399" w:type="pct"/>
                  <w:tcBorders>
                    <w:bottom w:val="single" w:color="auto" w:sz="4" w:space="0"/>
                  </w:tcBorders>
                  <w:vAlign w:val="center"/>
                </w:tcPr>
                <w:p w14:paraId="3CE1C79F">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属性</w:t>
                  </w:r>
                </w:p>
              </w:tc>
              <w:tc>
                <w:tcPr>
                  <w:tcW w:w="558" w:type="pct"/>
                  <w:vAlign w:val="center"/>
                </w:tcPr>
                <w:p w14:paraId="023F41BD">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产生来源</w:t>
                  </w:r>
                </w:p>
              </w:tc>
              <w:tc>
                <w:tcPr>
                  <w:tcW w:w="385" w:type="pct"/>
                  <w:vAlign w:val="center"/>
                </w:tcPr>
                <w:p w14:paraId="4893D4B1">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危废毒性</w:t>
                  </w:r>
                </w:p>
              </w:tc>
              <w:tc>
                <w:tcPr>
                  <w:tcW w:w="401" w:type="pct"/>
                  <w:vAlign w:val="center"/>
                </w:tcPr>
                <w:p w14:paraId="3F62B6F9">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废物类别</w:t>
                  </w:r>
                </w:p>
              </w:tc>
              <w:tc>
                <w:tcPr>
                  <w:tcW w:w="734" w:type="pct"/>
                  <w:vAlign w:val="center"/>
                </w:tcPr>
                <w:p w14:paraId="4D232221">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废物代码</w:t>
                  </w:r>
                </w:p>
              </w:tc>
              <w:tc>
                <w:tcPr>
                  <w:tcW w:w="628" w:type="pct"/>
                  <w:vAlign w:val="center"/>
                </w:tcPr>
                <w:p w14:paraId="46ECFACE">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估算产生量（t/a）</w:t>
                  </w:r>
                </w:p>
              </w:tc>
              <w:tc>
                <w:tcPr>
                  <w:tcW w:w="464" w:type="pct"/>
                  <w:vAlign w:val="center"/>
                </w:tcPr>
                <w:p w14:paraId="6729F3B7">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利用处置方式</w:t>
                  </w:r>
                </w:p>
              </w:tc>
              <w:tc>
                <w:tcPr>
                  <w:tcW w:w="504" w:type="pct"/>
                  <w:vAlign w:val="center"/>
                </w:tcPr>
                <w:p w14:paraId="5C4D6BC1">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利用处置单位</w:t>
                  </w:r>
                </w:p>
              </w:tc>
            </w:tr>
            <w:tr w14:paraId="64A65D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2C0B56A4">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663" w:type="pct"/>
                  <w:vAlign w:val="center"/>
                </w:tcPr>
                <w:p w14:paraId="4F6D114C">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边角料</w:t>
                  </w:r>
                </w:p>
              </w:tc>
              <w:tc>
                <w:tcPr>
                  <w:tcW w:w="399" w:type="pct"/>
                  <w:vMerge w:val="restart"/>
                  <w:tcBorders>
                    <w:top w:val="single" w:color="auto" w:sz="4" w:space="0"/>
                  </w:tcBorders>
                  <w:vAlign w:val="center"/>
                </w:tcPr>
                <w:p w14:paraId="7E73755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558" w:type="pct"/>
                  <w:vAlign w:val="center"/>
                </w:tcPr>
                <w:p w14:paraId="5855D084">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sz w:val="21"/>
                      <w:szCs w:val="21"/>
                      <w:lang w:val="en-US" w:eastAsia="zh-CN"/>
                    </w:rPr>
                    <w:t>修边</w:t>
                  </w:r>
                </w:p>
              </w:tc>
              <w:tc>
                <w:tcPr>
                  <w:tcW w:w="385" w:type="pct"/>
                  <w:vAlign w:val="center"/>
                </w:tcPr>
                <w:p w14:paraId="7F28C176">
                  <w:pPr>
                    <w:snapToGrid w:val="0"/>
                    <w:jc w:val="center"/>
                    <w:rPr>
                      <w:rFonts w:hint="default" w:ascii="Times New Roman" w:hAnsi="Times New Roman" w:cs="Times New Roman"/>
                      <w:bCs/>
                      <w:color w:val="auto"/>
                      <w:szCs w:val="21"/>
                      <w:lang w:val="en-US" w:eastAsia="zh-CN"/>
                    </w:rPr>
                  </w:pPr>
                  <w:r>
                    <w:rPr>
                      <w:rFonts w:hint="default" w:ascii="Times New Roman" w:hAnsi="Times New Roman" w:cs="Times New Roman"/>
                      <w:color w:val="auto"/>
                      <w:sz w:val="21"/>
                      <w:szCs w:val="21"/>
                    </w:rPr>
                    <w:t>/</w:t>
                  </w:r>
                </w:p>
              </w:tc>
              <w:tc>
                <w:tcPr>
                  <w:tcW w:w="401" w:type="pct"/>
                  <w:vAlign w:val="center"/>
                </w:tcPr>
                <w:p w14:paraId="2F2D0B51">
                  <w:pPr>
                    <w:snapToGrid w:val="0"/>
                    <w:jc w:val="center"/>
                    <w:rPr>
                      <w:rFonts w:hint="default" w:ascii="Times New Roman" w:hAnsi="Times New Roman" w:cs="Times New Roman"/>
                      <w:bCs/>
                      <w:color w:val="auto"/>
                      <w:szCs w:val="21"/>
                      <w:lang w:val="en-US" w:eastAsia="zh-CN"/>
                    </w:rPr>
                  </w:pPr>
                  <w:r>
                    <w:rPr>
                      <w:rFonts w:hint="eastAsia" w:cs="Times New Roman"/>
                      <w:color w:val="auto"/>
                      <w:sz w:val="21"/>
                      <w:szCs w:val="21"/>
                      <w:lang w:val="en-US" w:eastAsia="zh-CN"/>
                    </w:rPr>
                    <w:t>SW17</w:t>
                  </w:r>
                </w:p>
              </w:tc>
              <w:tc>
                <w:tcPr>
                  <w:tcW w:w="734" w:type="pct"/>
                  <w:vAlign w:val="center"/>
                </w:tcPr>
                <w:p w14:paraId="28CED164">
                  <w:pPr>
                    <w:snapToGrid w:val="0"/>
                    <w:jc w:val="center"/>
                    <w:rPr>
                      <w:rFonts w:hint="default" w:ascii="Times New Roman" w:hAnsi="Times New Roman" w:cs="Times New Roman"/>
                      <w:bCs/>
                      <w:color w:val="auto"/>
                      <w:szCs w:val="21"/>
                      <w:lang w:val="en-US" w:eastAsia="zh-CN"/>
                    </w:rPr>
                  </w:pPr>
                  <w:r>
                    <w:rPr>
                      <w:rFonts w:hint="eastAsia" w:cs="Times New Roman"/>
                      <w:color w:val="auto"/>
                      <w:sz w:val="21"/>
                      <w:szCs w:val="21"/>
                      <w:lang w:val="en-US" w:eastAsia="zh-CN"/>
                    </w:rPr>
                    <w:t>900-003-S17</w:t>
                  </w:r>
                </w:p>
              </w:tc>
              <w:tc>
                <w:tcPr>
                  <w:tcW w:w="628" w:type="pct"/>
                  <w:vAlign w:val="center"/>
                </w:tcPr>
                <w:p w14:paraId="361F6201">
                  <w:pPr>
                    <w:adjustRightInd w:val="0"/>
                    <w:snapToGrid w:val="0"/>
                    <w:jc w:val="center"/>
                    <w:rPr>
                      <w:rFonts w:hint="default" w:ascii="Times New Roman" w:hAnsi="Times New Roman" w:cs="Times New Roman"/>
                      <w:bCs/>
                      <w:color w:val="auto"/>
                      <w:szCs w:val="21"/>
                      <w:lang w:val="en-US" w:eastAsia="zh-CN"/>
                    </w:rPr>
                  </w:pPr>
                  <w:r>
                    <w:rPr>
                      <w:rFonts w:hint="eastAsia" w:cs="Times New Roman"/>
                      <w:b w:val="0"/>
                      <w:bCs/>
                      <w:color w:val="auto"/>
                      <w:kern w:val="2"/>
                      <w:sz w:val="21"/>
                      <w:szCs w:val="21"/>
                      <w:lang w:val="en-US" w:eastAsia="zh-CN" w:bidi="ar-SA"/>
                    </w:rPr>
                    <w:t>3.44</w:t>
                  </w:r>
                </w:p>
              </w:tc>
              <w:tc>
                <w:tcPr>
                  <w:tcW w:w="464" w:type="pct"/>
                  <w:vMerge w:val="restart"/>
                  <w:vAlign w:val="center"/>
                </w:tcPr>
                <w:p w14:paraId="1453A10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外售综合利用</w:t>
                  </w:r>
                </w:p>
              </w:tc>
              <w:tc>
                <w:tcPr>
                  <w:tcW w:w="504" w:type="pct"/>
                  <w:vMerge w:val="restart"/>
                  <w:vAlign w:val="center"/>
                </w:tcPr>
                <w:p w14:paraId="0F4CCB2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物资回收单位</w:t>
                  </w:r>
                </w:p>
              </w:tc>
            </w:tr>
            <w:tr w14:paraId="0864BC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A21ED71">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2</w:t>
                  </w:r>
                </w:p>
              </w:tc>
              <w:tc>
                <w:tcPr>
                  <w:tcW w:w="663" w:type="pct"/>
                  <w:vAlign w:val="center"/>
                </w:tcPr>
                <w:p w14:paraId="002E108D">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color w:val="auto"/>
                      <w:sz w:val="21"/>
                      <w:szCs w:val="21"/>
                      <w:lang w:val="en-US" w:eastAsia="zh-CN"/>
                    </w:rPr>
                    <w:t>次品</w:t>
                  </w:r>
                </w:p>
              </w:tc>
              <w:tc>
                <w:tcPr>
                  <w:tcW w:w="399" w:type="pct"/>
                  <w:vMerge w:val="continue"/>
                  <w:vAlign w:val="center"/>
                </w:tcPr>
                <w:p w14:paraId="5148CC47">
                  <w:pPr>
                    <w:adjustRightInd w:val="0"/>
                    <w:snapToGrid w:val="0"/>
                    <w:jc w:val="center"/>
                    <w:rPr>
                      <w:rFonts w:hint="default" w:ascii="Times New Roman" w:hAnsi="Times New Roman" w:cs="Times New Roman"/>
                      <w:color w:val="auto"/>
                      <w:szCs w:val="21"/>
                    </w:rPr>
                  </w:pPr>
                </w:p>
              </w:tc>
              <w:tc>
                <w:tcPr>
                  <w:tcW w:w="558" w:type="pct"/>
                  <w:vAlign w:val="center"/>
                </w:tcPr>
                <w:p w14:paraId="7D571751">
                  <w:pPr>
                    <w:adjustRightInd w:val="0"/>
                    <w:snapToGrid w:val="0"/>
                    <w:jc w:val="center"/>
                    <w:rPr>
                      <w:rFonts w:hint="eastAsia" w:ascii="Times New Roman" w:hAnsi="Times New Roman" w:cs="Times New Roman"/>
                      <w:bCs/>
                      <w:color w:val="auto"/>
                      <w:szCs w:val="21"/>
                      <w:lang w:val="en-US" w:eastAsia="zh-CN"/>
                    </w:rPr>
                  </w:pPr>
                  <w:r>
                    <w:rPr>
                      <w:rFonts w:hint="eastAsia" w:ascii="Times New Roman" w:hAnsi="Times New Roman" w:eastAsia="宋体" w:cs="Times New Roman"/>
                      <w:color w:val="auto"/>
                      <w:sz w:val="21"/>
                      <w:szCs w:val="21"/>
                      <w:lang w:val="en-US" w:eastAsia="zh-CN"/>
                    </w:rPr>
                    <w:t>检验</w:t>
                  </w:r>
                </w:p>
              </w:tc>
              <w:tc>
                <w:tcPr>
                  <w:tcW w:w="385" w:type="pct"/>
                  <w:vAlign w:val="center"/>
                </w:tcPr>
                <w:p w14:paraId="63DC1114">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1" w:type="pct"/>
                  <w:vAlign w:val="center"/>
                </w:tcPr>
                <w:p w14:paraId="4FED12F9">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SW17</w:t>
                  </w:r>
                </w:p>
              </w:tc>
              <w:tc>
                <w:tcPr>
                  <w:tcW w:w="734" w:type="pct"/>
                  <w:vAlign w:val="center"/>
                </w:tcPr>
                <w:p w14:paraId="20AEC8AF">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900-003-S17</w:t>
                  </w:r>
                </w:p>
              </w:tc>
              <w:tc>
                <w:tcPr>
                  <w:tcW w:w="628" w:type="pct"/>
                  <w:vAlign w:val="center"/>
                </w:tcPr>
                <w:p w14:paraId="1BED6236">
                  <w:pPr>
                    <w:adjustRightInd w:val="0"/>
                    <w:snapToGrid w:val="0"/>
                    <w:jc w:val="center"/>
                    <w:rPr>
                      <w:rFonts w:hint="default" w:cs="Times New Roman"/>
                      <w:bCs/>
                      <w:color w:val="auto"/>
                      <w:kern w:val="2"/>
                      <w:sz w:val="21"/>
                      <w:szCs w:val="21"/>
                      <w:lang w:val="en-US" w:eastAsia="zh-CN" w:bidi="ar-SA"/>
                    </w:rPr>
                  </w:pPr>
                  <w:r>
                    <w:rPr>
                      <w:rFonts w:hint="eastAsia" w:cs="Times New Roman"/>
                      <w:b w:val="0"/>
                      <w:bCs/>
                      <w:color w:val="auto"/>
                      <w:kern w:val="2"/>
                      <w:sz w:val="21"/>
                      <w:szCs w:val="21"/>
                      <w:lang w:val="en-US" w:eastAsia="zh-CN" w:bidi="ar-SA"/>
                    </w:rPr>
                    <w:t>1.72</w:t>
                  </w:r>
                </w:p>
              </w:tc>
              <w:tc>
                <w:tcPr>
                  <w:tcW w:w="464" w:type="pct"/>
                  <w:vMerge w:val="continue"/>
                  <w:vAlign w:val="center"/>
                </w:tcPr>
                <w:p w14:paraId="6D0E1547">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22ABAEC3">
                  <w:pPr>
                    <w:adjustRightInd w:val="0"/>
                    <w:snapToGrid w:val="0"/>
                    <w:jc w:val="center"/>
                    <w:rPr>
                      <w:rFonts w:hint="default" w:ascii="Times New Roman" w:hAnsi="Times New Roman" w:cs="Times New Roman"/>
                      <w:bCs/>
                      <w:color w:val="auto"/>
                      <w:szCs w:val="21"/>
                    </w:rPr>
                  </w:pPr>
                </w:p>
              </w:tc>
            </w:tr>
            <w:tr w14:paraId="548A57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0A5A2434">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3</w:t>
                  </w:r>
                </w:p>
              </w:tc>
              <w:tc>
                <w:tcPr>
                  <w:tcW w:w="663" w:type="pct"/>
                  <w:vAlign w:val="center"/>
                </w:tcPr>
                <w:p w14:paraId="5B2A2976">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399" w:type="pct"/>
                  <w:vMerge w:val="continue"/>
                  <w:vAlign w:val="center"/>
                </w:tcPr>
                <w:p w14:paraId="47CB0881">
                  <w:pPr>
                    <w:adjustRightInd w:val="0"/>
                    <w:snapToGrid w:val="0"/>
                    <w:jc w:val="center"/>
                    <w:rPr>
                      <w:rFonts w:hint="default" w:ascii="Times New Roman" w:hAnsi="Times New Roman" w:cs="Times New Roman"/>
                      <w:color w:val="auto"/>
                      <w:szCs w:val="21"/>
                    </w:rPr>
                  </w:pPr>
                </w:p>
              </w:tc>
              <w:tc>
                <w:tcPr>
                  <w:tcW w:w="558" w:type="pct"/>
                  <w:vAlign w:val="center"/>
                </w:tcPr>
                <w:p w14:paraId="64501403">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塑料粒子包装</w:t>
                  </w:r>
                </w:p>
              </w:tc>
              <w:tc>
                <w:tcPr>
                  <w:tcW w:w="385" w:type="pct"/>
                  <w:vAlign w:val="center"/>
                </w:tcPr>
                <w:p w14:paraId="4658CFA7">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1" w:type="pct"/>
                  <w:vAlign w:val="center"/>
                </w:tcPr>
                <w:p w14:paraId="19799D3D">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734" w:type="pct"/>
                  <w:vAlign w:val="center"/>
                </w:tcPr>
                <w:p w14:paraId="264F9218">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628" w:type="pct"/>
                  <w:vAlign w:val="center"/>
                </w:tcPr>
                <w:p w14:paraId="1FDB8A2F">
                  <w:pPr>
                    <w:adjustRightInd w:val="0"/>
                    <w:snapToGrid w:val="0"/>
                    <w:jc w:val="center"/>
                    <w:rPr>
                      <w:rFonts w:hint="eastAsia" w:cs="Times New Roman"/>
                      <w:bCs/>
                      <w:color w:val="auto"/>
                      <w:kern w:val="2"/>
                      <w:sz w:val="21"/>
                      <w:szCs w:val="21"/>
                      <w:lang w:val="en-US" w:eastAsia="zh-CN" w:bidi="ar-SA"/>
                    </w:rPr>
                  </w:pPr>
                  <w:r>
                    <w:rPr>
                      <w:rFonts w:hint="eastAsia" w:cs="Times New Roman"/>
                      <w:b w:val="0"/>
                      <w:bCs/>
                      <w:color w:val="auto"/>
                      <w:sz w:val="21"/>
                      <w:szCs w:val="21"/>
                      <w:lang w:val="en-US" w:eastAsia="zh-CN"/>
                    </w:rPr>
                    <w:t>0.688</w:t>
                  </w:r>
                </w:p>
              </w:tc>
              <w:tc>
                <w:tcPr>
                  <w:tcW w:w="464" w:type="pct"/>
                  <w:vMerge w:val="continue"/>
                  <w:vAlign w:val="center"/>
                </w:tcPr>
                <w:p w14:paraId="47171AE8">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23500C72">
                  <w:pPr>
                    <w:adjustRightInd w:val="0"/>
                    <w:snapToGrid w:val="0"/>
                    <w:jc w:val="center"/>
                    <w:rPr>
                      <w:rFonts w:hint="default" w:ascii="Times New Roman" w:hAnsi="Times New Roman" w:cs="Times New Roman"/>
                      <w:bCs/>
                      <w:color w:val="auto"/>
                      <w:szCs w:val="21"/>
                    </w:rPr>
                  </w:pPr>
                </w:p>
              </w:tc>
            </w:tr>
            <w:tr w14:paraId="1E7199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0ECA87A9">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 w:val="21"/>
                      <w:szCs w:val="21"/>
                      <w:lang w:val="en-US" w:eastAsia="zh-CN"/>
                    </w:rPr>
                    <w:t>4</w:t>
                  </w:r>
                </w:p>
              </w:tc>
              <w:tc>
                <w:tcPr>
                  <w:tcW w:w="663" w:type="pct"/>
                  <w:vAlign w:val="center"/>
                </w:tcPr>
                <w:p w14:paraId="585C7810">
                  <w:pPr>
                    <w:adjustRightInd w:val="0"/>
                    <w:snapToGrid w:val="0"/>
                    <w:jc w:val="center"/>
                    <w:rPr>
                      <w:rFonts w:hint="eastAsia" w:ascii="Times New Roman" w:hAnsi="Times New Roman" w:cs="Times New Roman"/>
                      <w:color w:val="auto"/>
                      <w:szCs w:val="21"/>
                      <w:lang w:eastAsia="zh-CN"/>
                    </w:rPr>
                  </w:pPr>
                  <w:r>
                    <w:rPr>
                      <w:rFonts w:hint="default" w:ascii="Times New Roman" w:hAnsi="Times New Roman" w:eastAsia="宋体" w:cs="Times New Roman"/>
                      <w:color w:val="auto"/>
                      <w:sz w:val="21"/>
                      <w:szCs w:val="21"/>
                      <w:lang w:val="en-US" w:eastAsia="zh-CN"/>
                    </w:rPr>
                    <w:t>废活性炭</w:t>
                  </w:r>
                </w:p>
              </w:tc>
              <w:tc>
                <w:tcPr>
                  <w:tcW w:w="399" w:type="pct"/>
                  <w:vMerge w:val="restart"/>
                  <w:vAlign w:val="center"/>
                </w:tcPr>
                <w:p w14:paraId="3FA93E8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危险固废</w:t>
                  </w:r>
                </w:p>
              </w:tc>
              <w:tc>
                <w:tcPr>
                  <w:tcW w:w="558" w:type="pct"/>
                  <w:vAlign w:val="center"/>
                </w:tcPr>
                <w:p w14:paraId="6EFF032C">
                  <w:pPr>
                    <w:pStyle w:val="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废气处理</w:t>
                  </w:r>
                </w:p>
              </w:tc>
              <w:tc>
                <w:tcPr>
                  <w:tcW w:w="385" w:type="pct"/>
                  <w:vAlign w:val="center"/>
                </w:tcPr>
                <w:p w14:paraId="201802D7">
                  <w:pPr>
                    <w:snapToGrid w:val="0"/>
                    <w:jc w:val="center"/>
                    <w:rPr>
                      <w:bCs/>
                      <w:color w:val="auto"/>
                      <w:sz w:val="21"/>
                      <w:szCs w:val="21"/>
                    </w:rPr>
                  </w:pPr>
                  <w:r>
                    <w:rPr>
                      <w:rFonts w:hint="default" w:ascii="Times New Roman" w:hAnsi="Times New Roman" w:cs="Times New Roman"/>
                      <w:color w:val="auto"/>
                      <w:sz w:val="21"/>
                      <w:szCs w:val="21"/>
                    </w:rPr>
                    <w:t>T</w:t>
                  </w:r>
                </w:p>
              </w:tc>
              <w:tc>
                <w:tcPr>
                  <w:tcW w:w="401" w:type="pct"/>
                  <w:vAlign w:val="center"/>
                </w:tcPr>
                <w:p w14:paraId="57CB6DC4">
                  <w:pPr>
                    <w:snapToGrid w:val="0"/>
                    <w:jc w:val="center"/>
                    <w:rPr>
                      <w:bCs/>
                      <w:color w:val="auto"/>
                      <w:sz w:val="21"/>
                      <w:szCs w:val="21"/>
                    </w:rPr>
                  </w:pPr>
                  <w:r>
                    <w:rPr>
                      <w:rFonts w:hint="default" w:ascii="Times New Roman" w:hAnsi="Times New Roman" w:cs="Times New Roman"/>
                      <w:color w:val="auto"/>
                      <w:sz w:val="21"/>
                      <w:szCs w:val="21"/>
                    </w:rPr>
                    <w:t>HW49</w:t>
                  </w:r>
                </w:p>
              </w:tc>
              <w:tc>
                <w:tcPr>
                  <w:tcW w:w="734" w:type="pct"/>
                  <w:vAlign w:val="center"/>
                </w:tcPr>
                <w:p w14:paraId="789C58F7">
                  <w:pPr>
                    <w:snapToGrid w:val="0"/>
                    <w:jc w:val="center"/>
                    <w:rPr>
                      <w:bCs/>
                      <w:color w:val="auto"/>
                      <w:sz w:val="21"/>
                      <w:szCs w:val="21"/>
                    </w:rPr>
                  </w:pPr>
                  <w:r>
                    <w:rPr>
                      <w:rFonts w:hint="default" w:ascii="Times New Roman" w:hAnsi="Times New Roman" w:cs="Times New Roman"/>
                      <w:color w:val="auto"/>
                      <w:sz w:val="21"/>
                      <w:szCs w:val="21"/>
                    </w:rPr>
                    <w:t>900-039-49</w:t>
                  </w:r>
                </w:p>
              </w:tc>
              <w:tc>
                <w:tcPr>
                  <w:tcW w:w="628" w:type="pct"/>
                  <w:vAlign w:val="center"/>
                </w:tcPr>
                <w:p w14:paraId="50153DB1">
                  <w:pPr>
                    <w:adjustRightInd w:val="0"/>
                    <w:snapToGrid w:val="0"/>
                    <w:jc w:val="center"/>
                    <w:rPr>
                      <w:rFonts w:hint="eastAsia" w:cs="Times New Roman"/>
                      <w:color w:val="auto"/>
                      <w:kern w:val="2"/>
                      <w:sz w:val="21"/>
                      <w:szCs w:val="21"/>
                      <w:lang w:val="en-US" w:eastAsia="zh-CN" w:bidi="ar-SA"/>
                    </w:rPr>
                  </w:pPr>
                  <w:r>
                    <w:rPr>
                      <w:rFonts w:hint="eastAsia" w:cs="Times New Roman"/>
                      <w:b w:val="0"/>
                      <w:bCs/>
                      <w:color w:val="auto"/>
                      <w:sz w:val="21"/>
                      <w:szCs w:val="21"/>
                      <w:lang w:val="en-US" w:eastAsia="zh-CN"/>
                    </w:rPr>
                    <w:t>2.656</w:t>
                  </w:r>
                </w:p>
              </w:tc>
              <w:tc>
                <w:tcPr>
                  <w:tcW w:w="464" w:type="pct"/>
                  <w:vMerge w:val="restart"/>
                  <w:vAlign w:val="center"/>
                </w:tcPr>
                <w:p w14:paraId="20B2AC42">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bCs/>
                      <w:color w:val="auto"/>
                      <w:szCs w:val="21"/>
                      <w:lang w:val="en-US" w:eastAsia="zh-CN"/>
                    </w:rPr>
                    <w:t>委托处置</w:t>
                  </w:r>
                </w:p>
              </w:tc>
              <w:tc>
                <w:tcPr>
                  <w:tcW w:w="504" w:type="pct"/>
                  <w:vMerge w:val="restart"/>
                  <w:vAlign w:val="center"/>
                </w:tcPr>
                <w:p w14:paraId="2EF06C4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有资质单位</w:t>
                  </w:r>
                </w:p>
              </w:tc>
            </w:tr>
            <w:tr w14:paraId="3C3B1E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E498337">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w:t>
                  </w:r>
                </w:p>
              </w:tc>
              <w:tc>
                <w:tcPr>
                  <w:tcW w:w="663" w:type="pct"/>
                  <w:vAlign w:val="center"/>
                </w:tcPr>
                <w:p w14:paraId="592E23B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废液压油</w:t>
                  </w:r>
                </w:p>
              </w:tc>
              <w:tc>
                <w:tcPr>
                  <w:tcW w:w="399" w:type="pct"/>
                  <w:vMerge w:val="continue"/>
                  <w:vAlign w:val="center"/>
                </w:tcPr>
                <w:p w14:paraId="1690E198">
                  <w:pPr>
                    <w:adjustRightInd w:val="0"/>
                    <w:snapToGrid w:val="0"/>
                    <w:jc w:val="center"/>
                    <w:rPr>
                      <w:rFonts w:hint="default" w:ascii="Times New Roman" w:hAnsi="Times New Roman" w:cs="Times New Roman"/>
                      <w:color w:val="auto"/>
                      <w:szCs w:val="21"/>
                    </w:rPr>
                  </w:pPr>
                </w:p>
              </w:tc>
              <w:tc>
                <w:tcPr>
                  <w:tcW w:w="558" w:type="pct"/>
                  <w:vAlign w:val="center"/>
                </w:tcPr>
                <w:p w14:paraId="4C980949">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sz w:val="21"/>
                      <w:szCs w:val="21"/>
                      <w:lang w:val="en-US" w:eastAsia="zh-CN"/>
                    </w:rPr>
                    <w:t>设备保养</w:t>
                  </w:r>
                </w:p>
              </w:tc>
              <w:tc>
                <w:tcPr>
                  <w:tcW w:w="385" w:type="pct"/>
                  <w:vAlign w:val="center"/>
                </w:tcPr>
                <w:p w14:paraId="4AF63153">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I</w:t>
                  </w:r>
                </w:p>
              </w:tc>
              <w:tc>
                <w:tcPr>
                  <w:tcW w:w="401" w:type="pct"/>
                  <w:vAlign w:val="center"/>
                </w:tcPr>
                <w:p w14:paraId="4647A565">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734" w:type="pct"/>
                  <w:vAlign w:val="center"/>
                </w:tcPr>
                <w:p w14:paraId="179A1B10">
                  <w:pPr>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900-218-08</w:t>
                  </w:r>
                </w:p>
              </w:tc>
              <w:tc>
                <w:tcPr>
                  <w:tcW w:w="628" w:type="pct"/>
                  <w:vAlign w:val="center"/>
                </w:tcPr>
                <w:p w14:paraId="1E75474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b w:val="0"/>
                      <w:bCs/>
                      <w:color w:val="auto"/>
                      <w:sz w:val="21"/>
                      <w:szCs w:val="21"/>
                      <w:lang w:val="en-US" w:eastAsia="zh-CN"/>
                    </w:rPr>
                    <w:t>0.72</w:t>
                  </w:r>
                </w:p>
              </w:tc>
              <w:tc>
                <w:tcPr>
                  <w:tcW w:w="464" w:type="pct"/>
                  <w:vMerge w:val="continue"/>
                  <w:vAlign w:val="center"/>
                </w:tcPr>
                <w:p w14:paraId="4AFA2E7C">
                  <w:pPr>
                    <w:adjustRightInd w:val="0"/>
                    <w:snapToGrid w:val="0"/>
                    <w:jc w:val="center"/>
                    <w:rPr>
                      <w:rFonts w:hint="default" w:ascii="Times New Roman" w:hAnsi="Times New Roman" w:cs="Times New Roman"/>
                      <w:color w:val="auto"/>
                      <w:szCs w:val="21"/>
                    </w:rPr>
                  </w:pPr>
                </w:p>
              </w:tc>
              <w:tc>
                <w:tcPr>
                  <w:tcW w:w="504" w:type="pct"/>
                  <w:vMerge w:val="continue"/>
                  <w:vAlign w:val="center"/>
                </w:tcPr>
                <w:p w14:paraId="3DEDFA2E">
                  <w:pPr>
                    <w:adjustRightInd w:val="0"/>
                    <w:snapToGrid w:val="0"/>
                    <w:jc w:val="center"/>
                    <w:rPr>
                      <w:rFonts w:hint="default" w:ascii="Times New Roman" w:hAnsi="Times New Roman" w:cs="Times New Roman"/>
                      <w:color w:val="auto"/>
                      <w:szCs w:val="21"/>
                    </w:rPr>
                  </w:pPr>
                </w:p>
              </w:tc>
            </w:tr>
            <w:tr w14:paraId="1A7157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F5CB278">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6</w:t>
                  </w:r>
                </w:p>
              </w:tc>
              <w:tc>
                <w:tcPr>
                  <w:tcW w:w="663" w:type="pct"/>
                  <w:vAlign w:val="center"/>
                </w:tcPr>
                <w:p w14:paraId="1CCE915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废</w:t>
                  </w:r>
                  <w:r>
                    <w:rPr>
                      <w:rFonts w:hint="eastAsia" w:ascii="Times New Roman" w:hAnsi="Times New Roman" w:eastAsia="宋体" w:cs="Times New Roman"/>
                      <w:color w:val="auto"/>
                      <w:sz w:val="21"/>
                      <w:szCs w:val="21"/>
                      <w:lang w:val="en-US" w:eastAsia="zh-CN"/>
                    </w:rPr>
                    <w:t>油</w:t>
                  </w:r>
                  <w:r>
                    <w:rPr>
                      <w:rFonts w:hint="default" w:ascii="Times New Roman" w:hAnsi="Times New Roman" w:eastAsia="宋体" w:cs="Times New Roman"/>
                      <w:color w:val="auto"/>
                      <w:sz w:val="21"/>
                      <w:szCs w:val="21"/>
                      <w:lang w:val="en-US" w:eastAsia="zh-CN"/>
                    </w:rPr>
                    <w:t>桶</w:t>
                  </w:r>
                </w:p>
              </w:tc>
              <w:tc>
                <w:tcPr>
                  <w:tcW w:w="399" w:type="pct"/>
                  <w:vMerge w:val="continue"/>
                  <w:vAlign w:val="center"/>
                </w:tcPr>
                <w:p w14:paraId="7F3E03C2">
                  <w:pPr>
                    <w:adjustRightInd w:val="0"/>
                    <w:snapToGrid w:val="0"/>
                    <w:jc w:val="center"/>
                    <w:rPr>
                      <w:rFonts w:hint="default" w:ascii="Times New Roman" w:hAnsi="Times New Roman" w:cs="Times New Roman"/>
                      <w:color w:val="auto"/>
                      <w:szCs w:val="21"/>
                    </w:rPr>
                  </w:pPr>
                </w:p>
              </w:tc>
              <w:tc>
                <w:tcPr>
                  <w:tcW w:w="558" w:type="pct"/>
                  <w:vAlign w:val="center"/>
                </w:tcPr>
                <w:p w14:paraId="14D518E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油品包装</w:t>
                  </w:r>
                </w:p>
              </w:tc>
              <w:tc>
                <w:tcPr>
                  <w:tcW w:w="385" w:type="pct"/>
                  <w:vAlign w:val="center"/>
                </w:tcPr>
                <w:p w14:paraId="66255095">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I</w:t>
                  </w:r>
                </w:p>
              </w:tc>
              <w:tc>
                <w:tcPr>
                  <w:tcW w:w="401" w:type="pct"/>
                  <w:vAlign w:val="center"/>
                </w:tcPr>
                <w:p w14:paraId="66D37980">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734" w:type="pct"/>
                  <w:vAlign w:val="center"/>
                </w:tcPr>
                <w:p w14:paraId="7F31A7CF">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900-249-08</w:t>
                  </w:r>
                </w:p>
              </w:tc>
              <w:tc>
                <w:tcPr>
                  <w:tcW w:w="628" w:type="pct"/>
                  <w:vAlign w:val="center"/>
                </w:tcPr>
                <w:p w14:paraId="39B3D4FF">
                  <w:pPr>
                    <w:keepNext w:val="0"/>
                    <w:keepLines w:val="0"/>
                    <w:suppressLineNumbers w:val="0"/>
                    <w:adjustRightInd w:val="0"/>
                    <w:snapToGrid w:val="0"/>
                    <w:spacing w:before="0" w:beforeAutospacing="0" w:after="0" w:afterAutospacing="0"/>
                    <w:ind w:left="0" w:leftChars="0" w:right="0" w:rightChars="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0.05</w:t>
                  </w:r>
                </w:p>
              </w:tc>
              <w:tc>
                <w:tcPr>
                  <w:tcW w:w="464" w:type="pct"/>
                  <w:vMerge w:val="continue"/>
                  <w:vAlign w:val="center"/>
                </w:tcPr>
                <w:p w14:paraId="50B13320">
                  <w:pPr>
                    <w:adjustRightInd w:val="0"/>
                    <w:snapToGrid w:val="0"/>
                    <w:jc w:val="center"/>
                    <w:rPr>
                      <w:rFonts w:hint="default" w:ascii="Times New Roman" w:hAnsi="Times New Roman" w:cs="Times New Roman"/>
                      <w:color w:val="auto"/>
                      <w:szCs w:val="21"/>
                    </w:rPr>
                  </w:pPr>
                </w:p>
              </w:tc>
              <w:tc>
                <w:tcPr>
                  <w:tcW w:w="504" w:type="pct"/>
                  <w:vMerge w:val="continue"/>
                  <w:vAlign w:val="center"/>
                </w:tcPr>
                <w:p w14:paraId="29244B03">
                  <w:pPr>
                    <w:adjustRightInd w:val="0"/>
                    <w:snapToGrid w:val="0"/>
                    <w:jc w:val="center"/>
                    <w:rPr>
                      <w:rFonts w:hint="default" w:ascii="Times New Roman" w:hAnsi="Times New Roman" w:cs="Times New Roman"/>
                      <w:color w:val="auto"/>
                      <w:szCs w:val="21"/>
                    </w:rPr>
                  </w:pPr>
                </w:p>
              </w:tc>
            </w:tr>
            <w:tr w14:paraId="6DE416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49FF0FF6">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w:t>
                  </w:r>
                </w:p>
              </w:tc>
              <w:tc>
                <w:tcPr>
                  <w:tcW w:w="663" w:type="pct"/>
                  <w:vAlign w:val="center"/>
                </w:tcPr>
                <w:p w14:paraId="7720FFF8">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 w:val="21"/>
                      <w:szCs w:val="21"/>
                      <w:lang w:val="en-US" w:eastAsia="zh-CN"/>
                    </w:rPr>
                    <w:t>含油废抹布手套</w:t>
                  </w:r>
                </w:p>
              </w:tc>
              <w:tc>
                <w:tcPr>
                  <w:tcW w:w="399" w:type="pct"/>
                  <w:vMerge w:val="continue"/>
                  <w:vAlign w:val="center"/>
                </w:tcPr>
                <w:p w14:paraId="4FBF510D">
                  <w:pPr>
                    <w:adjustRightInd w:val="0"/>
                    <w:snapToGrid w:val="0"/>
                    <w:jc w:val="center"/>
                    <w:rPr>
                      <w:rFonts w:hint="default" w:ascii="Times New Roman" w:hAnsi="Times New Roman" w:cs="Times New Roman"/>
                      <w:color w:val="auto"/>
                      <w:szCs w:val="21"/>
                    </w:rPr>
                  </w:pPr>
                </w:p>
              </w:tc>
              <w:tc>
                <w:tcPr>
                  <w:tcW w:w="558" w:type="pct"/>
                  <w:vAlign w:val="center"/>
                </w:tcPr>
                <w:p w14:paraId="72BA0E6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385" w:type="pct"/>
                  <w:vAlign w:val="center"/>
                </w:tcPr>
                <w:p w14:paraId="3300DCF7">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val="en-US" w:eastAsia="zh-CN"/>
                    </w:rPr>
                    <w:t>In</w:t>
                  </w:r>
                </w:p>
              </w:tc>
              <w:tc>
                <w:tcPr>
                  <w:tcW w:w="401" w:type="pct"/>
                  <w:vAlign w:val="center"/>
                </w:tcPr>
                <w:p w14:paraId="435CECFB">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HW49</w:t>
                  </w:r>
                </w:p>
              </w:tc>
              <w:tc>
                <w:tcPr>
                  <w:tcW w:w="734" w:type="pct"/>
                  <w:vAlign w:val="center"/>
                </w:tcPr>
                <w:p w14:paraId="458F5F99">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w:t>
                  </w:r>
                  <w:r>
                    <w:rPr>
                      <w:rFonts w:hint="eastAsia" w:ascii="Times New Roman" w:hAnsi="Times New Roman" w:cs="Times New Roman"/>
                      <w:color w:val="auto"/>
                      <w:sz w:val="21"/>
                      <w:szCs w:val="21"/>
                      <w:lang w:val="en-US" w:eastAsia="zh-CN"/>
                    </w:rPr>
                    <w:t>41</w:t>
                  </w:r>
                  <w:r>
                    <w:rPr>
                      <w:rFonts w:hint="default" w:ascii="Times New Roman" w:hAnsi="Times New Roman" w:cs="Times New Roman"/>
                      <w:color w:val="auto"/>
                      <w:sz w:val="21"/>
                      <w:szCs w:val="21"/>
                    </w:rPr>
                    <w:t>-49</w:t>
                  </w:r>
                </w:p>
              </w:tc>
              <w:tc>
                <w:tcPr>
                  <w:tcW w:w="628" w:type="pct"/>
                  <w:vAlign w:val="center"/>
                </w:tcPr>
                <w:p w14:paraId="6E562F3C">
                  <w:pPr>
                    <w:adjustRightInd w:val="0"/>
                    <w:snapToGrid w:val="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0.05</w:t>
                  </w:r>
                </w:p>
              </w:tc>
              <w:tc>
                <w:tcPr>
                  <w:tcW w:w="464" w:type="pct"/>
                  <w:vMerge w:val="continue"/>
                  <w:vAlign w:val="center"/>
                </w:tcPr>
                <w:p w14:paraId="36296AC3">
                  <w:pPr>
                    <w:adjustRightInd w:val="0"/>
                    <w:snapToGrid w:val="0"/>
                    <w:jc w:val="center"/>
                    <w:rPr>
                      <w:rFonts w:hint="default" w:ascii="Times New Roman" w:hAnsi="Times New Roman" w:cs="Times New Roman"/>
                      <w:color w:val="auto"/>
                      <w:szCs w:val="21"/>
                    </w:rPr>
                  </w:pPr>
                </w:p>
              </w:tc>
              <w:tc>
                <w:tcPr>
                  <w:tcW w:w="504" w:type="pct"/>
                  <w:vMerge w:val="continue"/>
                  <w:vAlign w:val="center"/>
                </w:tcPr>
                <w:p w14:paraId="3BB72FEC">
                  <w:pPr>
                    <w:adjustRightInd w:val="0"/>
                    <w:snapToGrid w:val="0"/>
                    <w:jc w:val="center"/>
                    <w:rPr>
                      <w:rFonts w:hint="default" w:ascii="Times New Roman" w:hAnsi="Times New Roman" w:cs="Times New Roman"/>
                      <w:color w:val="auto"/>
                      <w:szCs w:val="21"/>
                    </w:rPr>
                  </w:pPr>
                </w:p>
              </w:tc>
            </w:tr>
            <w:tr w14:paraId="648DD5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F2FC4BF">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w:t>
                  </w:r>
                </w:p>
              </w:tc>
              <w:tc>
                <w:tcPr>
                  <w:tcW w:w="663" w:type="pct"/>
                  <w:vAlign w:val="center"/>
                </w:tcPr>
                <w:p w14:paraId="2F26AB10">
                  <w:pPr>
                    <w:pStyle w:val="6"/>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snapToGrid w:val="0"/>
                      <w:color w:val="auto"/>
                      <w:kern w:val="21"/>
                      <w:szCs w:val="21"/>
                    </w:rPr>
                    <w:t>生活垃圾</w:t>
                  </w:r>
                </w:p>
              </w:tc>
              <w:tc>
                <w:tcPr>
                  <w:tcW w:w="399" w:type="pct"/>
                  <w:vAlign w:val="center"/>
                </w:tcPr>
                <w:p w14:paraId="086DDA42">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558" w:type="pct"/>
                  <w:vAlign w:val="center"/>
                </w:tcPr>
                <w:p w14:paraId="4016867E">
                  <w:pPr>
                    <w:widowControl/>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rPr>
                    <w:t>日常办公</w:t>
                  </w:r>
                </w:p>
              </w:tc>
              <w:tc>
                <w:tcPr>
                  <w:tcW w:w="385" w:type="pct"/>
                  <w:vAlign w:val="center"/>
                </w:tcPr>
                <w:p w14:paraId="7817A3F7">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1" w:type="pct"/>
                  <w:vAlign w:val="center"/>
                </w:tcPr>
                <w:p w14:paraId="69FD8243">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SW64</w:t>
                  </w:r>
                </w:p>
              </w:tc>
              <w:tc>
                <w:tcPr>
                  <w:tcW w:w="734" w:type="pct"/>
                  <w:vAlign w:val="center"/>
                </w:tcPr>
                <w:p w14:paraId="2A2CC204">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900-099-S64</w:t>
                  </w:r>
                </w:p>
              </w:tc>
              <w:tc>
                <w:tcPr>
                  <w:tcW w:w="628" w:type="pct"/>
                  <w:vAlign w:val="center"/>
                </w:tcPr>
                <w:p w14:paraId="4D99F1CF">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b w:val="0"/>
                      <w:bCs/>
                      <w:color w:val="auto"/>
                      <w:kern w:val="2"/>
                      <w:sz w:val="21"/>
                      <w:szCs w:val="21"/>
                      <w:lang w:val="en-US" w:eastAsia="zh-CN" w:bidi="ar-SA"/>
                    </w:rPr>
                    <w:t>4.5</w:t>
                  </w:r>
                </w:p>
              </w:tc>
              <w:tc>
                <w:tcPr>
                  <w:tcW w:w="464" w:type="pct"/>
                  <w:vAlign w:val="center"/>
                </w:tcPr>
                <w:p w14:paraId="3C8D4CA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委托处置</w:t>
                  </w:r>
                </w:p>
              </w:tc>
              <w:tc>
                <w:tcPr>
                  <w:tcW w:w="504" w:type="pct"/>
                  <w:vAlign w:val="center"/>
                </w:tcPr>
                <w:p w14:paraId="1FA5BEA0">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环卫部门</w:t>
                  </w:r>
                </w:p>
              </w:tc>
            </w:tr>
          </w:tbl>
          <w:p w14:paraId="746A7F92">
            <w:pPr>
              <w:adjustRightInd w:val="0"/>
              <w:snapToGrid w:val="0"/>
              <w:spacing w:line="500" w:lineRule="exact"/>
              <w:ind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4、</w:t>
            </w:r>
            <w:r>
              <w:rPr>
                <w:rFonts w:hint="default" w:ascii="Times New Roman" w:hAnsi="Times New Roman" w:cs="Times New Roman"/>
                <w:b/>
                <w:bCs/>
                <w:color w:val="auto"/>
                <w:sz w:val="24"/>
                <w:highlight w:val="none"/>
                <w:lang w:val="en-US" w:eastAsia="zh-CN"/>
              </w:rPr>
              <w:t>固废环境影响分析</w:t>
            </w:r>
          </w:p>
          <w:p w14:paraId="1AA4FAD1">
            <w:pPr>
              <w:adjustRightInd w:val="0"/>
              <w:snapToGrid w:val="0"/>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临时贮存可行性分析：</w:t>
            </w:r>
          </w:p>
          <w:p w14:paraId="72AABA5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产生的废物应分类收集、分类贮存，并张贴标签储存在专门的场所内，一般固废、生活垃圾、危险废物应分开储存，不得混放。危废每季度周转一次，危废暂存场所按照《危险废物贮存污染控制标准》规范要求设置，设有防风、防雨、防晒、防渗漏等措施，并设置危险废物标识和警示牌。各堆场场所按照《环境保护图形标志-固体废物贮存（处置场）》设置标示牌。</w:t>
            </w:r>
          </w:p>
          <w:p w14:paraId="6841560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w:t>
            </w:r>
            <w:r>
              <w:rPr>
                <w:rFonts w:hint="default" w:ascii="Times New Roman" w:hAnsi="Times New Roman" w:eastAsia="宋体" w:cs="Times New Roman"/>
                <w:bCs/>
                <w:color w:val="auto"/>
                <w:sz w:val="24"/>
                <w:lang w:val="en-US" w:eastAsia="zh-CN"/>
              </w:rPr>
              <w:t>危险废物经营单位需制定废物入场控制措施，并不得接受核准经营许可以外的种类；贮存设施周转的累积贮存量不得超过年许可经营能力的六分之一，贮存期限原则上不得超过三个月。</w:t>
            </w:r>
          </w:p>
          <w:p w14:paraId="1B4C85B9">
            <w:pPr>
              <w:keepNext w:val="0"/>
              <w:keepLines w:val="0"/>
              <w:pageBreakBefore w:val="0"/>
              <w:widowControl w:val="0"/>
              <w:kinsoku/>
              <w:wordWrap/>
              <w:overflowPunct/>
              <w:topLinePunct w:val="0"/>
              <w:autoSpaceDE/>
              <w:autoSpaceDN/>
              <w:bidi w:val="0"/>
              <w:adjustRightInd w:val="0"/>
              <w:snapToGrid w:val="0"/>
              <w:spacing w:line="500" w:lineRule="exact"/>
              <w:ind w:right="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废活性炭贮存周期为</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个月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拟采用吨袋密封储存，每只塑料袋占地面积约为1m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，废活性炭按照产生量</w:t>
            </w:r>
            <w:r>
              <w:rPr>
                <w:rFonts w:hint="eastAsia" w:cs="Times New Roman"/>
                <w:color w:val="auto"/>
                <w:sz w:val="24"/>
                <w:szCs w:val="24"/>
                <w:lang w:val="en-US" w:eastAsia="zh-CN"/>
              </w:rPr>
              <w:t>0.66</w:t>
            </w:r>
            <w:r>
              <w:rPr>
                <w:rFonts w:hint="default" w:ascii="Times New Roman" w:hAnsi="Times New Roman" w:eastAsia="宋体" w:cs="Times New Roman"/>
                <w:color w:val="auto"/>
                <w:sz w:val="24"/>
                <w:szCs w:val="24"/>
              </w:rPr>
              <w:t>t/次计算，约需要</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个吨袋，总占地面积约</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14:paraId="3D9930FB">
            <w:pPr>
              <w:keepNext w:val="0"/>
              <w:keepLines w:val="0"/>
              <w:pageBreakBefore w:val="0"/>
              <w:widowControl w:val="0"/>
              <w:kinsoku/>
              <w:wordWrap/>
              <w:overflowPunct/>
              <w:topLinePunct w:val="0"/>
              <w:autoSpaceDE/>
              <w:autoSpaceDN/>
              <w:bidi w:val="0"/>
              <w:adjustRightInd w:val="0"/>
              <w:snapToGrid w:val="0"/>
              <w:spacing w:line="500" w:lineRule="exact"/>
              <w:ind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废液压油</w:t>
            </w:r>
            <w:r>
              <w:rPr>
                <w:rFonts w:hint="default" w:ascii="Times New Roman" w:hAnsi="Times New Roman" w:eastAsia="宋体" w:cs="Times New Roman"/>
                <w:color w:val="auto"/>
                <w:sz w:val="24"/>
                <w:szCs w:val="24"/>
              </w:rPr>
              <w:t>贮存周期为</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个月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采用</w:t>
            </w:r>
            <w:r>
              <w:rPr>
                <w:rFonts w:hint="eastAsia" w:cs="Times New Roman"/>
                <w:color w:val="auto"/>
                <w:sz w:val="24"/>
                <w:szCs w:val="24"/>
                <w:lang w:val="en-US" w:eastAsia="zh-CN"/>
              </w:rPr>
              <w:t>200</w:t>
            </w:r>
            <w:r>
              <w:rPr>
                <w:rFonts w:hint="default" w:ascii="Times New Roman" w:hAnsi="Times New Roman" w:eastAsia="宋体" w:cs="Times New Roman"/>
                <w:color w:val="auto"/>
                <w:sz w:val="24"/>
                <w:szCs w:val="24"/>
              </w:rPr>
              <w:t>kg的</w:t>
            </w:r>
            <w:r>
              <w:rPr>
                <w:rFonts w:hint="default" w:ascii="Times New Roman" w:hAnsi="Times New Roman" w:eastAsia="宋体" w:cs="Times New Roman"/>
                <w:color w:val="auto"/>
                <w:sz w:val="24"/>
                <w:szCs w:val="24"/>
                <w:lang w:val="en-US" w:eastAsia="zh-CN"/>
              </w:rPr>
              <w:t>塑封</w:t>
            </w:r>
            <w:r>
              <w:rPr>
                <w:rFonts w:hint="eastAsia" w:cs="Times New Roman"/>
                <w:color w:val="auto"/>
                <w:sz w:val="24"/>
                <w:szCs w:val="24"/>
                <w:lang w:val="en-US" w:eastAsia="zh-CN"/>
              </w:rPr>
              <w:t>桶</w:t>
            </w:r>
            <w:r>
              <w:rPr>
                <w:rFonts w:hint="default" w:ascii="Times New Roman" w:hAnsi="Times New Roman" w:eastAsia="宋体" w:cs="Times New Roman"/>
                <w:color w:val="auto"/>
                <w:sz w:val="24"/>
                <w:szCs w:val="24"/>
              </w:rPr>
              <w:t>储存，每只</w:t>
            </w:r>
            <w:r>
              <w:rPr>
                <w:rFonts w:hint="default" w:ascii="Times New Roman" w:hAnsi="Times New Roman" w:eastAsia="宋体" w:cs="Times New Roman"/>
                <w:color w:val="auto"/>
                <w:sz w:val="24"/>
                <w:szCs w:val="24"/>
                <w:lang w:val="en-US" w:eastAsia="zh-CN"/>
              </w:rPr>
              <w:t>塑封</w:t>
            </w:r>
            <w:r>
              <w:rPr>
                <w:rFonts w:hint="eastAsia" w:cs="Times New Roman"/>
                <w:color w:val="auto"/>
                <w:sz w:val="24"/>
                <w:szCs w:val="24"/>
                <w:lang w:val="en-US" w:eastAsia="zh-CN"/>
              </w:rPr>
              <w:t>桶</w:t>
            </w:r>
            <w:r>
              <w:rPr>
                <w:rFonts w:hint="default" w:ascii="Times New Roman" w:hAnsi="Times New Roman" w:eastAsia="宋体" w:cs="Times New Roman"/>
                <w:color w:val="auto"/>
                <w:sz w:val="24"/>
                <w:szCs w:val="24"/>
              </w:rPr>
              <w:t>占地面积约为0.</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最大</w:t>
            </w:r>
            <w:r>
              <w:rPr>
                <w:rFonts w:hint="default" w:ascii="Times New Roman" w:hAnsi="Times New Roman" w:eastAsia="宋体" w:cs="Times New Roman"/>
                <w:color w:val="auto"/>
                <w:sz w:val="24"/>
                <w:szCs w:val="24"/>
              </w:rPr>
              <w:t>储存量约为</w:t>
            </w:r>
            <w:r>
              <w:rPr>
                <w:rFonts w:hint="eastAsia" w:cs="Times New Roman"/>
                <w:color w:val="auto"/>
                <w:sz w:val="24"/>
                <w:szCs w:val="24"/>
                <w:lang w:val="en-US" w:eastAsia="zh-CN"/>
              </w:rPr>
              <w:t>0.18</w:t>
            </w:r>
            <w:r>
              <w:rPr>
                <w:rFonts w:hint="default" w:ascii="Times New Roman" w:hAnsi="Times New Roman" w:eastAsia="宋体" w:cs="Times New Roman"/>
                <w:color w:val="auto"/>
                <w:sz w:val="24"/>
                <w:szCs w:val="24"/>
              </w:rPr>
              <w:t>t/次，所需暂存面积约为</w:t>
            </w:r>
            <w:r>
              <w:rPr>
                <w:rFonts w:hint="eastAsia" w:cs="Times New Roman"/>
                <w:color w:val="auto"/>
                <w:sz w:val="24"/>
                <w:szCs w:val="24"/>
                <w:lang w:val="en-US" w:eastAsia="zh-CN"/>
              </w:rPr>
              <w:t>0.2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14:paraId="178EB47F">
            <w:pPr>
              <w:keepNext w:val="0"/>
              <w:keepLines w:val="0"/>
              <w:pageBreakBefore w:val="0"/>
              <w:widowControl w:val="0"/>
              <w:kinsoku/>
              <w:wordWrap/>
              <w:overflowPunct/>
              <w:topLinePunct w:val="0"/>
              <w:autoSpaceDE/>
              <w:autoSpaceDN/>
              <w:bidi w:val="0"/>
              <w:adjustRightInd w:val="0"/>
              <w:snapToGrid w:val="0"/>
              <w:spacing w:line="500" w:lineRule="exact"/>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w:t>
            </w:r>
            <w:r>
              <w:rPr>
                <w:rFonts w:hint="eastAsia" w:ascii="Times New Roman" w:hAnsi="Times New Roman" w:eastAsia="宋体" w:cs="Times New Roman"/>
                <w:color w:val="auto"/>
                <w:sz w:val="24"/>
                <w:szCs w:val="24"/>
                <w:lang w:val="en-US" w:eastAsia="zh-CN"/>
              </w:rPr>
              <w:t>油</w:t>
            </w:r>
            <w:r>
              <w:rPr>
                <w:rFonts w:hint="default" w:ascii="Times New Roman" w:hAnsi="Times New Roman" w:eastAsia="宋体" w:cs="Times New Roman"/>
                <w:color w:val="auto"/>
                <w:sz w:val="24"/>
                <w:szCs w:val="24"/>
                <w:lang w:val="en-US" w:eastAsia="zh-CN"/>
              </w:rPr>
              <w:t>桶</w:t>
            </w:r>
            <w:r>
              <w:rPr>
                <w:rFonts w:hint="default" w:ascii="Times New Roman" w:hAnsi="Times New Roman" w:eastAsia="宋体" w:cs="Times New Roman"/>
                <w:color w:val="auto"/>
                <w:sz w:val="24"/>
                <w:szCs w:val="24"/>
              </w:rPr>
              <w:t>贮存周期为</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个月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每只</w:t>
            </w:r>
            <w:r>
              <w:rPr>
                <w:rFonts w:hint="default" w:ascii="Times New Roman" w:hAnsi="Times New Roman" w:eastAsia="宋体" w:cs="Times New Roman"/>
                <w:color w:val="auto"/>
                <w:sz w:val="24"/>
                <w:szCs w:val="24"/>
                <w:lang w:val="en-US" w:eastAsia="zh-CN"/>
              </w:rPr>
              <w:t>废</w:t>
            </w:r>
            <w:r>
              <w:rPr>
                <w:rFonts w:hint="eastAsia" w:ascii="Times New Roman" w:hAnsi="Times New Roman" w:eastAsia="宋体" w:cs="Times New Roman"/>
                <w:color w:val="auto"/>
                <w:sz w:val="24"/>
                <w:szCs w:val="24"/>
                <w:lang w:val="en-US" w:eastAsia="zh-CN"/>
              </w:rPr>
              <w:t>油</w:t>
            </w:r>
            <w:r>
              <w:rPr>
                <w:rFonts w:hint="default" w:ascii="Times New Roman" w:hAnsi="Times New Roman" w:eastAsia="宋体" w:cs="Times New Roman"/>
                <w:color w:val="auto"/>
                <w:sz w:val="24"/>
                <w:szCs w:val="24"/>
                <w:lang w:val="en-US" w:eastAsia="zh-CN"/>
              </w:rPr>
              <w:t>桶</w:t>
            </w:r>
            <w:r>
              <w:rPr>
                <w:rFonts w:hint="default" w:ascii="Times New Roman" w:hAnsi="Times New Roman" w:eastAsia="宋体" w:cs="Times New Roman"/>
                <w:color w:val="auto"/>
                <w:sz w:val="24"/>
                <w:szCs w:val="24"/>
              </w:rPr>
              <w:t>占地面积约为0.</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废</w:t>
            </w:r>
            <w:r>
              <w:rPr>
                <w:rFonts w:hint="eastAsia" w:ascii="Times New Roman" w:hAnsi="Times New Roman" w:eastAsia="宋体" w:cs="Times New Roman"/>
                <w:color w:val="auto"/>
                <w:sz w:val="24"/>
                <w:szCs w:val="24"/>
                <w:lang w:val="en-US" w:eastAsia="zh-CN"/>
              </w:rPr>
              <w:t>油</w:t>
            </w:r>
            <w:r>
              <w:rPr>
                <w:rFonts w:hint="default" w:ascii="Times New Roman" w:hAnsi="Times New Roman" w:eastAsia="宋体" w:cs="Times New Roman"/>
                <w:color w:val="auto"/>
                <w:sz w:val="24"/>
                <w:szCs w:val="24"/>
                <w:lang w:val="en-US" w:eastAsia="zh-CN"/>
              </w:rPr>
              <w:t>桶</w:t>
            </w:r>
            <w:r>
              <w:rPr>
                <w:rFonts w:hint="eastAsia" w:ascii="Times New Roman" w:hAnsi="Times New Roman" w:eastAsia="宋体" w:cs="Times New Roman"/>
                <w:color w:val="auto"/>
                <w:sz w:val="24"/>
                <w:szCs w:val="24"/>
                <w:lang w:val="en-US" w:eastAsia="zh-CN"/>
              </w:rPr>
              <w:t>最大</w:t>
            </w:r>
            <w:r>
              <w:rPr>
                <w:rFonts w:hint="default" w:ascii="Times New Roman" w:hAnsi="Times New Roman" w:eastAsia="宋体" w:cs="Times New Roman"/>
                <w:color w:val="auto"/>
                <w:sz w:val="24"/>
                <w:szCs w:val="24"/>
              </w:rPr>
              <w:t>储存量约为</w:t>
            </w:r>
            <w:r>
              <w:rPr>
                <w:rFonts w:hint="eastAsia" w:cs="Times New Roman"/>
                <w:color w:val="auto"/>
                <w:sz w:val="24"/>
                <w:szCs w:val="24"/>
                <w:lang w:val="en-US" w:eastAsia="zh-CN"/>
              </w:rPr>
              <w:t>2个</w:t>
            </w:r>
            <w:r>
              <w:rPr>
                <w:rFonts w:hint="default" w:ascii="Times New Roman" w:hAnsi="Times New Roman" w:eastAsia="宋体" w:cs="Times New Roman"/>
                <w:color w:val="auto"/>
                <w:sz w:val="24"/>
                <w:szCs w:val="24"/>
              </w:rPr>
              <w:t>/次，所需暂存面积约为</w:t>
            </w:r>
            <w:r>
              <w:rPr>
                <w:rFonts w:hint="eastAsia" w:cs="Times New Roman"/>
                <w:color w:val="auto"/>
                <w:sz w:val="24"/>
                <w:szCs w:val="24"/>
                <w:lang w:val="en-US" w:eastAsia="zh-CN"/>
              </w:rPr>
              <w:t>0.4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14:paraId="31FFA1C6">
            <w:pPr>
              <w:pStyle w:val="8"/>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auto"/>
              <w:rPr>
                <w:rFonts w:hint="default"/>
                <w:color w:val="auto"/>
                <w:sz w:val="24"/>
                <w:szCs w:val="24"/>
              </w:rPr>
            </w:pPr>
            <w:r>
              <w:rPr>
                <w:rFonts w:hint="eastAsia" w:ascii="Times New Roman" w:hAnsi="Times New Roman" w:eastAsia="宋体" w:cs="Times New Roman"/>
                <w:color w:val="auto"/>
                <w:sz w:val="24"/>
                <w:szCs w:val="24"/>
                <w:lang w:val="en-US" w:eastAsia="zh-CN"/>
              </w:rPr>
              <w:t>含油废抹布手套</w:t>
            </w:r>
            <w:r>
              <w:rPr>
                <w:rFonts w:hint="default" w:ascii="Times New Roman" w:hAnsi="Times New Roman" w:eastAsia="宋体" w:cs="Times New Roman"/>
                <w:color w:val="auto"/>
                <w:sz w:val="24"/>
                <w:szCs w:val="24"/>
              </w:rPr>
              <w:t>贮存周期为</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个月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拟采用</w:t>
            </w:r>
            <w:r>
              <w:rPr>
                <w:rFonts w:hint="eastAsia" w:ascii="Times New Roman" w:hAnsi="Times New Roman" w:eastAsia="宋体" w:cs="Times New Roman"/>
                <w:color w:val="auto"/>
                <w:sz w:val="24"/>
                <w:szCs w:val="24"/>
                <w:lang w:val="en-US" w:eastAsia="zh-CN"/>
              </w:rPr>
              <w:t>25kg的塑料</w:t>
            </w:r>
            <w:r>
              <w:rPr>
                <w:rFonts w:hint="default" w:ascii="Times New Roman" w:hAnsi="Times New Roman" w:eastAsia="宋体" w:cs="Times New Roman"/>
                <w:color w:val="auto"/>
                <w:sz w:val="24"/>
                <w:szCs w:val="24"/>
              </w:rPr>
              <w:t>袋密封储存，每只塑料袋占地面积约为</w:t>
            </w:r>
            <w:r>
              <w:rPr>
                <w:rFonts w:hint="eastAsia" w:ascii="Times New Roman" w:hAnsi="Times New Roman" w:eastAsia="宋体" w:cs="Times New Roman"/>
                <w:color w:val="auto"/>
                <w:sz w:val="24"/>
                <w:szCs w:val="24"/>
                <w:lang w:val="en-US" w:eastAsia="zh-CN"/>
              </w:rPr>
              <w:t>0.1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含油废抹布手套</w:t>
            </w:r>
            <w:r>
              <w:rPr>
                <w:rFonts w:hint="default" w:ascii="Times New Roman" w:hAnsi="Times New Roman" w:eastAsia="宋体" w:cs="Times New Roman"/>
                <w:color w:val="auto"/>
                <w:sz w:val="24"/>
                <w:szCs w:val="24"/>
              </w:rPr>
              <w:t>按照产生量</w:t>
            </w:r>
            <w:r>
              <w:rPr>
                <w:rFonts w:hint="eastAsia" w:cs="Times New Roman"/>
                <w:color w:val="auto"/>
                <w:sz w:val="24"/>
                <w:szCs w:val="24"/>
                <w:lang w:val="en-US" w:eastAsia="zh-CN"/>
              </w:rPr>
              <w:t>0.013</w:t>
            </w:r>
            <w:r>
              <w:rPr>
                <w:rFonts w:hint="default" w:ascii="Times New Roman" w:hAnsi="Times New Roman" w:eastAsia="宋体" w:cs="Times New Roman"/>
                <w:color w:val="auto"/>
                <w:sz w:val="24"/>
                <w:szCs w:val="24"/>
              </w:rPr>
              <w:t>t/次计算，约需要</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个</w:t>
            </w:r>
            <w:r>
              <w:rPr>
                <w:rFonts w:hint="eastAsia" w:ascii="Times New Roman" w:hAnsi="Times New Roman" w:eastAsia="宋体" w:cs="Times New Roman"/>
                <w:color w:val="auto"/>
                <w:sz w:val="24"/>
                <w:szCs w:val="24"/>
                <w:lang w:val="en-US" w:eastAsia="zh-CN"/>
              </w:rPr>
              <w:t>塑料</w:t>
            </w:r>
            <w:r>
              <w:rPr>
                <w:rFonts w:hint="default" w:ascii="Times New Roman" w:hAnsi="Times New Roman" w:eastAsia="宋体" w:cs="Times New Roman"/>
                <w:color w:val="auto"/>
                <w:sz w:val="24"/>
                <w:szCs w:val="24"/>
              </w:rPr>
              <w:t>袋，总占地面积约</w:t>
            </w:r>
            <w:r>
              <w:rPr>
                <w:rFonts w:hint="eastAsia" w:cs="Times New Roman"/>
                <w:color w:val="auto"/>
                <w:sz w:val="24"/>
                <w:szCs w:val="24"/>
                <w:lang w:val="en-US" w:eastAsia="zh-CN"/>
              </w:rPr>
              <w:t>0.1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14:paraId="0A8C7E5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olor w:val="auto"/>
                <w:sz w:val="24"/>
                <w:szCs w:val="24"/>
                <w:lang w:eastAsia="zh-CN"/>
              </w:rPr>
            </w:pPr>
            <w:r>
              <w:rPr>
                <w:rFonts w:hint="default" w:ascii="Times New Roman" w:hAnsi="Times New Roman" w:eastAsia="宋体" w:cs="Times New Roman"/>
                <w:color w:val="auto"/>
                <w:sz w:val="24"/>
                <w:szCs w:val="24"/>
              </w:rPr>
              <w:t>综上所述，项目</w:t>
            </w:r>
            <w:r>
              <w:rPr>
                <w:rFonts w:hint="default" w:ascii="Times New Roman" w:hAnsi="Times New Roman" w:eastAsia="宋体" w:cs="Times New Roman"/>
                <w:color w:val="auto"/>
                <w:sz w:val="24"/>
                <w:szCs w:val="24"/>
                <w:lang w:eastAsia="zh-CN"/>
              </w:rPr>
              <w:t>建成后</w:t>
            </w:r>
            <w:r>
              <w:rPr>
                <w:rFonts w:hint="default" w:ascii="Times New Roman" w:hAnsi="Times New Roman" w:eastAsia="宋体" w:cs="Times New Roman"/>
                <w:color w:val="auto"/>
                <w:sz w:val="24"/>
                <w:szCs w:val="24"/>
              </w:rPr>
              <w:t>危废共需约</w:t>
            </w:r>
            <w:r>
              <w:rPr>
                <w:rFonts w:hint="eastAsia" w:cs="Times New Roman"/>
                <w:color w:val="auto"/>
                <w:sz w:val="24"/>
                <w:szCs w:val="24"/>
                <w:lang w:val="en-US" w:eastAsia="zh-CN"/>
              </w:rPr>
              <w:t>1.7</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区域暂存，项目</w:t>
            </w:r>
            <w:r>
              <w:rPr>
                <w:rFonts w:hint="default" w:ascii="Times New Roman" w:hAnsi="Times New Roman" w:eastAsia="宋体" w:cs="Times New Roman"/>
                <w:color w:val="auto"/>
                <w:sz w:val="24"/>
                <w:szCs w:val="24"/>
                <w:lang w:val="en-US" w:eastAsia="zh-CN"/>
              </w:rPr>
              <w:t>拟</w:t>
            </w:r>
            <w:r>
              <w:rPr>
                <w:rFonts w:hint="default" w:ascii="Times New Roman" w:hAnsi="Times New Roman" w:eastAsia="宋体" w:cs="Times New Roman"/>
                <w:color w:val="auto"/>
                <w:sz w:val="24"/>
                <w:szCs w:val="24"/>
              </w:rPr>
              <w:t>设置一座</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eastAsia" w:cs="Times New Roman"/>
                <w:color w:val="auto"/>
                <w:sz w:val="24"/>
                <w:szCs w:val="24"/>
                <w:lang w:eastAsia="zh-CN"/>
              </w:rPr>
              <w:t>危废仓库</w:t>
            </w:r>
            <w:r>
              <w:rPr>
                <w:rFonts w:hint="default" w:ascii="Times New Roman" w:hAnsi="Times New Roman" w:eastAsia="宋体" w:cs="Times New Roman"/>
                <w:color w:val="auto"/>
                <w:sz w:val="24"/>
                <w:szCs w:val="24"/>
              </w:rPr>
              <w:t>，可满足本项目危废贮存需求</w:t>
            </w:r>
            <w:r>
              <w:rPr>
                <w:rFonts w:hint="default" w:ascii="Times New Roman" w:hAnsi="Times New Roman" w:eastAsia="宋体" w:cs="Times New Roman"/>
                <w:color w:val="auto"/>
                <w:kern w:val="0"/>
                <w:sz w:val="24"/>
                <w:szCs w:val="24"/>
              </w:rPr>
              <w:t>。</w:t>
            </w:r>
          </w:p>
          <w:p w14:paraId="1F2B0F54">
            <w:pPr>
              <w:pStyle w:val="85"/>
              <w:keepNext w:val="0"/>
              <w:keepLines w:val="0"/>
              <w:pageBreakBefore w:val="0"/>
              <w:widowControl w:val="0"/>
              <w:kinsoku/>
              <w:wordWrap/>
              <w:overflowPunct/>
              <w:topLinePunct w:val="0"/>
              <w:autoSpaceDE w:val="0"/>
              <w:autoSpaceDN w:val="0"/>
              <w:bidi w:val="0"/>
              <w:adjustRightInd w:val="0"/>
              <w:snapToGrid w:val="0"/>
              <w:spacing w:beforeLines="0" w:line="500" w:lineRule="exact"/>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w:t>
            </w:r>
            <w:r>
              <w:rPr>
                <w:rFonts w:hint="eastAsia" w:cs="Times New Roman"/>
                <w:b/>
                <w:color w:val="auto"/>
                <w:sz w:val="21"/>
                <w:szCs w:val="21"/>
                <w:lang w:val="en-US" w:eastAsia="zh-CN"/>
              </w:rPr>
              <w:t>21项目</w:t>
            </w:r>
            <w:r>
              <w:rPr>
                <w:rFonts w:hint="default" w:ascii="Times New Roman" w:hAnsi="Times New Roman" w:eastAsia="宋体" w:cs="Times New Roman"/>
                <w:b/>
                <w:color w:val="auto"/>
                <w:sz w:val="21"/>
                <w:szCs w:val="21"/>
                <w:lang w:val="en-US" w:eastAsia="zh-CN"/>
              </w:rPr>
              <w:t>危险废物贮存场所（设施）基本情况表</w:t>
            </w:r>
          </w:p>
          <w:tbl>
            <w:tblPr>
              <w:tblStyle w:val="27"/>
              <w:tblW w:w="495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79" w:type="dxa"/>
                <w:bottom w:w="0" w:type="dxa"/>
                <w:right w:w="79" w:type="dxa"/>
              </w:tblCellMar>
            </w:tblPr>
            <w:tblGrid>
              <w:gridCol w:w="425"/>
              <w:gridCol w:w="936"/>
              <w:gridCol w:w="1062"/>
              <w:gridCol w:w="874"/>
              <w:gridCol w:w="1310"/>
              <w:gridCol w:w="548"/>
              <w:gridCol w:w="823"/>
              <w:gridCol w:w="918"/>
              <w:gridCol w:w="973"/>
              <w:gridCol w:w="901"/>
            </w:tblGrid>
            <w:tr w14:paraId="031DE9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90" w:hRule="atLeast"/>
                <w:jc w:val="center"/>
              </w:trPr>
              <w:tc>
                <w:tcPr>
                  <w:tcW w:w="242" w:type="pct"/>
                  <w:tcBorders>
                    <w:tl2br w:val="nil"/>
                    <w:tr2bl w:val="nil"/>
                  </w:tcBorders>
                  <w:vAlign w:val="center"/>
                </w:tcPr>
                <w:p w14:paraId="0B25FF0A">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序号</w:t>
                  </w:r>
                </w:p>
              </w:tc>
              <w:tc>
                <w:tcPr>
                  <w:tcW w:w="533" w:type="pct"/>
                  <w:tcBorders>
                    <w:tl2br w:val="nil"/>
                    <w:tr2bl w:val="nil"/>
                  </w:tcBorders>
                  <w:vAlign w:val="center"/>
                </w:tcPr>
                <w:p w14:paraId="1A7CA9EC">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贮存场所（设施）名称</w:t>
                  </w:r>
                </w:p>
              </w:tc>
              <w:tc>
                <w:tcPr>
                  <w:tcW w:w="605" w:type="pct"/>
                  <w:tcBorders>
                    <w:tl2br w:val="nil"/>
                    <w:tr2bl w:val="nil"/>
                  </w:tcBorders>
                  <w:vAlign w:val="center"/>
                </w:tcPr>
                <w:p w14:paraId="4BD81B9F">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危险废物名称</w:t>
                  </w:r>
                </w:p>
              </w:tc>
              <w:tc>
                <w:tcPr>
                  <w:tcW w:w="498" w:type="pct"/>
                  <w:tcBorders>
                    <w:tl2br w:val="nil"/>
                    <w:tr2bl w:val="nil"/>
                  </w:tcBorders>
                  <w:vAlign w:val="center"/>
                </w:tcPr>
                <w:p w14:paraId="466F0D86">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危险废物类别</w:t>
                  </w:r>
                </w:p>
              </w:tc>
              <w:tc>
                <w:tcPr>
                  <w:tcW w:w="746" w:type="pct"/>
                  <w:tcBorders>
                    <w:tl2br w:val="nil"/>
                    <w:tr2bl w:val="nil"/>
                  </w:tcBorders>
                  <w:vAlign w:val="center"/>
                </w:tcPr>
                <w:p w14:paraId="69FD8855">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危险废物代码</w:t>
                  </w:r>
                </w:p>
              </w:tc>
              <w:tc>
                <w:tcPr>
                  <w:tcW w:w="312" w:type="pct"/>
                  <w:tcBorders>
                    <w:tl2br w:val="nil"/>
                    <w:tr2bl w:val="nil"/>
                  </w:tcBorders>
                  <w:vAlign w:val="center"/>
                </w:tcPr>
                <w:p w14:paraId="30FBCC2D">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位置</w:t>
                  </w:r>
                </w:p>
              </w:tc>
              <w:tc>
                <w:tcPr>
                  <w:tcW w:w="469" w:type="pct"/>
                  <w:tcBorders>
                    <w:tl2br w:val="nil"/>
                    <w:tr2bl w:val="nil"/>
                  </w:tcBorders>
                  <w:vAlign w:val="center"/>
                </w:tcPr>
                <w:p w14:paraId="352AE288">
                  <w:pPr>
                    <w:pStyle w:val="8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占地面积（m</w:t>
                  </w:r>
                  <w:r>
                    <w:rPr>
                      <w:rFonts w:hint="default" w:ascii="Times New Roman" w:hAnsi="Times New Roman" w:cs="Times New Roman"/>
                      <w:b/>
                      <w:bCs/>
                      <w:color w:val="auto"/>
                      <w:sz w:val="21"/>
                      <w:szCs w:val="21"/>
                      <w:vertAlign w:val="superscript"/>
                    </w:rPr>
                    <w:t>2</w:t>
                  </w:r>
                  <w:r>
                    <w:rPr>
                      <w:rFonts w:hint="default" w:ascii="Times New Roman" w:hAnsi="Times New Roman" w:cs="Times New Roman"/>
                      <w:b/>
                      <w:bCs/>
                      <w:color w:val="auto"/>
                      <w:sz w:val="21"/>
                      <w:szCs w:val="21"/>
                    </w:rPr>
                    <w:t>）</w:t>
                  </w:r>
                </w:p>
              </w:tc>
              <w:tc>
                <w:tcPr>
                  <w:tcW w:w="523" w:type="pct"/>
                  <w:tcBorders>
                    <w:tl2br w:val="nil"/>
                    <w:tr2bl w:val="nil"/>
                  </w:tcBorders>
                  <w:vAlign w:val="center"/>
                </w:tcPr>
                <w:p w14:paraId="35794788">
                  <w:pPr>
                    <w:pStyle w:val="8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贮存方式</w:t>
                  </w:r>
                </w:p>
              </w:tc>
              <w:tc>
                <w:tcPr>
                  <w:tcW w:w="554" w:type="pct"/>
                  <w:tcBorders>
                    <w:tl2br w:val="nil"/>
                    <w:tr2bl w:val="nil"/>
                  </w:tcBorders>
                  <w:vAlign w:val="center"/>
                </w:tcPr>
                <w:p w14:paraId="1F9287C6">
                  <w:pPr>
                    <w:pStyle w:val="8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贮存</w:t>
                  </w:r>
                </w:p>
                <w:p w14:paraId="6356661D">
                  <w:pPr>
                    <w:pStyle w:val="8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能力（t）</w:t>
                  </w:r>
                </w:p>
              </w:tc>
              <w:tc>
                <w:tcPr>
                  <w:tcW w:w="513" w:type="pct"/>
                  <w:tcBorders>
                    <w:tl2br w:val="nil"/>
                    <w:tr2bl w:val="nil"/>
                  </w:tcBorders>
                  <w:vAlign w:val="center"/>
                </w:tcPr>
                <w:p w14:paraId="5D97EC3F">
                  <w:pPr>
                    <w:pStyle w:val="8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贮存</w:t>
                  </w:r>
                </w:p>
                <w:p w14:paraId="3399F16B">
                  <w:pPr>
                    <w:pStyle w:val="8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周期</w:t>
                  </w:r>
                </w:p>
              </w:tc>
            </w:tr>
            <w:tr w14:paraId="6057B2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42" w:type="pct"/>
                  <w:tcBorders>
                    <w:tl2br w:val="nil"/>
                    <w:tr2bl w:val="nil"/>
                  </w:tcBorders>
                  <w:vAlign w:val="center"/>
                </w:tcPr>
                <w:p w14:paraId="382EA0D2">
                  <w:pPr>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w:t>
                  </w:r>
                </w:p>
              </w:tc>
              <w:tc>
                <w:tcPr>
                  <w:tcW w:w="533" w:type="pct"/>
                  <w:vMerge w:val="restart"/>
                  <w:tcBorders>
                    <w:tl2br w:val="nil"/>
                    <w:tr2bl w:val="nil"/>
                  </w:tcBorders>
                  <w:vAlign w:val="center"/>
                </w:tcPr>
                <w:p w14:paraId="0DDE5DB4">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危废</w:t>
                  </w:r>
                </w:p>
                <w:p w14:paraId="6E2066E6">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仓库</w:t>
                  </w:r>
                </w:p>
              </w:tc>
              <w:tc>
                <w:tcPr>
                  <w:tcW w:w="605" w:type="pct"/>
                  <w:tcBorders>
                    <w:tl2br w:val="nil"/>
                    <w:tr2bl w:val="nil"/>
                  </w:tcBorders>
                  <w:vAlign w:val="center"/>
                </w:tcPr>
                <w:p w14:paraId="0EADB824">
                  <w:pPr>
                    <w:adjustRightInd w:val="0"/>
                    <w:snapToGrid w:val="0"/>
                    <w:jc w:val="center"/>
                    <w:rPr>
                      <w:rFonts w:hint="eastAsia" w:ascii="Times New Roman" w:hAnsi="Times New Roman" w:cs="Times New Roman"/>
                      <w:color w:val="auto"/>
                      <w:szCs w:val="21"/>
                      <w:lang w:eastAsia="zh-CN"/>
                    </w:rPr>
                  </w:pPr>
                  <w:r>
                    <w:rPr>
                      <w:rFonts w:hint="default" w:ascii="Times New Roman" w:hAnsi="Times New Roman" w:eastAsia="宋体" w:cs="Times New Roman"/>
                      <w:color w:val="auto"/>
                      <w:sz w:val="21"/>
                      <w:szCs w:val="21"/>
                      <w:lang w:val="en-US" w:eastAsia="zh-CN"/>
                    </w:rPr>
                    <w:t>废活性炭</w:t>
                  </w:r>
                </w:p>
              </w:tc>
              <w:tc>
                <w:tcPr>
                  <w:tcW w:w="874" w:type="dxa"/>
                  <w:tcBorders>
                    <w:tl2br w:val="nil"/>
                    <w:tr2bl w:val="nil"/>
                  </w:tcBorders>
                  <w:vAlign w:val="center"/>
                </w:tcPr>
                <w:p w14:paraId="2BD06EBE">
                  <w:pPr>
                    <w:snapToGrid w:val="0"/>
                    <w:jc w:val="center"/>
                    <w:rPr>
                      <w:bCs/>
                      <w:color w:val="auto"/>
                      <w:sz w:val="21"/>
                      <w:szCs w:val="21"/>
                    </w:rPr>
                  </w:pPr>
                  <w:r>
                    <w:rPr>
                      <w:rFonts w:hint="default" w:ascii="Times New Roman" w:hAnsi="Times New Roman" w:cs="Times New Roman"/>
                      <w:color w:val="auto"/>
                      <w:sz w:val="21"/>
                      <w:szCs w:val="21"/>
                    </w:rPr>
                    <w:t>HW49</w:t>
                  </w:r>
                </w:p>
              </w:tc>
              <w:tc>
                <w:tcPr>
                  <w:tcW w:w="1310" w:type="dxa"/>
                  <w:tcBorders>
                    <w:tl2br w:val="nil"/>
                    <w:tr2bl w:val="nil"/>
                  </w:tcBorders>
                  <w:vAlign w:val="center"/>
                </w:tcPr>
                <w:p w14:paraId="408091EA">
                  <w:pPr>
                    <w:snapToGrid w:val="0"/>
                    <w:jc w:val="center"/>
                    <w:rPr>
                      <w:bCs/>
                      <w:color w:val="auto"/>
                      <w:sz w:val="21"/>
                      <w:szCs w:val="21"/>
                    </w:rPr>
                  </w:pPr>
                  <w:r>
                    <w:rPr>
                      <w:rFonts w:hint="default" w:ascii="Times New Roman" w:hAnsi="Times New Roman" w:cs="Times New Roman"/>
                      <w:color w:val="auto"/>
                      <w:sz w:val="21"/>
                      <w:szCs w:val="21"/>
                    </w:rPr>
                    <w:t>900-039-49</w:t>
                  </w:r>
                </w:p>
              </w:tc>
              <w:tc>
                <w:tcPr>
                  <w:tcW w:w="312" w:type="pct"/>
                  <w:vMerge w:val="restart"/>
                  <w:tcBorders>
                    <w:tl2br w:val="nil"/>
                    <w:tr2bl w:val="nil"/>
                  </w:tcBorders>
                  <w:vAlign w:val="center"/>
                </w:tcPr>
                <w:p w14:paraId="6E090283">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车间西北侧</w:t>
                  </w:r>
                </w:p>
              </w:tc>
              <w:tc>
                <w:tcPr>
                  <w:tcW w:w="469" w:type="pct"/>
                  <w:vMerge w:val="restart"/>
                  <w:tcBorders>
                    <w:tl2br w:val="nil"/>
                    <w:tr2bl w:val="nil"/>
                  </w:tcBorders>
                  <w:vAlign w:val="center"/>
                </w:tcPr>
                <w:p w14:paraId="193099D8">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w:t>
                  </w:r>
                </w:p>
              </w:tc>
              <w:tc>
                <w:tcPr>
                  <w:tcW w:w="523" w:type="pct"/>
                  <w:vMerge w:val="restart"/>
                  <w:tcBorders>
                    <w:tl2br w:val="nil"/>
                    <w:tr2bl w:val="nil"/>
                  </w:tcBorders>
                  <w:vAlign w:val="center"/>
                </w:tcPr>
                <w:p w14:paraId="3A796744">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贴上标签，密封桶/袋装，分区放置</w:t>
                  </w:r>
                </w:p>
              </w:tc>
              <w:tc>
                <w:tcPr>
                  <w:tcW w:w="554" w:type="pct"/>
                  <w:tcBorders>
                    <w:tl2br w:val="nil"/>
                    <w:tr2bl w:val="nil"/>
                  </w:tcBorders>
                  <w:vAlign w:val="center"/>
                </w:tcPr>
                <w:p w14:paraId="06E252D1">
                  <w:pPr>
                    <w:widowControl/>
                    <w:jc w:val="center"/>
                    <w:rPr>
                      <w:rFonts w:hint="default" w:cs="Times New Roman"/>
                      <w:color w:val="auto"/>
                      <w:kern w:val="0"/>
                      <w:lang w:val="en-US" w:eastAsia="zh-CN"/>
                    </w:rPr>
                  </w:pPr>
                  <w:r>
                    <w:rPr>
                      <w:rFonts w:hint="eastAsia" w:cs="Times New Roman"/>
                      <w:color w:val="auto"/>
                      <w:kern w:val="0"/>
                      <w:lang w:val="en-US" w:eastAsia="zh-CN"/>
                    </w:rPr>
                    <w:t>0.66</w:t>
                  </w:r>
                </w:p>
              </w:tc>
              <w:tc>
                <w:tcPr>
                  <w:tcW w:w="513" w:type="pct"/>
                  <w:tcBorders>
                    <w:tl2br w:val="nil"/>
                    <w:tr2bl w:val="nil"/>
                  </w:tcBorders>
                  <w:vAlign w:val="center"/>
                </w:tcPr>
                <w:p w14:paraId="0A5E6DE5">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3个月</w:t>
                  </w:r>
                </w:p>
              </w:tc>
            </w:tr>
            <w:tr w14:paraId="7D6626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42" w:type="pct"/>
                  <w:tcBorders>
                    <w:tl2br w:val="nil"/>
                    <w:tr2bl w:val="nil"/>
                  </w:tcBorders>
                  <w:vAlign w:val="center"/>
                </w:tcPr>
                <w:p w14:paraId="5766E41B">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w:t>
                  </w:r>
                </w:p>
              </w:tc>
              <w:tc>
                <w:tcPr>
                  <w:tcW w:w="533" w:type="pct"/>
                  <w:vMerge w:val="continue"/>
                  <w:tcBorders>
                    <w:tl2br w:val="nil"/>
                    <w:tr2bl w:val="nil"/>
                  </w:tcBorders>
                  <w:vAlign w:val="center"/>
                </w:tcPr>
                <w:p w14:paraId="54F6F3D8">
                  <w:pPr>
                    <w:jc w:val="center"/>
                    <w:rPr>
                      <w:rFonts w:hint="default" w:ascii="Times New Roman" w:hAnsi="Times New Roman" w:cs="Times New Roman"/>
                      <w:color w:val="auto"/>
                      <w:kern w:val="0"/>
                      <w:szCs w:val="21"/>
                    </w:rPr>
                  </w:pPr>
                </w:p>
              </w:tc>
              <w:tc>
                <w:tcPr>
                  <w:tcW w:w="605" w:type="pct"/>
                  <w:tcBorders>
                    <w:tl2br w:val="nil"/>
                    <w:tr2bl w:val="nil"/>
                  </w:tcBorders>
                  <w:vAlign w:val="center"/>
                </w:tcPr>
                <w:p w14:paraId="55255DA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废液压油</w:t>
                  </w:r>
                </w:p>
              </w:tc>
              <w:tc>
                <w:tcPr>
                  <w:tcW w:w="874" w:type="dxa"/>
                  <w:tcBorders>
                    <w:tl2br w:val="nil"/>
                    <w:tr2bl w:val="nil"/>
                  </w:tcBorders>
                  <w:vAlign w:val="center"/>
                </w:tcPr>
                <w:p w14:paraId="78E23586">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1310" w:type="dxa"/>
                  <w:tcBorders>
                    <w:tl2br w:val="nil"/>
                    <w:tr2bl w:val="nil"/>
                  </w:tcBorders>
                  <w:vAlign w:val="center"/>
                </w:tcPr>
                <w:p w14:paraId="6BF3E387">
                  <w:pPr>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900-218-08</w:t>
                  </w:r>
                </w:p>
              </w:tc>
              <w:tc>
                <w:tcPr>
                  <w:tcW w:w="312" w:type="pct"/>
                  <w:vMerge w:val="continue"/>
                  <w:tcBorders>
                    <w:tl2br w:val="nil"/>
                    <w:tr2bl w:val="nil"/>
                  </w:tcBorders>
                  <w:vAlign w:val="center"/>
                </w:tcPr>
                <w:p w14:paraId="13607F95">
                  <w:pPr>
                    <w:jc w:val="center"/>
                    <w:rPr>
                      <w:rFonts w:hint="default" w:ascii="Times New Roman" w:hAnsi="Times New Roman" w:cs="Times New Roman"/>
                      <w:color w:val="auto"/>
                      <w:kern w:val="0"/>
                      <w:szCs w:val="21"/>
                    </w:rPr>
                  </w:pPr>
                </w:p>
              </w:tc>
              <w:tc>
                <w:tcPr>
                  <w:tcW w:w="469" w:type="pct"/>
                  <w:vMerge w:val="continue"/>
                  <w:tcBorders>
                    <w:tl2br w:val="nil"/>
                    <w:tr2bl w:val="nil"/>
                  </w:tcBorders>
                  <w:vAlign w:val="center"/>
                </w:tcPr>
                <w:p w14:paraId="6AD65BC6">
                  <w:pPr>
                    <w:jc w:val="center"/>
                    <w:rPr>
                      <w:rFonts w:hint="default" w:ascii="Times New Roman" w:hAnsi="Times New Roman" w:cs="Times New Roman"/>
                      <w:color w:val="auto"/>
                      <w:kern w:val="0"/>
                      <w:szCs w:val="21"/>
                    </w:rPr>
                  </w:pPr>
                </w:p>
              </w:tc>
              <w:tc>
                <w:tcPr>
                  <w:tcW w:w="523" w:type="pct"/>
                  <w:vMerge w:val="continue"/>
                  <w:tcBorders>
                    <w:tl2br w:val="nil"/>
                    <w:tr2bl w:val="nil"/>
                  </w:tcBorders>
                  <w:vAlign w:val="center"/>
                </w:tcPr>
                <w:p w14:paraId="5C8CD03F">
                  <w:pPr>
                    <w:jc w:val="center"/>
                    <w:rPr>
                      <w:rFonts w:hint="default" w:ascii="Times New Roman" w:hAnsi="Times New Roman" w:cs="Times New Roman"/>
                      <w:color w:val="auto"/>
                      <w:kern w:val="0"/>
                      <w:szCs w:val="21"/>
                    </w:rPr>
                  </w:pPr>
                </w:p>
              </w:tc>
              <w:tc>
                <w:tcPr>
                  <w:tcW w:w="554" w:type="pct"/>
                  <w:tcBorders>
                    <w:tl2br w:val="nil"/>
                    <w:tr2bl w:val="nil"/>
                  </w:tcBorders>
                  <w:vAlign w:val="center"/>
                </w:tcPr>
                <w:p w14:paraId="7F2586AB">
                  <w:pPr>
                    <w:widowControl/>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0.18</w:t>
                  </w:r>
                </w:p>
              </w:tc>
              <w:tc>
                <w:tcPr>
                  <w:tcW w:w="513" w:type="pct"/>
                  <w:tcBorders>
                    <w:tl2br w:val="nil"/>
                    <w:tr2bl w:val="nil"/>
                  </w:tcBorders>
                  <w:vAlign w:val="center"/>
                </w:tcPr>
                <w:p w14:paraId="357734EE">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3个月</w:t>
                  </w:r>
                </w:p>
              </w:tc>
            </w:tr>
            <w:tr w14:paraId="2622D4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42" w:type="pct"/>
                  <w:tcBorders>
                    <w:tl2br w:val="nil"/>
                    <w:tr2bl w:val="nil"/>
                  </w:tcBorders>
                  <w:vAlign w:val="center"/>
                </w:tcPr>
                <w:p w14:paraId="49D1253B">
                  <w:pPr>
                    <w:jc w:val="center"/>
                    <w:rPr>
                      <w:rFonts w:hint="default" w:cs="Times New Roman"/>
                      <w:color w:val="auto"/>
                      <w:kern w:val="0"/>
                      <w:szCs w:val="21"/>
                      <w:lang w:val="en-US" w:eastAsia="zh-CN"/>
                    </w:rPr>
                  </w:pPr>
                  <w:r>
                    <w:rPr>
                      <w:rFonts w:hint="eastAsia" w:cs="Times New Roman"/>
                      <w:color w:val="auto"/>
                      <w:kern w:val="0"/>
                      <w:szCs w:val="21"/>
                      <w:lang w:val="en-US" w:eastAsia="zh-CN"/>
                    </w:rPr>
                    <w:t>3</w:t>
                  </w:r>
                </w:p>
              </w:tc>
              <w:tc>
                <w:tcPr>
                  <w:tcW w:w="533" w:type="pct"/>
                  <w:vMerge w:val="continue"/>
                  <w:tcBorders>
                    <w:tl2br w:val="nil"/>
                    <w:tr2bl w:val="nil"/>
                  </w:tcBorders>
                  <w:vAlign w:val="center"/>
                </w:tcPr>
                <w:p w14:paraId="0A3CD197">
                  <w:pPr>
                    <w:jc w:val="center"/>
                    <w:rPr>
                      <w:rFonts w:hint="default" w:ascii="Times New Roman" w:hAnsi="Times New Roman" w:cs="Times New Roman"/>
                      <w:color w:val="auto"/>
                      <w:kern w:val="0"/>
                      <w:szCs w:val="21"/>
                    </w:rPr>
                  </w:pPr>
                </w:p>
              </w:tc>
              <w:tc>
                <w:tcPr>
                  <w:tcW w:w="605" w:type="pct"/>
                  <w:tcBorders>
                    <w:tl2br w:val="nil"/>
                    <w:tr2bl w:val="nil"/>
                  </w:tcBorders>
                  <w:vAlign w:val="center"/>
                </w:tcPr>
                <w:p w14:paraId="1310824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废</w:t>
                  </w:r>
                  <w:r>
                    <w:rPr>
                      <w:rFonts w:hint="eastAsia" w:ascii="Times New Roman" w:hAnsi="Times New Roman" w:eastAsia="宋体" w:cs="Times New Roman"/>
                      <w:color w:val="auto"/>
                      <w:sz w:val="21"/>
                      <w:szCs w:val="21"/>
                      <w:lang w:val="en-US" w:eastAsia="zh-CN"/>
                    </w:rPr>
                    <w:t>油</w:t>
                  </w:r>
                  <w:r>
                    <w:rPr>
                      <w:rFonts w:hint="default" w:ascii="Times New Roman" w:hAnsi="Times New Roman" w:eastAsia="宋体" w:cs="Times New Roman"/>
                      <w:color w:val="auto"/>
                      <w:sz w:val="21"/>
                      <w:szCs w:val="21"/>
                      <w:lang w:val="en-US" w:eastAsia="zh-CN"/>
                    </w:rPr>
                    <w:t>桶</w:t>
                  </w:r>
                </w:p>
              </w:tc>
              <w:tc>
                <w:tcPr>
                  <w:tcW w:w="874" w:type="dxa"/>
                  <w:tcBorders>
                    <w:tl2br w:val="nil"/>
                    <w:tr2bl w:val="nil"/>
                  </w:tcBorders>
                  <w:vAlign w:val="center"/>
                </w:tcPr>
                <w:p w14:paraId="5BE6F4FB">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1310" w:type="dxa"/>
                  <w:tcBorders>
                    <w:tl2br w:val="nil"/>
                    <w:tr2bl w:val="nil"/>
                  </w:tcBorders>
                  <w:vAlign w:val="center"/>
                </w:tcPr>
                <w:p w14:paraId="6A389CC9">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900-249-08</w:t>
                  </w:r>
                </w:p>
              </w:tc>
              <w:tc>
                <w:tcPr>
                  <w:tcW w:w="312" w:type="pct"/>
                  <w:vMerge w:val="continue"/>
                  <w:tcBorders>
                    <w:tl2br w:val="nil"/>
                    <w:tr2bl w:val="nil"/>
                  </w:tcBorders>
                  <w:vAlign w:val="center"/>
                </w:tcPr>
                <w:p w14:paraId="7F6975C1">
                  <w:pPr>
                    <w:jc w:val="center"/>
                    <w:rPr>
                      <w:rFonts w:hint="default" w:ascii="Times New Roman" w:hAnsi="Times New Roman" w:cs="Times New Roman"/>
                      <w:color w:val="auto"/>
                      <w:kern w:val="0"/>
                      <w:szCs w:val="21"/>
                    </w:rPr>
                  </w:pPr>
                </w:p>
              </w:tc>
              <w:tc>
                <w:tcPr>
                  <w:tcW w:w="469" w:type="pct"/>
                  <w:vMerge w:val="continue"/>
                  <w:tcBorders>
                    <w:tl2br w:val="nil"/>
                    <w:tr2bl w:val="nil"/>
                  </w:tcBorders>
                  <w:vAlign w:val="center"/>
                </w:tcPr>
                <w:p w14:paraId="776A7FD9">
                  <w:pPr>
                    <w:jc w:val="center"/>
                    <w:rPr>
                      <w:rFonts w:hint="default" w:ascii="Times New Roman" w:hAnsi="Times New Roman" w:cs="Times New Roman"/>
                      <w:color w:val="auto"/>
                      <w:kern w:val="0"/>
                      <w:szCs w:val="21"/>
                    </w:rPr>
                  </w:pPr>
                </w:p>
              </w:tc>
              <w:tc>
                <w:tcPr>
                  <w:tcW w:w="523" w:type="pct"/>
                  <w:vMerge w:val="continue"/>
                  <w:tcBorders>
                    <w:tl2br w:val="nil"/>
                    <w:tr2bl w:val="nil"/>
                  </w:tcBorders>
                  <w:vAlign w:val="center"/>
                </w:tcPr>
                <w:p w14:paraId="0FFCEDBA">
                  <w:pPr>
                    <w:jc w:val="center"/>
                    <w:rPr>
                      <w:rFonts w:hint="default" w:ascii="Times New Roman" w:hAnsi="Times New Roman" w:cs="Times New Roman"/>
                      <w:color w:val="auto"/>
                      <w:kern w:val="0"/>
                      <w:szCs w:val="21"/>
                    </w:rPr>
                  </w:pPr>
                </w:p>
              </w:tc>
              <w:tc>
                <w:tcPr>
                  <w:tcW w:w="554" w:type="pct"/>
                  <w:tcBorders>
                    <w:tl2br w:val="nil"/>
                    <w:tr2bl w:val="nil"/>
                  </w:tcBorders>
                  <w:vAlign w:val="center"/>
                </w:tcPr>
                <w:p w14:paraId="35A41C55">
                  <w:pPr>
                    <w:widowControl/>
                    <w:jc w:val="center"/>
                    <w:rPr>
                      <w:rFonts w:hint="default" w:cs="Times New Roman"/>
                      <w:color w:val="auto"/>
                      <w:kern w:val="0"/>
                      <w:lang w:val="en-US" w:eastAsia="zh-CN"/>
                    </w:rPr>
                  </w:pPr>
                  <w:r>
                    <w:rPr>
                      <w:rFonts w:hint="eastAsia" w:cs="Times New Roman"/>
                      <w:color w:val="auto"/>
                      <w:kern w:val="0"/>
                      <w:lang w:val="en-US" w:eastAsia="zh-CN"/>
                    </w:rPr>
                    <w:t>0.02</w:t>
                  </w:r>
                </w:p>
              </w:tc>
              <w:tc>
                <w:tcPr>
                  <w:tcW w:w="513" w:type="pct"/>
                  <w:tcBorders>
                    <w:tl2br w:val="nil"/>
                    <w:tr2bl w:val="nil"/>
                  </w:tcBorders>
                  <w:vAlign w:val="center"/>
                </w:tcPr>
                <w:p w14:paraId="49E9B310">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3个月</w:t>
                  </w:r>
                </w:p>
              </w:tc>
            </w:tr>
            <w:tr w14:paraId="79F475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42" w:type="pct"/>
                  <w:tcBorders>
                    <w:tl2br w:val="nil"/>
                    <w:tr2bl w:val="nil"/>
                  </w:tcBorders>
                  <w:vAlign w:val="center"/>
                </w:tcPr>
                <w:p w14:paraId="1DFC2A36">
                  <w:pPr>
                    <w:jc w:val="center"/>
                    <w:rPr>
                      <w:rFonts w:hint="default" w:cs="Times New Roman"/>
                      <w:color w:val="auto"/>
                      <w:kern w:val="0"/>
                      <w:szCs w:val="21"/>
                      <w:lang w:val="en-US" w:eastAsia="zh-CN"/>
                    </w:rPr>
                  </w:pPr>
                  <w:r>
                    <w:rPr>
                      <w:rFonts w:hint="eastAsia" w:cs="Times New Roman"/>
                      <w:color w:val="auto"/>
                      <w:kern w:val="0"/>
                      <w:szCs w:val="21"/>
                      <w:lang w:val="en-US" w:eastAsia="zh-CN"/>
                    </w:rPr>
                    <w:t>4</w:t>
                  </w:r>
                </w:p>
              </w:tc>
              <w:tc>
                <w:tcPr>
                  <w:tcW w:w="533" w:type="pct"/>
                  <w:vMerge w:val="continue"/>
                  <w:tcBorders>
                    <w:tl2br w:val="nil"/>
                    <w:tr2bl w:val="nil"/>
                  </w:tcBorders>
                  <w:vAlign w:val="center"/>
                </w:tcPr>
                <w:p w14:paraId="0E41A128">
                  <w:pPr>
                    <w:jc w:val="center"/>
                    <w:rPr>
                      <w:rFonts w:hint="default" w:ascii="Times New Roman" w:hAnsi="Times New Roman" w:cs="Times New Roman"/>
                      <w:color w:val="auto"/>
                      <w:kern w:val="0"/>
                      <w:szCs w:val="21"/>
                    </w:rPr>
                  </w:pPr>
                </w:p>
              </w:tc>
              <w:tc>
                <w:tcPr>
                  <w:tcW w:w="605" w:type="pct"/>
                  <w:tcBorders>
                    <w:tl2br w:val="nil"/>
                    <w:tr2bl w:val="nil"/>
                  </w:tcBorders>
                  <w:vAlign w:val="center"/>
                </w:tcPr>
                <w:p w14:paraId="7A3B3392">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 w:val="21"/>
                      <w:szCs w:val="21"/>
                      <w:lang w:val="en-US" w:eastAsia="zh-CN"/>
                    </w:rPr>
                    <w:t>含油废抹布手套</w:t>
                  </w:r>
                </w:p>
              </w:tc>
              <w:tc>
                <w:tcPr>
                  <w:tcW w:w="874" w:type="dxa"/>
                  <w:tcBorders>
                    <w:tl2br w:val="nil"/>
                    <w:tr2bl w:val="nil"/>
                  </w:tcBorders>
                  <w:vAlign w:val="center"/>
                </w:tcPr>
                <w:p w14:paraId="3BBF658C">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HW49</w:t>
                  </w:r>
                </w:p>
              </w:tc>
              <w:tc>
                <w:tcPr>
                  <w:tcW w:w="1310" w:type="dxa"/>
                  <w:tcBorders>
                    <w:tl2br w:val="nil"/>
                    <w:tr2bl w:val="nil"/>
                  </w:tcBorders>
                  <w:vAlign w:val="center"/>
                </w:tcPr>
                <w:p w14:paraId="083B1C32">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w:t>
                  </w:r>
                  <w:r>
                    <w:rPr>
                      <w:rFonts w:hint="eastAsia" w:ascii="Times New Roman" w:hAnsi="Times New Roman" w:cs="Times New Roman"/>
                      <w:color w:val="auto"/>
                      <w:sz w:val="21"/>
                      <w:szCs w:val="21"/>
                      <w:lang w:val="en-US" w:eastAsia="zh-CN"/>
                    </w:rPr>
                    <w:t>41</w:t>
                  </w:r>
                  <w:r>
                    <w:rPr>
                      <w:rFonts w:hint="default" w:ascii="Times New Roman" w:hAnsi="Times New Roman" w:cs="Times New Roman"/>
                      <w:color w:val="auto"/>
                      <w:sz w:val="21"/>
                      <w:szCs w:val="21"/>
                    </w:rPr>
                    <w:t>-49</w:t>
                  </w:r>
                </w:p>
              </w:tc>
              <w:tc>
                <w:tcPr>
                  <w:tcW w:w="312" w:type="pct"/>
                  <w:vMerge w:val="continue"/>
                  <w:tcBorders>
                    <w:tl2br w:val="nil"/>
                    <w:tr2bl w:val="nil"/>
                  </w:tcBorders>
                  <w:vAlign w:val="center"/>
                </w:tcPr>
                <w:p w14:paraId="739B0E5C">
                  <w:pPr>
                    <w:jc w:val="center"/>
                    <w:rPr>
                      <w:rFonts w:hint="default" w:ascii="Times New Roman" w:hAnsi="Times New Roman" w:cs="Times New Roman"/>
                      <w:color w:val="auto"/>
                      <w:kern w:val="0"/>
                      <w:szCs w:val="21"/>
                    </w:rPr>
                  </w:pPr>
                </w:p>
              </w:tc>
              <w:tc>
                <w:tcPr>
                  <w:tcW w:w="469" w:type="pct"/>
                  <w:vMerge w:val="continue"/>
                  <w:tcBorders>
                    <w:tl2br w:val="nil"/>
                    <w:tr2bl w:val="nil"/>
                  </w:tcBorders>
                  <w:vAlign w:val="center"/>
                </w:tcPr>
                <w:p w14:paraId="0A5F4F8B">
                  <w:pPr>
                    <w:jc w:val="center"/>
                    <w:rPr>
                      <w:rFonts w:hint="default" w:ascii="Times New Roman" w:hAnsi="Times New Roman" w:cs="Times New Roman"/>
                      <w:color w:val="auto"/>
                      <w:kern w:val="0"/>
                      <w:szCs w:val="21"/>
                    </w:rPr>
                  </w:pPr>
                </w:p>
              </w:tc>
              <w:tc>
                <w:tcPr>
                  <w:tcW w:w="523" w:type="pct"/>
                  <w:vMerge w:val="continue"/>
                  <w:tcBorders>
                    <w:tl2br w:val="nil"/>
                    <w:tr2bl w:val="nil"/>
                  </w:tcBorders>
                  <w:vAlign w:val="center"/>
                </w:tcPr>
                <w:p w14:paraId="49215C2F">
                  <w:pPr>
                    <w:jc w:val="center"/>
                    <w:rPr>
                      <w:rFonts w:hint="default" w:ascii="Times New Roman" w:hAnsi="Times New Roman" w:cs="Times New Roman"/>
                      <w:color w:val="auto"/>
                      <w:kern w:val="0"/>
                      <w:szCs w:val="21"/>
                    </w:rPr>
                  </w:pPr>
                </w:p>
              </w:tc>
              <w:tc>
                <w:tcPr>
                  <w:tcW w:w="554" w:type="pct"/>
                  <w:tcBorders>
                    <w:tl2br w:val="nil"/>
                    <w:tr2bl w:val="nil"/>
                  </w:tcBorders>
                  <w:vAlign w:val="center"/>
                </w:tcPr>
                <w:p w14:paraId="1329C2FB">
                  <w:pPr>
                    <w:widowControl/>
                    <w:jc w:val="center"/>
                    <w:rPr>
                      <w:rFonts w:hint="default" w:cs="Times New Roman"/>
                      <w:color w:val="auto"/>
                      <w:kern w:val="0"/>
                      <w:lang w:val="en-US" w:eastAsia="zh-CN"/>
                    </w:rPr>
                  </w:pPr>
                  <w:r>
                    <w:rPr>
                      <w:rFonts w:hint="eastAsia" w:cs="Times New Roman"/>
                      <w:color w:val="auto"/>
                      <w:kern w:val="0"/>
                      <w:lang w:val="en-US" w:eastAsia="zh-CN"/>
                    </w:rPr>
                    <w:t>0.013</w:t>
                  </w:r>
                </w:p>
              </w:tc>
              <w:tc>
                <w:tcPr>
                  <w:tcW w:w="513" w:type="pct"/>
                  <w:tcBorders>
                    <w:tl2br w:val="nil"/>
                    <w:tr2bl w:val="nil"/>
                  </w:tcBorders>
                  <w:vAlign w:val="center"/>
                </w:tcPr>
                <w:p w14:paraId="41B0CD53">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3个月</w:t>
                  </w:r>
                </w:p>
              </w:tc>
            </w:tr>
          </w:tbl>
          <w:p w14:paraId="3D25CC1B">
            <w:pPr>
              <w:pStyle w:val="6"/>
              <w:adjustRightInd w:val="0"/>
              <w:snapToGrid w:val="0"/>
              <w:spacing w:line="500" w:lineRule="exact"/>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5、</w:t>
            </w:r>
            <w:r>
              <w:rPr>
                <w:rFonts w:hint="default" w:ascii="Times New Roman" w:hAnsi="Times New Roman" w:cs="Times New Roman"/>
                <w:b/>
                <w:bCs/>
                <w:color w:val="auto"/>
                <w:sz w:val="24"/>
              </w:rPr>
              <w:t>环境管理要求</w:t>
            </w:r>
          </w:p>
          <w:p w14:paraId="353E9D19">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①</w:t>
            </w:r>
            <w:r>
              <w:rPr>
                <w:rFonts w:hint="default" w:ascii="Times New Roman" w:hAnsi="Times New Roman" w:eastAsia="宋体" w:cs="Times New Roman"/>
                <w:bCs/>
                <w:color w:val="auto"/>
                <w:sz w:val="24"/>
                <w:lang w:eastAsia="zh-CN"/>
              </w:rPr>
              <w:t>危险</w:t>
            </w:r>
            <w:r>
              <w:rPr>
                <w:rFonts w:hint="default" w:ascii="Times New Roman" w:hAnsi="Times New Roman" w:eastAsia="宋体" w:cs="Times New Roman"/>
                <w:bCs/>
                <w:color w:val="auto"/>
                <w:sz w:val="24"/>
                <w:lang w:val="en-US" w:eastAsia="zh-CN"/>
              </w:rPr>
              <w:t>废物</w:t>
            </w:r>
            <w:r>
              <w:rPr>
                <w:rFonts w:hint="default" w:ascii="Times New Roman" w:hAnsi="Times New Roman" w:eastAsia="宋体" w:cs="Times New Roman"/>
                <w:bCs/>
                <w:color w:val="auto"/>
                <w:sz w:val="24"/>
                <w:lang w:eastAsia="zh-CN"/>
              </w:rPr>
              <w:t>管理要求</w:t>
            </w:r>
          </w:p>
          <w:p w14:paraId="28E5D155">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cs="Times New Roman"/>
                <w:bCs/>
                <w:color w:val="auto"/>
                <w:sz w:val="24"/>
              </w:rPr>
              <w:t>根据《</w:t>
            </w:r>
            <w:r>
              <w:rPr>
                <w:rFonts w:hint="eastAsia" w:cs="Times New Roman"/>
                <w:bCs/>
                <w:color w:val="auto"/>
                <w:sz w:val="24"/>
                <w:lang w:val="en-US" w:eastAsia="zh-CN"/>
              </w:rPr>
              <w:t>江苏省固体废物全过程环境监管工作意见</w:t>
            </w:r>
            <w:r>
              <w:rPr>
                <w:rFonts w:hint="default" w:ascii="Times New Roman" w:hAnsi="Times New Roman" w:cs="Times New Roman"/>
                <w:bCs/>
                <w:color w:val="auto"/>
                <w:sz w:val="24"/>
              </w:rPr>
              <w:t>》（</w:t>
            </w:r>
            <w:r>
              <w:rPr>
                <w:rFonts w:hint="default" w:ascii="Times New Roman" w:hAnsi="Times New Roman" w:eastAsia="宋体" w:cs="Times New Roman"/>
                <w:bCs/>
                <w:color w:val="auto"/>
                <w:sz w:val="24"/>
                <w:lang w:eastAsia="zh-CN"/>
              </w:rPr>
              <w:t>苏环办</w:t>
            </w:r>
            <w:r>
              <w:rPr>
                <w:rFonts w:hint="eastAsia" w:cs="Times New Roman"/>
                <w:bCs/>
                <w:color w:val="auto"/>
                <w:sz w:val="24"/>
                <w:lang w:eastAsia="zh-CN"/>
              </w:rPr>
              <w:t>［2024］</w:t>
            </w:r>
            <w:r>
              <w:rPr>
                <w:rFonts w:hint="eastAsia" w:cs="Times New Roman"/>
                <w:bCs/>
                <w:color w:val="auto"/>
                <w:sz w:val="24"/>
                <w:lang w:val="en-US" w:eastAsia="zh-CN"/>
              </w:rPr>
              <w:t>16</w:t>
            </w:r>
            <w:r>
              <w:rPr>
                <w:rFonts w:hint="default" w:ascii="Times New Roman" w:hAnsi="Times New Roman" w:eastAsia="宋体" w:cs="Times New Roman"/>
                <w:bCs/>
                <w:color w:val="auto"/>
                <w:sz w:val="24"/>
                <w:lang w:eastAsia="zh-CN"/>
              </w:rPr>
              <w:t>号）要求：</w:t>
            </w:r>
          </w:p>
          <w:p w14:paraId="2202AF7A">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w:t>
            </w:r>
            <w:r>
              <w:rPr>
                <w:rFonts w:hint="default" w:ascii="Times New Roman" w:hAnsi="Times New Roman" w:eastAsia="宋体" w:cs="Times New Roman"/>
                <w:bCs/>
                <w:color w:val="auto"/>
                <w:sz w:val="24"/>
                <w:szCs w:val="24"/>
                <w:lang w:val="en-US" w:eastAsia="zh-CN"/>
              </w:rPr>
              <w:t>，I级、II级、</w:t>
            </w:r>
            <w:r>
              <w:rPr>
                <w:rFonts w:hint="default" w:ascii="Times New Roman" w:hAnsi="Times New Roman" w:eastAsia="宋体" w:cs="Times New Roman"/>
                <w:bCs/>
                <w:color w:val="auto"/>
                <w:sz w:val="24"/>
                <w:szCs w:val="24"/>
                <w:lang w:val="en-US" w:eastAsia="zh-CN"/>
              </w:rPr>
              <w:fldChar w:fldCharType="begin"/>
            </w:r>
            <w:r>
              <w:rPr>
                <w:rFonts w:hint="default" w:ascii="Times New Roman" w:hAnsi="Times New Roman" w:eastAsia="宋体" w:cs="Times New Roman"/>
                <w:bCs/>
                <w:color w:val="auto"/>
                <w:sz w:val="24"/>
                <w:szCs w:val="24"/>
                <w:lang w:val="en-US" w:eastAsia="zh-CN"/>
              </w:rPr>
              <w:instrText xml:space="preserve"> = 3 \* ROMAN \* MERGEFORMAT </w:instrText>
            </w:r>
            <w:r>
              <w:rPr>
                <w:rFonts w:hint="default" w:ascii="Times New Roman" w:hAnsi="Times New Roman" w:eastAsia="宋体" w:cs="Times New Roman"/>
                <w:bCs/>
                <w:color w:val="auto"/>
                <w:sz w:val="24"/>
                <w:szCs w:val="24"/>
                <w:lang w:val="en-US" w:eastAsia="zh-CN"/>
              </w:rPr>
              <w:fldChar w:fldCharType="separate"/>
            </w:r>
            <w:r>
              <w:rPr>
                <w:color w:val="auto"/>
                <w:sz w:val="24"/>
                <w:szCs w:val="24"/>
              </w:rPr>
              <w:t>III</w:t>
            </w:r>
            <w:r>
              <w:rPr>
                <w:rFonts w:hint="default" w:ascii="Times New Roman" w:hAnsi="Times New Roman" w:eastAsia="宋体" w:cs="Times New Roman"/>
                <w:bCs/>
                <w:color w:val="auto"/>
                <w:sz w:val="24"/>
                <w:szCs w:val="24"/>
                <w:lang w:val="en-US" w:eastAsia="zh-CN"/>
              </w:rPr>
              <w:fldChar w:fldCharType="end"/>
            </w:r>
            <w:r>
              <w:rPr>
                <w:rFonts w:hint="default" w:ascii="Times New Roman" w:hAnsi="Times New Roman" w:eastAsia="宋体" w:cs="Times New Roman"/>
                <w:bCs/>
                <w:color w:val="auto"/>
                <w:sz w:val="24"/>
                <w:szCs w:val="24"/>
                <w:lang w:val="en-US" w:eastAsia="zh-CN"/>
              </w:rPr>
              <w:t>级危险</w:t>
            </w:r>
            <w:r>
              <w:rPr>
                <w:rFonts w:hint="default" w:ascii="Times New Roman" w:hAnsi="Times New Roman" w:eastAsia="宋体" w:cs="Times New Roman"/>
                <w:bCs/>
                <w:color w:val="auto"/>
                <w:sz w:val="24"/>
                <w:lang w:val="en-US" w:eastAsia="zh-CN"/>
              </w:rPr>
              <w:t>废物贮存时间分别不得超过30天、60天、90天，最大贮存量不得超过1吨。</w:t>
            </w:r>
          </w:p>
          <w:p w14:paraId="586D59BC">
            <w:pPr>
              <w:adjustRightInd w:val="0"/>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w:t>
            </w:r>
          </w:p>
          <w:p w14:paraId="3A4D9533">
            <w:pPr>
              <w:adjustRightInd w:val="0"/>
              <w:snapToGrid w:val="0"/>
              <w:spacing w:line="500" w:lineRule="exact"/>
              <w:rPr>
                <w:rFonts w:hint="default" w:ascii="Times New Roman" w:hAnsi="Times New Roman" w:cs="Times New Roman"/>
                <w:color w:val="auto"/>
              </w:rPr>
            </w:pPr>
            <w:r>
              <w:rPr>
                <w:rFonts w:hint="default" w:ascii="Times New Roman" w:hAnsi="Times New Roman" w:eastAsia="宋体" w:cs="Times New Roman"/>
                <w:bCs/>
                <w:color w:val="auto"/>
                <w:sz w:val="24"/>
                <w:lang w:val="en-US" w:eastAsia="zh-CN"/>
              </w:rPr>
              <w:t>危废焚烧处置设施的单位要依法及时公开二燃室温度等工况运行指标以及污染物排放指标、浓度等有关信息，并联网至属地生态环境部门。危险废物经营单位应同步公开许可证、许可条件等全文信息</w:t>
            </w:r>
            <w:r>
              <w:rPr>
                <w:rFonts w:hint="default" w:ascii="Times New Roman" w:hAnsi="Times New Roman" w:cs="Times New Roman"/>
                <w:color w:val="auto"/>
                <w:kern w:val="0"/>
                <w:sz w:val="24"/>
              </w:rPr>
              <w:t>。</w:t>
            </w:r>
          </w:p>
          <w:p w14:paraId="7FBB31A1">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②</w:t>
            </w:r>
            <w:r>
              <w:rPr>
                <w:rFonts w:hint="default" w:ascii="Times New Roman" w:hAnsi="Times New Roman" w:eastAsia="宋体" w:cs="Times New Roman"/>
                <w:bCs/>
                <w:color w:val="auto"/>
                <w:sz w:val="24"/>
                <w:lang w:eastAsia="zh-CN"/>
              </w:rPr>
              <w:t>一般工业固废管理要求</w:t>
            </w:r>
          </w:p>
          <w:p w14:paraId="4B459C21">
            <w:pPr>
              <w:pStyle w:val="6"/>
              <w:adjustRightInd w:val="0"/>
              <w:snapToGrid w:val="0"/>
              <w:spacing w:line="500" w:lineRule="exact"/>
              <w:ind w:firstLine="480" w:firstLineChars="200"/>
              <w:rPr>
                <w:rFonts w:hint="default" w:ascii="Times New Roman" w:hAnsi="Times New Roman" w:eastAsia="宋体" w:cs="Times New Roman"/>
                <w:color w:val="auto"/>
                <w:kern w:val="0"/>
                <w:sz w:val="24"/>
              </w:rPr>
            </w:pPr>
            <w:r>
              <w:rPr>
                <w:rFonts w:hint="eastAsia" w:ascii="Times New Roman" w:hAnsi="Times New Roman" w:cs="Times New Roman"/>
                <w:bCs/>
                <w:color w:val="auto"/>
                <w:sz w:val="24"/>
                <w:lang w:eastAsia="zh-CN"/>
              </w:rPr>
              <w:t>一般固废仓库</w:t>
            </w:r>
            <w:r>
              <w:rPr>
                <w:rFonts w:hint="eastAsia" w:ascii="Times New Roman" w:hAnsi="Times New Roman" w:cs="Times New Roman"/>
                <w:bCs/>
                <w:color w:val="auto"/>
                <w:sz w:val="24"/>
                <w:lang w:val="en-US" w:eastAsia="zh-CN"/>
              </w:rPr>
              <w:t>满足防渗漏、防雨淋、防扬尘的环境管理要求</w:t>
            </w:r>
            <w:r>
              <w:rPr>
                <w:rFonts w:hint="default" w:ascii="Times New Roman" w:hAnsi="Times New Roman" w:cs="Times New Roman"/>
                <w:color w:val="auto"/>
                <w:kern w:val="0"/>
                <w:sz w:val="24"/>
              </w:rPr>
              <w:t>，</w:t>
            </w:r>
            <w:r>
              <w:rPr>
                <w:rFonts w:hint="default" w:ascii="Times New Roman" w:hAnsi="Times New Roman" w:cs="Times New Roman"/>
                <w:color w:val="auto"/>
                <w:sz w:val="24"/>
              </w:rPr>
              <w:t>边角料</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次品、废包装袋</w:t>
            </w:r>
            <w:r>
              <w:rPr>
                <w:rFonts w:hint="default" w:ascii="Times New Roman" w:hAnsi="Times New Roman" w:cs="Times New Roman"/>
                <w:color w:val="auto"/>
                <w:kern w:val="0"/>
                <w:sz w:val="24"/>
                <w:szCs w:val="24"/>
              </w:rPr>
              <w:t>收集后分别送至一般固废暂</w:t>
            </w:r>
            <w:r>
              <w:rPr>
                <w:rFonts w:hint="default" w:ascii="Times New Roman" w:hAnsi="Times New Roman" w:eastAsia="宋体" w:cs="Times New Roman"/>
                <w:color w:val="auto"/>
                <w:kern w:val="0"/>
                <w:sz w:val="24"/>
                <w:szCs w:val="24"/>
              </w:rPr>
              <w:t>存场所进行分类暂存，杜绝混合存放。</w:t>
            </w:r>
          </w:p>
          <w:p w14:paraId="4BEF3083">
            <w:pPr>
              <w:pStyle w:val="6"/>
              <w:adjustRightInd w:val="0"/>
              <w:snapToGrid w:val="0"/>
              <w:spacing w:line="500" w:lineRule="exact"/>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企业在做好废物产生、收集、贮运、处置各环节的措施及厂内管理后，固废均能得到合理、有效</w:t>
            </w:r>
            <w:r>
              <w:rPr>
                <w:rFonts w:hint="eastAsia" w:ascii="Times New Roman" w:hAnsi="Times New Roman" w:cs="Times New Roman"/>
                <w:color w:val="auto"/>
                <w:kern w:val="0"/>
                <w:sz w:val="24"/>
                <w:lang w:val="en-US" w:eastAsia="zh-CN"/>
              </w:rPr>
              <w:t>地</w:t>
            </w:r>
            <w:r>
              <w:rPr>
                <w:rFonts w:hint="default" w:ascii="Times New Roman" w:hAnsi="Times New Roman" w:eastAsia="宋体" w:cs="Times New Roman"/>
                <w:color w:val="auto"/>
                <w:kern w:val="0"/>
                <w:sz w:val="24"/>
                <w:lang w:val="en-US" w:eastAsia="zh-CN"/>
              </w:rPr>
              <w:t>处置。因此，厂内产生的固体废物经有效处理和处置后对环境影响较小。</w:t>
            </w:r>
          </w:p>
          <w:p w14:paraId="763DE632">
            <w:pPr>
              <w:pStyle w:val="6"/>
              <w:adjustRightInd w:val="0"/>
              <w:snapToGrid w:val="0"/>
              <w:spacing w:line="500" w:lineRule="exact"/>
              <w:ind w:firstLine="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五</w:t>
            </w:r>
            <w:r>
              <w:rPr>
                <w:rFonts w:hint="default" w:ascii="Times New Roman" w:hAnsi="Times New Roman" w:cs="Times New Roman"/>
                <w:b/>
                <w:bCs/>
                <w:color w:val="auto"/>
                <w:sz w:val="24"/>
                <w:szCs w:val="24"/>
              </w:rPr>
              <w:t>、土壤、地下水</w:t>
            </w:r>
          </w:p>
          <w:p w14:paraId="588E5683">
            <w:pPr>
              <w:adjustRightInd w:val="0"/>
              <w:snapToGrid w:val="0"/>
              <w:spacing w:line="500" w:lineRule="exact"/>
              <w:ind w:firstLine="480" w:firstLineChars="200"/>
              <w:rPr>
                <w:rFonts w:hint="default" w:ascii="Times New Roman" w:hAnsi="Times New Roman" w:cs="Times New Roman"/>
                <w:color w:val="auto"/>
                <w:sz w:val="24"/>
              </w:rPr>
            </w:pPr>
            <w:r>
              <w:rPr>
                <w:rFonts w:hint="eastAsia" w:cs="Times New Roman"/>
                <w:color w:val="auto"/>
                <w:sz w:val="24"/>
                <w:lang w:val="en-US" w:eastAsia="zh-CN"/>
              </w:rPr>
              <w:t>1、</w:t>
            </w:r>
            <w:r>
              <w:rPr>
                <w:rFonts w:hint="default" w:ascii="Times New Roman" w:hAnsi="Times New Roman" w:cs="Times New Roman"/>
                <w:color w:val="auto"/>
                <w:sz w:val="24"/>
              </w:rPr>
              <w:t>土壤、地下水环境影响分析</w:t>
            </w:r>
          </w:p>
          <w:p w14:paraId="5347DD57">
            <w:pPr>
              <w:spacing w:line="48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本项目</w:t>
            </w:r>
            <w:r>
              <w:rPr>
                <w:rFonts w:hint="eastAsia" w:cs="Times New Roman"/>
                <w:color w:val="auto"/>
                <w:sz w:val="24"/>
                <w:lang w:val="en-US" w:eastAsia="zh-CN"/>
              </w:rPr>
              <w:t>所租车间地面已硬化</w:t>
            </w:r>
            <w:r>
              <w:rPr>
                <w:rFonts w:hint="default" w:ascii="Times New Roman" w:hAnsi="Times New Roman" w:cs="Times New Roman"/>
                <w:color w:val="auto"/>
                <w:sz w:val="24"/>
              </w:rPr>
              <w:t>。在建设项目正常运行过程中，落实各项污染防渗措施的情况下，本项目不会对当地</w:t>
            </w:r>
            <w:r>
              <w:rPr>
                <w:rFonts w:hint="default" w:ascii="Times New Roman" w:hAnsi="Times New Roman" w:cs="Times New Roman"/>
                <w:color w:val="auto"/>
                <w:sz w:val="24"/>
                <w:lang w:val="en-US" w:eastAsia="zh-CN"/>
              </w:rPr>
              <w:t>土壤及</w:t>
            </w:r>
            <w:r>
              <w:rPr>
                <w:rFonts w:hint="default" w:ascii="Times New Roman" w:hAnsi="Times New Roman" w:cs="Times New Roman"/>
                <w:color w:val="auto"/>
                <w:sz w:val="24"/>
              </w:rPr>
              <w:t>地下水水质产生影响。若产生泄漏，污染物下渗则可能会在厂区及周边较小范围内造成</w:t>
            </w:r>
            <w:r>
              <w:rPr>
                <w:rFonts w:hint="default" w:ascii="Times New Roman" w:hAnsi="Times New Roman" w:cs="Times New Roman"/>
                <w:color w:val="auto"/>
                <w:sz w:val="24"/>
                <w:lang w:val="en-US" w:eastAsia="zh-CN"/>
              </w:rPr>
              <w:t>土壤及地下水</w:t>
            </w:r>
            <w:r>
              <w:rPr>
                <w:rFonts w:hint="default" w:ascii="Times New Roman" w:hAnsi="Times New Roman" w:cs="Times New Roman"/>
                <w:color w:val="auto"/>
                <w:sz w:val="24"/>
              </w:rPr>
              <w:t>水质污染。项目所在地水文地质单元内水力梯度小，水流速度较慢，污染物不易随水流迁移。区域地层以风化基岩为主，透水性较小，污染物在其中迁移距离较小，对地下水基本无影响。</w:t>
            </w:r>
          </w:p>
          <w:p w14:paraId="67AA60B9">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若固体废物不考虑设置废物堆放处或者没有适当的防漏措施，其中的有害组分很容易经过风化、雨水淋溶、地表径流的侵蚀，产生有毒液体渗入土壤，</w:t>
            </w:r>
            <w:r>
              <w:rPr>
                <w:rFonts w:hint="default" w:ascii="Times New Roman" w:hAnsi="Times New Roman" w:cs="Times New Roman"/>
                <w:color w:val="auto"/>
                <w:sz w:val="24"/>
                <w:lang w:val="en-US" w:eastAsia="zh-CN"/>
              </w:rPr>
              <w:t>对土壤环境造成污染</w:t>
            </w:r>
            <w:r>
              <w:rPr>
                <w:rFonts w:hint="default" w:ascii="Times New Roman" w:hAnsi="Times New Roman" w:cs="Times New Roman"/>
                <w:color w:val="auto"/>
                <w:sz w:val="24"/>
              </w:rPr>
              <w:t>。同时这些水分经土壤渗入地下水，对地下水水质也造成污染。本项目设置有危废仓库暂存危险废物，且危险废物仓库采取“三防”（防扬散、防流失、防渗漏）和防腐措施。因此，项目运行期可有效避免由于固废的</w:t>
            </w:r>
            <w:r>
              <w:rPr>
                <w:rFonts w:hint="eastAsia" w:cs="Times New Roman"/>
                <w:color w:val="auto"/>
                <w:sz w:val="24"/>
                <w:lang w:eastAsia="zh-CN"/>
              </w:rPr>
              <w:t>泄漏</w:t>
            </w:r>
            <w:r>
              <w:rPr>
                <w:rFonts w:hint="default" w:ascii="Times New Roman" w:hAnsi="Times New Roman" w:cs="Times New Roman"/>
                <w:color w:val="auto"/>
                <w:sz w:val="24"/>
              </w:rPr>
              <w:t>而造成土壤环境的污染。</w:t>
            </w:r>
          </w:p>
          <w:p w14:paraId="182C122E">
            <w:pPr>
              <w:adjustRightInd w:val="0"/>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大气沉降主要考虑重点重金属、持久性有机污染物（特别是二噁英，典型行业有铅蓄电池和危废焚烧等）、难降解有机污染物（苯系物等）以及最高法司法解释中规定的（主要有危废、剧毒化合物、重金属、农药等持久性有机污染物）。本项目废气不属于重点重金属、持久性有机污染物或难降解有机污染物，大气沉降对土壤基本无影响。</w:t>
            </w:r>
          </w:p>
          <w:p w14:paraId="583A6AD6">
            <w:pPr>
              <w:snapToGrid w:val="0"/>
              <w:spacing w:line="500" w:lineRule="exact"/>
              <w:ind w:firstLine="480" w:firstLineChars="200"/>
              <w:rPr>
                <w:rFonts w:hint="default" w:ascii="Times New Roman" w:hAnsi="Times New Roman" w:cs="Times New Roman"/>
                <w:bCs/>
                <w:color w:val="auto"/>
                <w:sz w:val="24"/>
              </w:rPr>
            </w:pPr>
            <w:r>
              <w:rPr>
                <w:rFonts w:hint="eastAsia" w:cs="Times New Roman"/>
                <w:color w:val="auto"/>
                <w:sz w:val="24"/>
                <w:lang w:val="en-US" w:eastAsia="zh-CN"/>
              </w:rPr>
              <w:t>2、</w:t>
            </w:r>
            <w:r>
              <w:rPr>
                <w:rFonts w:hint="default" w:ascii="Times New Roman" w:hAnsi="Times New Roman" w:cs="Times New Roman"/>
                <w:bCs/>
                <w:color w:val="auto"/>
                <w:sz w:val="24"/>
              </w:rPr>
              <w:t>土壤</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地下水污染防治措施</w:t>
            </w:r>
          </w:p>
          <w:p w14:paraId="66316207">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本项目土壤地下水污染防治措施按照“源头控制、分区防治、污染监控、应急响应”相结合的原则，从污染物的产生、入渗、扩散、应急响应进行控制。</w:t>
            </w:r>
          </w:p>
          <w:p w14:paraId="3A8F9838">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1</w:t>
            </w:r>
            <w:r>
              <w:rPr>
                <w:rFonts w:hint="eastAsia" w:cs="Times New Roman"/>
                <w:bCs/>
                <w:color w:val="auto"/>
                <w:sz w:val="24"/>
                <w:lang w:eastAsia="zh-CN"/>
              </w:rPr>
              <w:t>）</w:t>
            </w:r>
            <w:r>
              <w:rPr>
                <w:rFonts w:hint="default" w:ascii="Times New Roman" w:hAnsi="Times New Roman" w:cs="Times New Roman"/>
                <w:bCs/>
                <w:color w:val="auto"/>
                <w:sz w:val="24"/>
              </w:rPr>
              <w:t>源头控制措施</w:t>
            </w:r>
          </w:p>
          <w:p w14:paraId="727DB818">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以先进工艺、管道、设备、污水储存，尽可能从源头上减少废水产生；严格按照国家相关规范要求，对工艺、管道、设备、污水储存及处理构筑物采取相应的措施，以防止和降低废水的跑、冒、滴、漏，将废水泄漏的环境风险事故降到最低程度。</w:t>
            </w:r>
          </w:p>
          <w:p w14:paraId="542AB2C9">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2</w:t>
            </w:r>
            <w:r>
              <w:rPr>
                <w:rFonts w:hint="eastAsia" w:cs="Times New Roman"/>
                <w:bCs/>
                <w:color w:val="auto"/>
                <w:sz w:val="24"/>
                <w:lang w:eastAsia="zh-CN"/>
              </w:rPr>
              <w:t>）</w:t>
            </w:r>
            <w:r>
              <w:rPr>
                <w:rFonts w:hint="default" w:ascii="Times New Roman" w:hAnsi="Times New Roman" w:cs="Times New Roman"/>
                <w:bCs/>
                <w:color w:val="auto"/>
                <w:sz w:val="24"/>
              </w:rPr>
              <w:t>分区防渗措施</w:t>
            </w:r>
          </w:p>
          <w:p w14:paraId="2E11BC81">
            <w:pPr>
              <w:spacing w:line="500" w:lineRule="exact"/>
              <w:ind w:firstLine="480" w:firstLineChars="200"/>
              <w:rPr>
                <w:rFonts w:hint="default" w:ascii="Times New Roman" w:hAnsi="Times New Roman" w:eastAsia="宋体" w:cs="Times New Roman"/>
                <w:bCs/>
                <w:color w:val="auto"/>
                <w:sz w:val="24"/>
              </w:rPr>
            </w:pPr>
            <w:bookmarkStart w:id="6" w:name="OLE_LINK23"/>
            <w:r>
              <w:rPr>
                <w:rFonts w:hint="default" w:ascii="Times New Roman" w:hAnsi="Times New Roman" w:cs="Times New Roman"/>
                <w:bCs/>
                <w:color w:val="auto"/>
                <w:sz w:val="24"/>
              </w:rPr>
              <w:t>①</w:t>
            </w:r>
            <w:r>
              <w:rPr>
                <w:rFonts w:hint="default" w:ascii="Times New Roman" w:hAnsi="Times New Roman" w:eastAsia="宋体" w:cs="Times New Roman"/>
                <w:bCs/>
                <w:color w:val="auto"/>
                <w:sz w:val="24"/>
              </w:rPr>
              <w:t>重点防渗区</w:t>
            </w:r>
            <w:bookmarkEnd w:id="6"/>
          </w:p>
          <w:p w14:paraId="531A23A3">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本项目建成后，</w:t>
            </w:r>
            <w:r>
              <w:rPr>
                <w:rFonts w:hint="eastAsia" w:ascii="Times New Roman" w:hAnsi="Times New Roman" w:eastAsia="宋体" w:cs="Times New Roman"/>
                <w:bCs/>
                <w:color w:val="auto"/>
                <w:sz w:val="24"/>
                <w:lang w:eastAsia="zh-CN"/>
              </w:rPr>
              <w:t>厂区</w:t>
            </w:r>
            <w:r>
              <w:rPr>
                <w:rFonts w:hint="default" w:ascii="Times New Roman" w:hAnsi="Times New Roman" w:eastAsia="宋体" w:cs="Times New Roman"/>
                <w:bCs/>
                <w:color w:val="auto"/>
                <w:sz w:val="24"/>
              </w:rPr>
              <w:t>重点防渗区</w:t>
            </w:r>
            <w:r>
              <w:rPr>
                <w:rFonts w:hint="eastAsia" w:cs="Times New Roman"/>
                <w:bCs/>
                <w:color w:val="auto"/>
                <w:sz w:val="24"/>
                <w:szCs w:val="24"/>
                <w:lang w:val="en-US" w:eastAsia="zh-CN"/>
              </w:rPr>
              <w:t>主要为</w:t>
            </w:r>
            <w:r>
              <w:rPr>
                <w:rFonts w:hint="eastAsia" w:cs="Times New Roman"/>
                <w:color w:val="auto"/>
                <w:sz w:val="24"/>
                <w:szCs w:val="24"/>
                <w:lang w:val="en-US" w:eastAsia="zh-CN"/>
              </w:rPr>
              <w:t>油品暂存区、</w:t>
            </w:r>
            <w:r>
              <w:rPr>
                <w:rFonts w:hint="eastAsia" w:cs="Times New Roman"/>
                <w:color w:val="auto"/>
                <w:sz w:val="24"/>
                <w:szCs w:val="24"/>
                <w:highlight w:val="none"/>
                <w:lang w:eastAsia="zh-CN"/>
              </w:rPr>
              <w:t>危废仓库</w:t>
            </w:r>
            <w:r>
              <w:rPr>
                <w:rFonts w:hint="default" w:ascii="Times New Roman" w:hAnsi="Times New Roman" w:eastAsia="宋体" w:cs="Times New Roman"/>
                <w:bCs/>
                <w:color w:val="auto"/>
                <w:sz w:val="24"/>
                <w:szCs w:val="24"/>
              </w:rPr>
              <w:t>等。</w:t>
            </w:r>
            <w:r>
              <w:rPr>
                <w:rFonts w:hint="eastAsia" w:cs="Times New Roman"/>
                <w:color w:val="auto"/>
                <w:sz w:val="24"/>
                <w:szCs w:val="24"/>
                <w:lang w:val="en-US" w:eastAsia="zh-CN"/>
              </w:rPr>
              <w:t>油品暂存区、</w:t>
            </w:r>
            <w:r>
              <w:rPr>
                <w:rFonts w:hint="eastAsia" w:cs="Times New Roman"/>
                <w:color w:val="auto"/>
                <w:sz w:val="24"/>
                <w:szCs w:val="24"/>
                <w:highlight w:val="none"/>
                <w:lang w:eastAsia="zh-CN"/>
              </w:rPr>
              <w:t>危废仓库等</w:t>
            </w:r>
            <w:r>
              <w:rPr>
                <w:rFonts w:hint="default" w:ascii="Times New Roman" w:hAnsi="Times New Roman" w:eastAsia="宋体" w:cs="Times New Roman"/>
                <w:bCs/>
                <w:color w:val="auto"/>
                <w:sz w:val="24"/>
                <w:szCs w:val="24"/>
              </w:rPr>
              <w:t>重点防渗区</w:t>
            </w:r>
            <w:r>
              <w:rPr>
                <w:rFonts w:hint="eastAsia" w:eastAsia="宋体" w:cs="Times New Roman"/>
                <w:bCs/>
                <w:color w:val="auto"/>
                <w:sz w:val="24"/>
                <w:szCs w:val="24"/>
                <w:lang w:eastAsia="zh-CN"/>
              </w:rPr>
              <w:t>需</w:t>
            </w:r>
            <w:r>
              <w:rPr>
                <w:rFonts w:hint="eastAsia" w:ascii="Times New Roman" w:hAnsi="Times New Roman" w:eastAsia="宋体" w:cs="Times New Roman"/>
                <w:bCs/>
                <w:color w:val="auto"/>
                <w:sz w:val="24"/>
                <w:szCs w:val="24"/>
                <w:lang w:eastAsia="zh-CN"/>
              </w:rPr>
              <w:t>参照</w:t>
            </w:r>
            <w:r>
              <w:rPr>
                <w:rFonts w:hint="default" w:ascii="Times New Roman" w:hAnsi="Times New Roman" w:eastAsia="宋体" w:cs="Times New Roman"/>
                <w:bCs/>
                <w:color w:val="auto"/>
                <w:sz w:val="24"/>
                <w:szCs w:val="24"/>
              </w:rPr>
              <w:t>《危险废物贮存污染控制标准》（GB18597-2023）进行防渗设计，</w:t>
            </w:r>
            <w:r>
              <w:rPr>
                <w:rFonts w:hint="eastAsia" w:eastAsia="宋体" w:cs="Times New Roman"/>
                <w:bCs/>
                <w:color w:val="auto"/>
                <w:sz w:val="24"/>
                <w:szCs w:val="24"/>
                <w:lang w:eastAsia="zh-CN"/>
              </w:rPr>
              <w:t>设置</w:t>
            </w:r>
            <w:r>
              <w:rPr>
                <w:rFonts w:hint="default" w:ascii="Times New Roman" w:hAnsi="Times New Roman" w:eastAsia="宋体" w:cs="Times New Roman"/>
                <w:bCs/>
                <w:color w:val="auto"/>
                <w:sz w:val="24"/>
                <w:szCs w:val="24"/>
              </w:rPr>
              <w:t>耐腐蚀的硬化地面和基础防渗层</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rPr>
              <w:t>渗透系数小于1.0×10</w:t>
            </w:r>
            <w:r>
              <w:rPr>
                <w:rFonts w:hint="default" w:ascii="Times New Roman" w:hAnsi="Times New Roman" w:eastAsia="宋体" w:cs="Times New Roman"/>
                <w:bCs/>
                <w:color w:val="auto"/>
                <w:sz w:val="24"/>
                <w:vertAlign w:val="superscript"/>
              </w:rPr>
              <w:t>-10</w:t>
            </w:r>
            <w:r>
              <w:rPr>
                <w:rFonts w:hint="default" w:ascii="Times New Roman" w:hAnsi="Times New Roman" w:eastAsia="宋体" w:cs="Times New Roman"/>
                <w:bCs/>
                <w:color w:val="auto"/>
                <w:sz w:val="24"/>
              </w:rPr>
              <w:t>cm/s</w:t>
            </w:r>
            <w:r>
              <w:rPr>
                <w:rFonts w:hint="eastAsia" w:ascii="Times New Roman" w:hAnsi="Times New Roman" w:eastAsia="宋体" w:cs="Times New Roman"/>
                <w:bCs/>
                <w:color w:val="auto"/>
                <w:sz w:val="24"/>
                <w:lang w:eastAsia="zh-CN"/>
              </w:rPr>
              <w:t>；</w:t>
            </w:r>
            <w:r>
              <w:rPr>
                <w:rFonts w:hint="eastAsia" w:cs="Times New Roman"/>
                <w:color w:val="auto"/>
                <w:sz w:val="24"/>
                <w:szCs w:val="24"/>
                <w:highlight w:val="none"/>
                <w:lang w:eastAsia="zh-CN"/>
              </w:rPr>
              <w:t>危废仓库需设置在车间</w:t>
            </w:r>
            <w:r>
              <w:rPr>
                <w:rFonts w:hint="eastAsia" w:ascii="Times New Roman" w:hAnsi="Times New Roman" w:cs="Times New Roman"/>
                <w:color w:val="auto"/>
                <w:sz w:val="24"/>
                <w:szCs w:val="24"/>
                <w:highlight w:val="none"/>
                <w:lang w:eastAsia="zh-CN"/>
              </w:rPr>
              <w:t>内，</w:t>
            </w:r>
            <w:r>
              <w:rPr>
                <w:rFonts w:hint="default" w:ascii="Times New Roman" w:hAnsi="Times New Roman" w:eastAsia="宋体" w:cs="Times New Roman"/>
                <w:bCs/>
                <w:color w:val="auto"/>
                <w:sz w:val="24"/>
              </w:rPr>
              <w:t>具备防风、防雨和防晒功能，并设计径流疏通系统，保证不受25年一遇暴雨的影响。</w:t>
            </w:r>
          </w:p>
          <w:p w14:paraId="48FE0244">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②</w:t>
            </w:r>
            <w:r>
              <w:rPr>
                <w:rFonts w:hint="default" w:ascii="Times New Roman" w:hAnsi="Times New Roman" w:eastAsia="宋体" w:cs="Times New Roman"/>
                <w:bCs/>
                <w:color w:val="auto"/>
                <w:sz w:val="24"/>
              </w:rPr>
              <w:t>一般防渗区</w:t>
            </w:r>
          </w:p>
          <w:p w14:paraId="0E1899F1">
            <w:pPr>
              <w:spacing w:line="500" w:lineRule="exact"/>
              <w:ind w:firstLine="480" w:firstLineChars="200"/>
              <w:rPr>
                <w:rFonts w:hint="eastAsia"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本项目建成后，一般防渗区主要为</w:t>
            </w:r>
            <w:r>
              <w:rPr>
                <w:rFonts w:hint="default" w:ascii="Times New Roman" w:hAnsi="Times New Roman" w:eastAsia="宋体" w:cs="Times New Roman"/>
                <w:bCs/>
                <w:color w:val="auto"/>
                <w:sz w:val="24"/>
                <w:lang w:val="en-US" w:eastAsia="zh-CN"/>
              </w:rPr>
              <w:t>车间</w:t>
            </w:r>
            <w:r>
              <w:rPr>
                <w:rFonts w:hint="eastAsia" w:ascii="Times New Roman" w:hAnsi="Times New Roman" w:eastAsia="宋体" w:cs="Times New Roman"/>
                <w:bCs/>
                <w:color w:val="auto"/>
                <w:sz w:val="24"/>
                <w:lang w:val="en-US" w:eastAsia="zh-CN"/>
              </w:rPr>
              <w:t>、</w:t>
            </w:r>
            <w:r>
              <w:rPr>
                <w:rFonts w:hint="eastAsia" w:cs="Times New Roman"/>
                <w:bCs/>
                <w:color w:val="auto"/>
                <w:sz w:val="24"/>
                <w:lang w:val="en-US" w:eastAsia="zh-CN"/>
              </w:rPr>
              <w:t>仓库、</w:t>
            </w:r>
            <w:r>
              <w:rPr>
                <w:rFonts w:hint="eastAsia" w:cs="Times New Roman"/>
                <w:bCs/>
                <w:color w:val="auto"/>
                <w:sz w:val="24"/>
                <w:lang w:eastAsia="zh-CN"/>
              </w:rPr>
              <w:t>一般固废仓库</w:t>
            </w:r>
            <w:r>
              <w:rPr>
                <w:rFonts w:hint="default" w:ascii="Times New Roman" w:hAnsi="Times New Roman" w:eastAsia="宋体" w:cs="Times New Roman"/>
                <w:bCs/>
                <w:color w:val="auto"/>
                <w:sz w:val="24"/>
              </w:rPr>
              <w:t>等</w:t>
            </w:r>
            <w:r>
              <w:rPr>
                <w:rFonts w:hint="eastAsia" w:cs="Times New Roman"/>
                <w:bCs/>
                <w:color w:val="auto"/>
                <w:sz w:val="24"/>
                <w:lang w:eastAsia="zh-CN"/>
              </w:rPr>
              <w:t>，</w:t>
            </w:r>
            <w:r>
              <w:rPr>
                <w:rFonts w:hint="eastAsia" w:ascii="Times New Roman" w:hAnsi="Times New Roman" w:eastAsia="宋体" w:cs="Times New Roman"/>
                <w:bCs/>
                <w:color w:val="auto"/>
                <w:sz w:val="24"/>
                <w:lang w:val="en-US" w:eastAsia="zh-CN"/>
              </w:rPr>
              <w:t>需按照</w:t>
            </w:r>
            <w:r>
              <w:rPr>
                <w:rFonts w:hint="default" w:ascii="Times New Roman" w:hAnsi="Times New Roman" w:eastAsia="宋体" w:cs="Times New Roman"/>
                <w:bCs/>
                <w:color w:val="auto"/>
                <w:sz w:val="24"/>
              </w:rPr>
              <w:t>一般防渗区</w:t>
            </w:r>
            <w:r>
              <w:rPr>
                <w:rFonts w:hint="eastAsia" w:ascii="Times New Roman" w:hAnsi="Times New Roman" w:eastAsia="宋体" w:cs="Times New Roman"/>
                <w:bCs/>
                <w:color w:val="auto"/>
                <w:sz w:val="24"/>
                <w:lang w:eastAsia="zh-CN"/>
              </w:rPr>
              <w:t>要求采用</w:t>
            </w:r>
            <w:r>
              <w:rPr>
                <w:rFonts w:hint="default" w:ascii="Times New Roman" w:hAnsi="Times New Roman" w:cs="Times New Roman"/>
                <w:bCs/>
                <w:color w:val="auto"/>
                <w:sz w:val="24"/>
              </w:rPr>
              <w:t>人工大理石或水泥防渗结构</w:t>
            </w:r>
            <w:r>
              <w:rPr>
                <w:rFonts w:hint="default" w:ascii="Times New Roman" w:hAnsi="Times New Roman" w:eastAsia="宋体" w:cs="Times New Roman"/>
                <w:bCs/>
                <w:color w:val="auto"/>
                <w:sz w:val="24"/>
              </w:rPr>
              <w:t>，</w:t>
            </w:r>
            <w:r>
              <w:rPr>
                <w:rFonts w:hint="default" w:ascii="Times New Roman" w:hAnsi="Times New Roman" w:cs="Times New Roman"/>
                <w:bCs/>
                <w:color w:val="auto"/>
                <w:sz w:val="24"/>
              </w:rPr>
              <w:t>车间地面全部进行粘土夯实、混凝硬化</w:t>
            </w:r>
            <w:r>
              <w:rPr>
                <w:rFonts w:hint="eastAsia" w:ascii="Times New Roman" w:hAnsi="Times New Roman" w:cs="Times New Roman"/>
                <w:bCs/>
                <w:color w:val="auto"/>
                <w:sz w:val="24"/>
                <w:lang w:eastAsia="zh-CN"/>
              </w:rPr>
              <w:t>，</w:t>
            </w:r>
            <w:r>
              <w:rPr>
                <w:rFonts w:hint="default" w:ascii="Times New Roman" w:hAnsi="Times New Roman" w:eastAsia="宋体" w:cs="Times New Roman"/>
                <w:bCs/>
                <w:color w:val="auto"/>
                <w:sz w:val="24"/>
              </w:rPr>
              <w:t>确保渗透系数≤1.0×10</w:t>
            </w:r>
            <w:r>
              <w:rPr>
                <w:rFonts w:hint="default" w:ascii="Times New Roman" w:hAnsi="Times New Roman" w:eastAsia="宋体" w:cs="Times New Roman"/>
                <w:bCs/>
                <w:color w:val="auto"/>
                <w:sz w:val="24"/>
                <w:vertAlign w:val="superscript"/>
              </w:rPr>
              <w:t>-7</w:t>
            </w:r>
            <w:r>
              <w:rPr>
                <w:rFonts w:hint="default" w:ascii="Times New Roman" w:hAnsi="Times New Roman" w:eastAsia="宋体" w:cs="Times New Roman"/>
                <w:bCs/>
                <w:color w:val="auto"/>
                <w:sz w:val="24"/>
              </w:rPr>
              <w:t>cm/s</w:t>
            </w:r>
            <w:r>
              <w:rPr>
                <w:rFonts w:hint="eastAsia" w:ascii="Times New Roman" w:hAnsi="Times New Roman" w:eastAsia="宋体" w:cs="Times New Roman"/>
                <w:bCs/>
                <w:color w:val="auto"/>
                <w:sz w:val="24"/>
                <w:lang w:eastAsia="zh-CN"/>
              </w:rPr>
              <w:t>。</w:t>
            </w:r>
          </w:p>
          <w:p w14:paraId="02436C9B">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3</w:t>
            </w:r>
            <w:r>
              <w:rPr>
                <w:rFonts w:hint="eastAsia" w:cs="Times New Roman"/>
                <w:bCs/>
                <w:color w:val="auto"/>
                <w:sz w:val="24"/>
                <w:lang w:eastAsia="zh-CN"/>
              </w:rPr>
              <w:t>）</w:t>
            </w:r>
            <w:r>
              <w:rPr>
                <w:rFonts w:hint="default" w:ascii="Times New Roman" w:hAnsi="Times New Roman" w:cs="Times New Roman"/>
                <w:bCs/>
                <w:color w:val="auto"/>
                <w:sz w:val="24"/>
              </w:rPr>
              <w:t>应急处置</w:t>
            </w:r>
          </w:p>
          <w:p w14:paraId="333BDC3B">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当发生异常情况，需要马上采取紧急措施。按照装置制定的环境事故应急预案，启动应急预案。在第一时间内尽快上报主管领导，启动周围社会预案，密切关注地下水水质变化情况。组织专业队伍负责查找环境事故发生地点，分析事故原因，尽量将紧急</w:t>
            </w:r>
            <w:r>
              <w:rPr>
                <w:rFonts w:hint="eastAsia"/>
                <w:color w:val="auto"/>
                <w:sz w:val="24"/>
                <w:szCs w:val="32"/>
                <w:lang w:val="en-US" w:eastAsia="zh-CN"/>
              </w:rPr>
              <w:t>事件</w:t>
            </w:r>
            <w:r>
              <w:rPr>
                <w:rFonts w:hint="default" w:ascii="Times New Roman" w:hAnsi="Times New Roman" w:cs="Times New Roman"/>
                <w:bCs/>
                <w:color w:val="auto"/>
                <w:sz w:val="24"/>
              </w:rPr>
              <w:t>局部化，如可能应予以消除，尽量缩小环境事故对人和财产的影响，减低事故后果的手段，包括切断生产装置或设施。对事故现场</w:t>
            </w:r>
            <w:r>
              <w:rPr>
                <w:rFonts w:hint="eastAsia" w:cs="Times New Roman"/>
                <w:bCs/>
                <w:color w:val="auto"/>
                <w:sz w:val="24"/>
                <w:lang w:val="en-US" w:eastAsia="zh-CN"/>
              </w:rPr>
              <w:t>进行</w:t>
            </w:r>
            <w:r>
              <w:rPr>
                <w:rFonts w:hint="default" w:ascii="Times New Roman" w:hAnsi="Times New Roman" w:cs="Times New Roman"/>
                <w:bCs/>
                <w:color w:val="auto"/>
                <w:sz w:val="24"/>
              </w:rPr>
              <w:t>调查、监测、处理。对事故后果进行评估，采取紧急措施制止事故的扩散、扩大，并制定防止类似事件发生的措施。如果本公司力量不足，需要请求社会应急力量协助。</w:t>
            </w:r>
          </w:p>
          <w:p w14:paraId="3CE87685">
            <w:pPr>
              <w:adjustRightInd w:val="0"/>
              <w:snapToGrid w:val="0"/>
              <w:spacing w:line="500" w:lineRule="exact"/>
              <w:rPr>
                <w:rFonts w:hint="default" w:ascii="Times New Roman" w:hAnsi="Times New Roman" w:cs="Times New Roman"/>
                <w:b/>
                <w:bCs/>
                <w:color w:val="auto"/>
                <w:sz w:val="24"/>
              </w:rPr>
            </w:pPr>
            <w:r>
              <w:rPr>
                <w:rFonts w:hint="eastAsia" w:cs="Times New Roman"/>
                <w:b/>
                <w:bCs/>
                <w:color w:val="auto"/>
                <w:sz w:val="24"/>
                <w:lang w:eastAsia="zh-CN"/>
              </w:rPr>
              <w:t>六</w:t>
            </w:r>
            <w:r>
              <w:rPr>
                <w:rFonts w:hint="default" w:ascii="Times New Roman" w:hAnsi="Times New Roman" w:cs="Times New Roman"/>
                <w:b/>
                <w:bCs/>
                <w:color w:val="auto"/>
                <w:sz w:val="24"/>
              </w:rPr>
              <w:t>、生态</w:t>
            </w:r>
          </w:p>
          <w:p w14:paraId="74B04280">
            <w:pPr>
              <w:adjustRightInd w:val="0"/>
              <w:snapToGrid w:val="0"/>
              <w:spacing w:line="500" w:lineRule="exact"/>
              <w:ind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szCs w:val="22"/>
              </w:rPr>
              <w:t>本项目不在已划定的生态空间管控区域和生态红线区内，无须设置生态保护措施。</w:t>
            </w:r>
          </w:p>
          <w:p w14:paraId="11BA2D3E">
            <w:pPr>
              <w:adjustRightInd w:val="0"/>
              <w:snapToGrid w:val="0"/>
              <w:spacing w:line="500" w:lineRule="exact"/>
              <w:rPr>
                <w:rFonts w:hint="default" w:ascii="Times New Roman" w:hAnsi="Times New Roman" w:cs="Times New Roman"/>
                <w:b/>
                <w:bCs/>
                <w:color w:val="auto"/>
                <w:sz w:val="24"/>
              </w:rPr>
            </w:pPr>
            <w:r>
              <w:rPr>
                <w:rFonts w:hint="eastAsia" w:cs="Times New Roman"/>
                <w:b/>
                <w:bCs/>
                <w:color w:val="auto"/>
                <w:sz w:val="24"/>
                <w:lang w:eastAsia="zh-CN"/>
              </w:rPr>
              <w:t>七</w:t>
            </w:r>
            <w:r>
              <w:rPr>
                <w:rFonts w:hint="default" w:ascii="Times New Roman" w:hAnsi="Times New Roman" w:cs="Times New Roman"/>
                <w:b/>
                <w:bCs/>
                <w:color w:val="auto"/>
                <w:sz w:val="24"/>
              </w:rPr>
              <w:t>、环境风险</w:t>
            </w:r>
          </w:p>
          <w:p w14:paraId="0FD704D8">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1、</w:t>
            </w:r>
            <w:r>
              <w:rPr>
                <w:rFonts w:hint="default" w:ascii="Times New Roman" w:hAnsi="Times New Roman" w:cs="Times New Roman"/>
                <w:bCs/>
                <w:color w:val="auto"/>
                <w:sz w:val="24"/>
              </w:rPr>
              <w:t>风险识别</w:t>
            </w:r>
          </w:p>
          <w:p w14:paraId="489061AB">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本项目涉及的风险物质最大存储量与临界量见下表。</w:t>
            </w:r>
          </w:p>
          <w:p w14:paraId="43FEAB1F">
            <w:pPr>
              <w:spacing w:line="500" w:lineRule="exact"/>
              <w:jc w:val="center"/>
              <w:rPr>
                <w:rFonts w:hint="default" w:ascii="Times New Roman" w:hAnsi="Times New Roman" w:cs="Times New Roman"/>
                <w:b/>
                <w:bCs/>
                <w:color w:val="auto"/>
                <w:szCs w:val="21"/>
                <w:highlight w:val="none"/>
              </w:rPr>
            </w:pPr>
          </w:p>
          <w:p w14:paraId="705F1842">
            <w:pPr>
              <w:spacing w:line="500" w:lineRule="exact"/>
              <w:jc w:val="both"/>
              <w:rPr>
                <w:rFonts w:hint="default" w:ascii="Times New Roman" w:hAnsi="Times New Roman" w:cs="Times New Roman"/>
                <w:b/>
                <w:bCs/>
                <w:color w:val="auto"/>
                <w:szCs w:val="21"/>
                <w:highlight w:val="none"/>
              </w:rPr>
            </w:pPr>
          </w:p>
          <w:p w14:paraId="5EF8D87E">
            <w:pPr>
              <w:spacing w:line="50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-22</w:t>
            </w:r>
            <w:r>
              <w:rPr>
                <w:rFonts w:hint="default" w:ascii="Times New Roman" w:hAnsi="Times New Roman" w:cs="Times New Roman"/>
                <w:b/>
                <w:bCs/>
                <w:color w:val="auto"/>
                <w:szCs w:val="21"/>
                <w:highlight w:val="none"/>
              </w:rPr>
              <w:t>风险物质与临界量比值结果表</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597"/>
              <w:gridCol w:w="1749"/>
              <w:gridCol w:w="1404"/>
              <w:gridCol w:w="1671"/>
              <w:gridCol w:w="1671"/>
            </w:tblGrid>
            <w:tr w14:paraId="3EF522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14:paraId="1FC6DB72">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903" w:type="pct"/>
                  <w:vAlign w:val="center"/>
                </w:tcPr>
                <w:p w14:paraId="7795BFEB">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szCs w:val="21"/>
                    </w:rPr>
                    <w:t>名称</w:t>
                  </w:r>
                </w:p>
              </w:tc>
              <w:tc>
                <w:tcPr>
                  <w:tcW w:w="989" w:type="pct"/>
                  <w:tcBorders>
                    <w:right w:val="single" w:color="000000" w:sz="4" w:space="0"/>
                  </w:tcBorders>
                  <w:vAlign w:val="center"/>
                </w:tcPr>
                <w:p w14:paraId="36041FBA">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最大存在总量（t）</w:t>
                  </w:r>
                </w:p>
              </w:tc>
              <w:tc>
                <w:tcPr>
                  <w:tcW w:w="793" w:type="pct"/>
                  <w:tcBorders>
                    <w:left w:val="single" w:color="000000" w:sz="4" w:space="0"/>
                  </w:tcBorders>
                  <w:vAlign w:val="center"/>
                </w:tcPr>
                <w:p w14:paraId="2D08DD08">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临界量（t）</w:t>
                  </w:r>
                </w:p>
              </w:tc>
              <w:tc>
                <w:tcPr>
                  <w:tcW w:w="945" w:type="pct"/>
                  <w:vAlign w:val="center"/>
                </w:tcPr>
                <w:p w14:paraId="7737425F">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最大储存量与临界量的比值（q</w:t>
                  </w:r>
                  <w:r>
                    <w:rPr>
                      <w:rFonts w:hint="default" w:ascii="Times New Roman" w:hAnsi="Times New Roman" w:cs="Times New Roman"/>
                      <w:b/>
                      <w:color w:val="auto"/>
                      <w:szCs w:val="21"/>
                      <w:vertAlign w:val="subscript"/>
                    </w:rPr>
                    <w:t>i</w:t>
                  </w:r>
                  <w:r>
                    <w:rPr>
                      <w:rFonts w:hint="default" w:ascii="Times New Roman" w:hAnsi="Times New Roman" w:cs="Times New Roman"/>
                      <w:b/>
                      <w:color w:val="auto"/>
                      <w:szCs w:val="21"/>
                    </w:rPr>
                    <w:t>/Q</w:t>
                  </w:r>
                  <w:r>
                    <w:rPr>
                      <w:rFonts w:hint="default" w:ascii="Times New Roman" w:hAnsi="Times New Roman" w:cs="Times New Roman"/>
                      <w:b/>
                      <w:color w:val="auto"/>
                      <w:szCs w:val="21"/>
                      <w:vertAlign w:val="subscript"/>
                    </w:rPr>
                    <w:t>i</w:t>
                  </w:r>
                  <w:r>
                    <w:rPr>
                      <w:rFonts w:hint="default" w:ascii="Times New Roman" w:hAnsi="Times New Roman" w:cs="Times New Roman"/>
                      <w:b/>
                      <w:color w:val="auto"/>
                      <w:szCs w:val="21"/>
                    </w:rPr>
                    <w:t>）</w:t>
                  </w:r>
                </w:p>
              </w:tc>
              <w:tc>
                <w:tcPr>
                  <w:tcW w:w="945" w:type="pct"/>
                  <w:vAlign w:val="center"/>
                </w:tcPr>
                <w:p w14:paraId="506A0266">
                  <w:pPr>
                    <w:adjustRightInd w:val="0"/>
                    <w:snapToGrid w:val="0"/>
                    <w:jc w:val="center"/>
                    <w:rPr>
                      <w:rFonts w:hint="eastAsia" w:ascii="Times New Roman" w:hAnsi="Times New Roman" w:eastAsia="宋体" w:cs="Times New Roman"/>
                      <w:b/>
                      <w:color w:val="auto"/>
                      <w:szCs w:val="21"/>
                      <w:lang w:eastAsia="zh-CN"/>
                    </w:rPr>
                  </w:pPr>
                  <w:r>
                    <w:rPr>
                      <w:rFonts w:hint="eastAsia" w:cs="Times New Roman"/>
                      <w:b/>
                      <w:color w:val="auto"/>
                      <w:szCs w:val="21"/>
                      <w:lang w:eastAsia="zh-CN"/>
                    </w:rPr>
                    <w:t>储存地点</w:t>
                  </w:r>
                </w:p>
              </w:tc>
            </w:tr>
            <w:tr w14:paraId="0E2580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14:paraId="7D580BA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03" w:type="pct"/>
                  <w:vAlign w:val="center"/>
                </w:tcPr>
                <w:p w14:paraId="2B6CE6F6">
                  <w:pPr>
                    <w:pStyle w:val="22"/>
                    <w:keepNext w:val="0"/>
                    <w:keepLines w:val="0"/>
                    <w:widowControl/>
                    <w:suppressLineNumbers w:val="0"/>
                    <w:ind w:left="0" w:leftChars="0" w:right="0" w:rightChars="0"/>
                    <w:jc w:val="center"/>
                    <w:rPr>
                      <w:rFonts w:hint="default" w:ascii="Times New Roman" w:hAnsi="Times New Roman" w:cs="Times New Roman"/>
                      <w:color w:val="auto"/>
                      <w:szCs w:val="21"/>
                    </w:rPr>
                  </w:pPr>
                  <w:r>
                    <w:rPr>
                      <w:rFonts w:hint="eastAsia" w:cs="Times New Roman"/>
                      <w:i w:val="0"/>
                      <w:iCs w:val="0"/>
                      <w:color w:val="auto"/>
                      <w:kern w:val="0"/>
                      <w:sz w:val="21"/>
                      <w:szCs w:val="21"/>
                      <w:u w:val="none"/>
                      <w:lang w:val="en-US" w:eastAsia="zh-CN" w:bidi="ar"/>
                    </w:rPr>
                    <w:t>液压油</w:t>
                  </w:r>
                </w:p>
              </w:tc>
              <w:tc>
                <w:tcPr>
                  <w:tcW w:w="989" w:type="pct"/>
                  <w:tcBorders>
                    <w:right w:val="single" w:color="000000" w:sz="4" w:space="0"/>
                  </w:tcBorders>
                  <w:vAlign w:val="center"/>
                </w:tcPr>
                <w:p w14:paraId="467CBF6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0.17</w:t>
                  </w:r>
                </w:p>
              </w:tc>
              <w:tc>
                <w:tcPr>
                  <w:tcW w:w="793" w:type="pct"/>
                  <w:tcBorders>
                    <w:left w:val="single" w:color="000000" w:sz="4" w:space="0"/>
                  </w:tcBorders>
                  <w:vAlign w:val="center"/>
                </w:tcPr>
                <w:p w14:paraId="4F45DD82">
                  <w:pPr>
                    <w:adjustRightInd w:val="0"/>
                    <w:snapToGrid w:val="0"/>
                    <w:jc w:val="center"/>
                    <w:rPr>
                      <w:rFonts w:hint="default" w:ascii="Times New Roman" w:hAnsi="Times New Roman" w:cs="Times New Roman"/>
                      <w:color w:val="auto"/>
                      <w:szCs w:val="21"/>
                      <w:lang w:val="en-US"/>
                    </w:rPr>
                  </w:pPr>
                  <w:r>
                    <w:rPr>
                      <w:rFonts w:hint="eastAsia" w:cs="Times New Roman"/>
                      <w:color w:val="auto"/>
                      <w:szCs w:val="21"/>
                      <w:lang w:val="en-US" w:eastAsia="zh-CN"/>
                    </w:rPr>
                    <w:t>2500</w:t>
                  </w:r>
                </w:p>
              </w:tc>
              <w:tc>
                <w:tcPr>
                  <w:tcW w:w="1671" w:type="dxa"/>
                  <w:vAlign w:val="center"/>
                </w:tcPr>
                <w:p w14:paraId="799E8EC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0.000068</w:t>
                  </w:r>
                </w:p>
              </w:tc>
              <w:tc>
                <w:tcPr>
                  <w:tcW w:w="945" w:type="pct"/>
                  <w:vAlign w:val="center"/>
                </w:tcPr>
                <w:p w14:paraId="46241EA8">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油品暂存区</w:t>
                  </w:r>
                </w:p>
              </w:tc>
            </w:tr>
            <w:tr w14:paraId="63050D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3" w:type="pct"/>
                  <w:vAlign w:val="center"/>
                </w:tcPr>
                <w:p w14:paraId="44B0A2D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597" w:type="dxa"/>
                  <w:vAlign w:val="center"/>
                </w:tcPr>
                <w:p w14:paraId="6808544B">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lang w:val="en-US" w:eastAsia="zh-CN"/>
                    </w:rPr>
                    <w:t>废活性炭</w:t>
                  </w:r>
                </w:p>
              </w:tc>
              <w:tc>
                <w:tcPr>
                  <w:tcW w:w="1749" w:type="dxa"/>
                  <w:tcBorders>
                    <w:right w:val="single" w:color="000000" w:sz="4" w:space="0"/>
                  </w:tcBorders>
                  <w:vAlign w:val="center"/>
                </w:tcPr>
                <w:p w14:paraId="1DA5C502">
                  <w:pPr>
                    <w:widowControl/>
                    <w:jc w:val="center"/>
                    <w:rPr>
                      <w:rFonts w:hint="default" w:ascii="Times New Roman" w:hAnsi="Times New Roman" w:eastAsia="宋体" w:cs="Times New Roman"/>
                      <w:color w:val="auto"/>
                      <w:szCs w:val="21"/>
                      <w:lang w:val="en-US" w:eastAsia="zh-CN"/>
                    </w:rPr>
                  </w:pPr>
                  <w:r>
                    <w:rPr>
                      <w:rFonts w:hint="eastAsia" w:cs="Times New Roman"/>
                      <w:color w:val="auto"/>
                      <w:kern w:val="0"/>
                      <w:lang w:val="en-US" w:eastAsia="zh-CN"/>
                    </w:rPr>
                    <w:t>0.66</w:t>
                  </w:r>
                </w:p>
              </w:tc>
              <w:tc>
                <w:tcPr>
                  <w:tcW w:w="793" w:type="pct"/>
                  <w:tcBorders>
                    <w:left w:val="single" w:color="000000" w:sz="4" w:space="0"/>
                  </w:tcBorders>
                  <w:vAlign w:val="center"/>
                </w:tcPr>
                <w:p w14:paraId="3F18AECC">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100</w:t>
                  </w:r>
                </w:p>
              </w:tc>
              <w:tc>
                <w:tcPr>
                  <w:tcW w:w="1671" w:type="dxa"/>
                  <w:vAlign w:val="center"/>
                </w:tcPr>
                <w:p w14:paraId="1C36AA6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w:t>
                  </w:r>
                  <w:r>
                    <w:rPr>
                      <w:rFonts w:hint="eastAsia" w:cs="Times New Roman"/>
                      <w:color w:val="auto"/>
                      <w:szCs w:val="21"/>
                      <w:lang w:val="en-US" w:eastAsia="zh-CN"/>
                    </w:rPr>
                    <w:t>66</w:t>
                  </w:r>
                </w:p>
              </w:tc>
              <w:tc>
                <w:tcPr>
                  <w:tcW w:w="945" w:type="pct"/>
                  <w:vAlign w:val="center"/>
                </w:tcPr>
                <w:p w14:paraId="084FA766">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7F67DF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14:paraId="59243785">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3</w:t>
                  </w:r>
                </w:p>
              </w:tc>
              <w:tc>
                <w:tcPr>
                  <w:tcW w:w="1597" w:type="dxa"/>
                  <w:vAlign w:val="center"/>
                </w:tcPr>
                <w:p w14:paraId="0B2A79F6">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 w:val="21"/>
                      <w:szCs w:val="21"/>
                      <w:lang w:val="en-US" w:eastAsia="zh-CN"/>
                    </w:rPr>
                    <w:t>废液压油</w:t>
                  </w:r>
                </w:p>
              </w:tc>
              <w:tc>
                <w:tcPr>
                  <w:tcW w:w="1749" w:type="dxa"/>
                  <w:tcBorders>
                    <w:bottom w:val="single" w:color="000000" w:sz="4" w:space="0"/>
                    <w:right w:val="single" w:color="000000" w:sz="4" w:space="0"/>
                  </w:tcBorders>
                  <w:vAlign w:val="center"/>
                </w:tcPr>
                <w:p w14:paraId="59BEA45C">
                  <w:pPr>
                    <w:widowControl/>
                    <w:jc w:val="center"/>
                    <w:rPr>
                      <w:rFonts w:hint="default" w:ascii="Times New Roman" w:hAnsi="Times New Roman" w:eastAsia="宋体" w:cs="Times New Roman"/>
                      <w:color w:val="auto"/>
                      <w:szCs w:val="21"/>
                      <w:lang w:val="en-US" w:eastAsia="zh-CN"/>
                    </w:rPr>
                  </w:pPr>
                  <w:r>
                    <w:rPr>
                      <w:rFonts w:hint="eastAsia" w:cs="Times New Roman"/>
                      <w:color w:val="auto"/>
                      <w:kern w:val="0"/>
                      <w:lang w:val="en-US" w:eastAsia="zh-CN"/>
                    </w:rPr>
                    <w:t>0.18</w:t>
                  </w:r>
                </w:p>
              </w:tc>
              <w:tc>
                <w:tcPr>
                  <w:tcW w:w="793" w:type="pct"/>
                  <w:tcBorders>
                    <w:left w:val="single" w:color="000000" w:sz="4" w:space="0"/>
                    <w:bottom w:val="single" w:color="000000" w:sz="4" w:space="0"/>
                  </w:tcBorders>
                  <w:vAlign w:val="center"/>
                </w:tcPr>
                <w:p w14:paraId="0C2C243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2500</w:t>
                  </w:r>
                </w:p>
              </w:tc>
              <w:tc>
                <w:tcPr>
                  <w:tcW w:w="1671" w:type="dxa"/>
                  <w:vAlign w:val="center"/>
                </w:tcPr>
                <w:p w14:paraId="09C004D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0.000072</w:t>
                  </w:r>
                </w:p>
              </w:tc>
              <w:tc>
                <w:tcPr>
                  <w:tcW w:w="945" w:type="pct"/>
                  <w:vAlign w:val="center"/>
                </w:tcPr>
                <w:p w14:paraId="45D629CC">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38A388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14:paraId="25C92936">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4</w:t>
                  </w:r>
                </w:p>
              </w:tc>
              <w:tc>
                <w:tcPr>
                  <w:tcW w:w="1597" w:type="dxa"/>
                  <w:vAlign w:val="center"/>
                </w:tcPr>
                <w:p w14:paraId="2CDF8D96">
                  <w:pPr>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val="en-US" w:eastAsia="zh-CN"/>
                    </w:rPr>
                    <w:t>废</w:t>
                  </w:r>
                  <w:r>
                    <w:rPr>
                      <w:rFonts w:hint="eastAsia" w:ascii="Times New Roman" w:hAnsi="Times New Roman" w:eastAsia="宋体" w:cs="Times New Roman"/>
                      <w:color w:val="auto"/>
                      <w:sz w:val="21"/>
                      <w:szCs w:val="21"/>
                      <w:lang w:val="en-US" w:eastAsia="zh-CN"/>
                    </w:rPr>
                    <w:t>油</w:t>
                  </w:r>
                  <w:r>
                    <w:rPr>
                      <w:rFonts w:hint="default" w:ascii="Times New Roman" w:hAnsi="Times New Roman" w:eastAsia="宋体" w:cs="Times New Roman"/>
                      <w:color w:val="auto"/>
                      <w:sz w:val="21"/>
                      <w:szCs w:val="21"/>
                      <w:lang w:val="en-US" w:eastAsia="zh-CN"/>
                    </w:rPr>
                    <w:t>桶</w:t>
                  </w:r>
                </w:p>
              </w:tc>
              <w:tc>
                <w:tcPr>
                  <w:tcW w:w="1749" w:type="dxa"/>
                  <w:tcBorders>
                    <w:bottom w:val="single" w:color="000000" w:sz="4" w:space="0"/>
                    <w:right w:val="single" w:color="000000" w:sz="4" w:space="0"/>
                  </w:tcBorders>
                  <w:vAlign w:val="center"/>
                </w:tcPr>
                <w:p w14:paraId="096B83C4">
                  <w:pPr>
                    <w:widowControl/>
                    <w:jc w:val="center"/>
                    <w:rPr>
                      <w:rFonts w:hint="default" w:cs="Times New Roman"/>
                      <w:color w:val="auto"/>
                      <w:szCs w:val="21"/>
                      <w:lang w:val="en-US" w:eastAsia="zh-CN"/>
                    </w:rPr>
                  </w:pPr>
                  <w:r>
                    <w:rPr>
                      <w:rFonts w:hint="eastAsia" w:cs="Times New Roman"/>
                      <w:color w:val="auto"/>
                      <w:kern w:val="0"/>
                      <w:lang w:val="en-US" w:eastAsia="zh-CN"/>
                    </w:rPr>
                    <w:t>0.02</w:t>
                  </w:r>
                </w:p>
              </w:tc>
              <w:tc>
                <w:tcPr>
                  <w:tcW w:w="793" w:type="pct"/>
                  <w:tcBorders>
                    <w:left w:val="single" w:color="000000" w:sz="4" w:space="0"/>
                    <w:bottom w:val="single" w:color="000000" w:sz="4" w:space="0"/>
                  </w:tcBorders>
                  <w:vAlign w:val="center"/>
                </w:tcPr>
                <w:p w14:paraId="6D06317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100</w:t>
                  </w:r>
                </w:p>
              </w:tc>
              <w:tc>
                <w:tcPr>
                  <w:tcW w:w="1671" w:type="dxa"/>
                  <w:vAlign w:val="center"/>
                </w:tcPr>
                <w:p w14:paraId="0715C65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0.0002</w:t>
                  </w:r>
                </w:p>
              </w:tc>
              <w:tc>
                <w:tcPr>
                  <w:tcW w:w="945" w:type="pct"/>
                  <w:vAlign w:val="center"/>
                </w:tcPr>
                <w:p w14:paraId="03D30CA1">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11A0AA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23" w:type="pct"/>
                  <w:vAlign w:val="center"/>
                </w:tcPr>
                <w:p w14:paraId="29D0DD53">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1597" w:type="dxa"/>
                  <w:vAlign w:val="center"/>
                </w:tcPr>
                <w:p w14:paraId="38C198D0">
                  <w:pPr>
                    <w:adjustRightInd w:val="0"/>
                    <w:snapToGrid w:val="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sz w:val="21"/>
                      <w:szCs w:val="21"/>
                      <w:lang w:val="en-US" w:eastAsia="zh-CN"/>
                    </w:rPr>
                    <w:t>含油废抹布手套</w:t>
                  </w:r>
                </w:p>
              </w:tc>
              <w:tc>
                <w:tcPr>
                  <w:tcW w:w="1749" w:type="dxa"/>
                  <w:tcBorders>
                    <w:top w:val="single" w:color="000000" w:sz="4" w:space="0"/>
                    <w:bottom w:val="single" w:color="000000" w:sz="4" w:space="0"/>
                    <w:right w:val="single" w:color="000000" w:sz="4" w:space="0"/>
                  </w:tcBorders>
                  <w:vAlign w:val="center"/>
                </w:tcPr>
                <w:p w14:paraId="10996F92">
                  <w:pPr>
                    <w:widowControl/>
                    <w:jc w:val="center"/>
                    <w:rPr>
                      <w:rFonts w:hint="default" w:ascii="Times New Roman" w:hAnsi="Times New Roman" w:eastAsia="宋体" w:cs="Times New Roman"/>
                      <w:color w:val="auto"/>
                      <w:szCs w:val="21"/>
                      <w:lang w:val="en-US" w:eastAsia="zh-CN"/>
                    </w:rPr>
                  </w:pPr>
                  <w:r>
                    <w:rPr>
                      <w:rFonts w:hint="eastAsia" w:cs="Times New Roman"/>
                      <w:color w:val="auto"/>
                      <w:kern w:val="0"/>
                      <w:lang w:val="en-US" w:eastAsia="zh-CN"/>
                    </w:rPr>
                    <w:t>0.013</w:t>
                  </w:r>
                </w:p>
              </w:tc>
              <w:tc>
                <w:tcPr>
                  <w:tcW w:w="793" w:type="pct"/>
                  <w:tcBorders>
                    <w:top w:val="single" w:color="000000" w:sz="4" w:space="0"/>
                    <w:left w:val="single" w:color="000000" w:sz="4" w:space="0"/>
                    <w:bottom w:val="single" w:color="000000" w:sz="4" w:space="0"/>
                  </w:tcBorders>
                  <w:vAlign w:val="center"/>
                </w:tcPr>
                <w:p w14:paraId="16BB6609">
                  <w:pPr>
                    <w:pStyle w:val="6"/>
                    <w:adjustRightInd w:val="0"/>
                    <w:snapToGrid w:val="0"/>
                    <w:ind w:firstLine="0"/>
                    <w:jc w:val="center"/>
                    <w:rPr>
                      <w:rFonts w:hint="default" w:ascii="Times New Roman" w:hAnsi="Times New Roman" w:cs="Times New Roman"/>
                      <w:color w:val="auto"/>
                      <w:szCs w:val="21"/>
                    </w:rPr>
                  </w:pPr>
                  <w:r>
                    <w:rPr>
                      <w:rFonts w:hint="default" w:ascii="Times New Roman" w:hAnsi="Times New Roman" w:cs="Times New Roman"/>
                      <w:bCs/>
                      <w:color w:val="auto"/>
                      <w:szCs w:val="21"/>
                    </w:rPr>
                    <w:t>100</w:t>
                  </w:r>
                </w:p>
              </w:tc>
              <w:tc>
                <w:tcPr>
                  <w:tcW w:w="1671" w:type="dxa"/>
                  <w:vAlign w:val="center"/>
                </w:tcPr>
                <w:p w14:paraId="4C5A9D9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0.00013</w:t>
                  </w:r>
                </w:p>
              </w:tc>
              <w:tc>
                <w:tcPr>
                  <w:tcW w:w="945" w:type="pct"/>
                  <w:vAlign w:val="center"/>
                </w:tcPr>
                <w:p w14:paraId="2E2EA59B">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7175FA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9" w:type="pct"/>
                  <w:gridSpan w:val="4"/>
                  <w:vAlign w:val="center"/>
                </w:tcPr>
                <w:p w14:paraId="4F8A74CB">
                  <w:pPr>
                    <w:pStyle w:val="6"/>
                    <w:adjustRightInd w:val="0"/>
                    <w:snapToGrid w:val="0"/>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1671" w:type="dxa"/>
                  <w:vAlign w:val="center"/>
                </w:tcPr>
                <w:p w14:paraId="20F96FB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w:t>
                  </w:r>
                  <w:r>
                    <w:rPr>
                      <w:rFonts w:hint="eastAsia" w:cs="Times New Roman"/>
                      <w:color w:val="auto"/>
                      <w:szCs w:val="21"/>
                      <w:lang w:val="en-US" w:eastAsia="zh-CN"/>
                    </w:rPr>
                    <w:t>70</w:t>
                  </w:r>
                  <w:r>
                    <w:rPr>
                      <w:rFonts w:hint="eastAsia" w:ascii="Times New Roman" w:hAnsi="Times New Roman" w:eastAsia="宋体" w:cs="Times New Roman"/>
                      <w:color w:val="auto"/>
                      <w:szCs w:val="21"/>
                      <w:lang w:val="en-US" w:eastAsia="zh-CN"/>
                    </w:rPr>
                    <w:t>7</w:t>
                  </w:r>
                </w:p>
              </w:tc>
              <w:tc>
                <w:tcPr>
                  <w:tcW w:w="945" w:type="pct"/>
                  <w:vAlign w:val="center"/>
                </w:tcPr>
                <w:p w14:paraId="6AA9630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bl>
          <w:p w14:paraId="33B3F564">
            <w:pPr>
              <w:adjustRightInd w:val="0"/>
              <w:snapToGrid w:val="0"/>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注：</w:t>
            </w:r>
            <w:r>
              <w:rPr>
                <w:rFonts w:hint="eastAsia" w:cs="Times New Roman"/>
                <w:b w:val="0"/>
                <w:bCs/>
                <w:color w:val="auto"/>
                <w:szCs w:val="21"/>
                <w:lang w:eastAsia="zh-CN"/>
              </w:rPr>
              <w:t>液压</w:t>
            </w:r>
            <w:r>
              <w:rPr>
                <w:rFonts w:hint="eastAsia" w:ascii="Times New Roman" w:hAnsi="Times New Roman" w:eastAsia="宋体" w:cs="Times New Roman"/>
                <w:b w:val="0"/>
                <w:bCs/>
                <w:color w:val="auto"/>
                <w:szCs w:val="21"/>
                <w:lang w:eastAsia="zh-CN"/>
              </w:rPr>
              <w:t>油</w:t>
            </w:r>
            <w:r>
              <w:rPr>
                <w:rFonts w:hint="eastAsia" w:cs="Times New Roman"/>
                <w:b w:val="0"/>
                <w:bCs/>
                <w:color w:val="auto"/>
                <w:szCs w:val="21"/>
                <w:lang w:eastAsia="zh-CN"/>
              </w:rPr>
              <w:t>、</w:t>
            </w:r>
            <w:r>
              <w:rPr>
                <w:rFonts w:hint="eastAsia" w:ascii="Times New Roman" w:hAnsi="Times New Roman" w:eastAsia="宋体" w:cs="Times New Roman"/>
                <w:b w:val="0"/>
                <w:bCs/>
                <w:color w:val="auto"/>
                <w:sz w:val="21"/>
                <w:szCs w:val="21"/>
                <w:lang w:val="en-US" w:eastAsia="zh-CN"/>
              </w:rPr>
              <w:t>废液压油</w:t>
            </w:r>
            <w:r>
              <w:rPr>
                <w:rFonts w:hint="default" w:ascii="Times New Roman" w:hAnsi="Times New Roman" w:eastAsia="宋体" w:cs="Times New Roman"/>
                <w:b w:val="0"/>
                <w:bCs/>
                <w:color w:val="auto"/>
                <w:szCs w:val="21"/>
              </w:rPr>
              <w:t>临界量参照《建设项目环境风险评价技术导则》（HJ169—2018）表B.1中“油类物质”临界值；</w:t>
            </w:r>
            <w:r>
              <w:rPr>
                <w:rFonts w:hint="eastAsia" w:cs="Times New Roman"/>
                <w:b w:val="0"/>
                <w:bCs/>
                <w:color w:val="auto"/>
                <w:szCs w:val="21"/>
                <w:lang w:val="en-US" w:eastAsia="zh-CN"/>
              </w:rPr>
              <w:t>其他</w:t>
            </w:r>
            <w:r>
              <w:rPr>
                <w:rFonts w:hint="eastAsia" w:ascii="Times New Roman" w:hAnsi="Times New Roman" w:eastAsia="宋体" w:cs="Times New Roman"/>
                <w:b w:val="0"/>
                <w:bCs/>
                <w:color w:val="auto"/>
                <w:szCs w:val="21"/>
                <w:lang w:val="en-US" w:eastAsia="zh-CN"/>
              </w:rPr>
              <w:t>危废参照</w:t>
            </w:r>
            <w:r>
              <w:rPr>
                <w:rFonts w:hint="default" w:ascii="Times New Roman" w:hAnsi="Times New Roman" w:eastAsia="宋体" w:cs="Times New Roman"/>
                <w:b w:val="0"/>
                <w:bCs/>
                <w:color w:val="auto"/>
                <w:szCs w:val="21"/>
                <w:lang w:val="en-US" w:eastAsia="zh-CN"/>
              </w:rPr>
              <w:t>《建设项目环境风险评价技术导则》（HJ169-2018）</w:t>
            </w:r>
            <w:r>
              <w:rPr>
                <w:rFonts w:hint="eastAsia" w:ascii="Times New Roman" w:hAnsi="Times New Roman" w:eastAsia="宋体" w:cs="Times New Roman"/>
                <w:b w:val="0"/>
                <w:bCs/>
                <w:color w:val="auto"/>
                <w:szCs w:val="21"/>
                <w:lang w:val="en-US" w:eastAsia="zh-CN"/>
              </w:rPr>
              <w:t>中附录B表B.2危害水环境物质</w:t>
            </w:r>
            <w:r>
              <w:rPr>
                <w:rFonts w:hint="default" w:ascii="Times New Roman" w:hAnsi="Times New Roman" w:eastAsia="宋体" w:cs="Times New Roman"/>
                <w:b w:val="0"/>
                <w:bCs/>
                <w:color w:val="auto"/>
                <w:szCs w:val="21"/>
              </w:rPr>
              <w:t>临界值</w:t>
            </w:r>
            <w:r>
              <w:rPr>
                <w:rFonts w:hint="default" w:ascii="Times New Roman" w:hAnsi="Times New Roman" w:eastAsia="宋体" w:cs="Times New Roman"/>
                <w:b w:val="0"/>
                <w:bCs/>
                <w:color w:val="auto"/>
                <w:szCs w:val="21"/>
                <w:lang w:val="en-US" w:eastAsia="zh-CN"/>
              </w:rPr>
              <w:t>。</w:t>
            </w:r>
          </w:p>
          <w:p w14:paraId="1DDDE962">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由上表可知风险物质与临界量比值Q＜1，故本项目环境风险潜势等级低。</w:t>
            </w:r>
          </w:p>
          <w:p w14:paraId="79DA632D">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通过对本项目的风</w:t>
            </w:r>
            <w:r>
              <w:rPr>
                <w:rFonts w:hint="default" w:ascii="Times New Roman" w:hAnsi="Times New Roman" w:cs="Times New Roman"/>
                <w:bCs/>
                <w:color w:val="auto"/>
                <w:sz w:val="24"/>
                <w:szCs w:val="24"/>
              </w:rPr>
              <w:t>险识别，参考同类企业的有关资料，本项目可能发生的突发环境事件为</w:t>
            </w:r>
            <w:r>
              <w:rPr>
                <w:rFonts w:hint="eastAsia" w:cs="Times New Roman"/>
                <w:bCs/>
                <w:color w:val="auto"/>
                <w:sz w:val="24"/>
                <w:szCs w:val="24"/>
                <w:lang w:eastAsia="zh-CN"/>
              </w:rPr>
              <w:t>：</w:t>
            </w:r>
            <w:r>
              <w:rPr>
                <w:rFonts w:hint="default" w:ascii="Times New Roman" w:hAnsi="Times New Roman" w:cs="Times New Roman"/>
                <w:bCs/>
                <w:color w:val="auto"/>
                <w:sz w:val="24"/>
                <w:szCs w:val="24"/>
              </w:rPr>
              <w:t>①</w:t>
            </w:r>
            <w:r>
              <w:rPr>
                <w:rFonts w:hint="eastAsia" w:cs="Times New Roman"/>
                <w:color w:val="auto"/>
                <w:kern w:val="2"/>
                <w:sz w:val="24"/>
                <w:szCs w:val="24"/>
                <w:lang w:val="en-US" w:eastAsia="zh-CN" w:bidi="ar-SA"/>
              </w:rPr>
              <w:t>液压油包装桶</w:t>
            </w:r>
            <w:r>
              <w:rPr>
                <w:rFonts w:hint="default" w:ascii="Times New Roman" w:hAnsi="Times New Roman" w:cs="Times New Roman"/>
                <w:bCs/>
                <w:color w:val="auto"/>
                <w:sz w:val="24"/>
                <w:szCs w:val="24"/>
              </w:rPr>
              <w:t>破损导致</w:t>
            </w:r>
            <w:r>
              <w:rPr>
                <w:rFonts w:hint="eastAsia" w:cs="Times New Roman"/>
                <w:bCs/>
                <w:color w:val="auto"/>
                <w:sz w:val="24"/>
                <w:szCs w:val="24"/>
                <w:lang w:val="en-US" w:eastAsia="zh-CN"/>
              </w:rPr>
              <w:t>油品</w:t>
            </w:r>
            <w:r>
              <w:rPr>
                <w:rFonts w:hint="eastAsia" w:cs="Times New Roman"/>
                <w:bCs/>
                <w:color w:val="auto"/>
                <w:sz w:val="24"/>
                <w:szCs w:val="24"/>
                <w:lang w:eastAsia="zh-CN"/>
              </w:rPr>
              <w:t>泄漏</w:t>
            </w:r>
            <w:r>
              <w:rPr>
                <w:rFonts w:hint="default" w:ascii="Times New Roman" w:hAnsi="Times New Roman" w:cs="Times New Roman"/>
                <w:bCs/>
                <w:color w:val="auto"/>
                <w:sz w:val="24"/>
                <w:szCs w:val="24"/>
              </w:rPr>
              <w:t>进入厂区内雨水管道，通过雨水冲刷和下渗影响土壤、地表水和地下水环境；②项目</w:t>
            </w:r>
            <w:r>
              <w:rPr>
                <w:rFonts w:hint="eastAsia" w:cs="Times New Roman"/>
                <w:bCs/>
                <w:color w:val="auto"/>
                <w:sz w:val="24"/>
                <w:szCs w:val="24"/>
                <w:lang w:val="en-US" w:eastAsia="zh-CN"/>
              </w:rPr>
              <w:t>塑料粒子和</w:t>
            </w:r>
            <w:r>
              <w:rPr>
                <w:rFonts w:hint="default" w:ascii="Times New Roman" w:hAnsi="Times New Roman" w:cs="Times New Roman"/>
                <w:bCs/>
                <w:color w:val="auto"/>
                <w:sz w:val="24"/>
                <w:szCs w:val="24"/>
              </w:rPr>
              <w:t>部分</w:t>
            </w:r>
            <w:r>
              <w:rPr>
                <w:rFonts w:hint="eastAsia" w:cs="Times New Roman"/>
                <w:bCs/>
                <w:color w:val="auto"/>
                <w:sz w:val="24"/>
                <w:szCs w:val="24"/>
                <w:lang w:val="en-US" w:eastAsia="zh-CN"/>
              </w:rPr>
              <w:t>危废</w:t>
            </w:r>
            <w:r>
              <w:rPr>
                <w:rFonts w:hint="eastAsia" w:cs="Times New Roman"/>
                <w:bCs/>
                <w:color w:val="auto"/>
                <w:sz w:val="24"/>
                <w:szCs w:val="24"/>
                <w:lang w:eastAsia="zh-CN"/>
              </w:rPr>
              <w:t>可燃</w:t>
            </w:r>
            <w:r>
              <w:rPr>
                <w:rFonts w:hint="default" w:ascii="Times New Roman" w:hAnsi="Times New Roman" w:cs="Times New Roman"/>
                <w:bCs/>
                <w:color w:val="auto"/>
                <w:sz w:val="24"/>
                <w:szCs w:val="24"/>
              </w:rPr>
              <w:t>，遇明火可能发生火灾爆炸事故，产生次生/伴生环境事故</w:t>
            </w:r>
            <w:r>
              <w:rPr>
                <w:rFonts w:hint="default" w:ascii="Times New Roman" w:hAnsi="Times New Roman" w:cs="Times New Roman"/>
                <w:bCs/>
                <w:color w:val="auto"/>
                <w:sz w:val="24"/>
              </w:rPr>
              <w:t>。</w:t>
            </w:r>
          </w:p>
          <w:p w14:paraId="54EBC1E5">
            <w:pPr>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2、</w:t>
            </w:r>
            <w:r>
              <w:rPr>
                <w:rFonts w:hint="default" w:ascii="Times New Roman" w:hAnsi="Times New Roman" w:cs="Times New Roman"/>
                <w:bCs/>
                <w:color w:val="auto"/>
                <w:sz w:val="24"/>
              </w:rPr>
              <w:t>环境风险防范及应急管理要求</w:t>
            </w:r>
          </w:p>
          <w:p w14:paraId="26FA8A6E">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管理、储存、使用、运输中的防范措施</w:t>
            </w:r>
          </w:p>
          <w:p w14:paraId="79DE8D47">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加强对液态物料和危险废物的管理；制定相应的安全操作规程，要求操作人员严格按操作规程作业；对相关作业人员定期进行安全培训教育；对作业场所定期进行安全检查。液态物料和危险废物在厂区内转运时，通道、出入口和通向消防设施的道路保持畅通，运输人员应配置必要且质量合格的防护器材。</w:t>
            </w:r>
          </w:p>
          <w:p w14:paraId="77B0FE8E">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存放区风险防范措施</w:t>
            </w:r>
          </w:p>
          <w:p w14:paraId="09275743">
            <w:pPr>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油品</w:t>
            </w:r>
            <w:r>
              <w:rPr>
                <w:rFonts w:hint="default" w:ascii="Times New Roman" w:hAnsi="Times New Roman" w:cs="Times New Roman"/>
                <w:bCs/>
                <w:color w:val="auto"/>
                <w:sz w:val="24"/>
              </w:rPr>
              <w:t>必须设置于阴凉、通风的库房，库房必须防渗、防漏、防雨；仓库、危废仓库内应设置一个收集桶，当泄漏事故发生时，可及时将泄漏的物料或废料收集至桶内暂存，最终作为危险废物处理；仓库、危废仓库应配备吸附剂等材料，防止发生事故时能对事故进行应急处理。</w:t>
            </w:r>
          </w:p>
          <w:p w14:paraId="4777552B">
            <w:pPr>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3</w:t>
            </w:r>
            <w:r>
              <w:rPr>
                <w:rFonts w:hint="default" w:ascii="Times New Roman" w:hAnsi="Times New Roman" w:cs="Times New Roman"/>
                <w:bCs/>
                <w:color w:val="auto"/>
                <w:sz w:val="24"/>
                <w:lang w:val="en-US" w:eastAsia="zh-CN"/>
              </w:rPr>
              <w:t>）</w:t>
            </w:r>
            <w:r>
              <w:rPr>
                <w:rFonts w:hint="default" w:ascii="Times New Roman" w:hAnsi="Times New Roman" w:cs="Times New Roman"/>
                <w:bCs/>
                <w:color w:val="auto"/>
                <w:sz w:val="24"/>
              </w:rPr>
              <w:t>事故应急对策措施</w:t>
            </w:r>
          </w:p>
          <w:p w14:paraId="0189EB57">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小量泄漏：尽可能采用不产生冲击、静电火花的工具进行泄漏物的回收，将泄漏物收集在密闭容器内，用</w:t>
            </w:r>
            <w:r>
              <w:rPr>
                <w:rFonts w:hint="eastAsia" w:cs="Times New Roman"/>
                <w:bCs/>
                <w:color w:val="auto"/>
                <w:sz w:val="24"/>
                <w:lang w:val="en-US" w:eastAsia="zh-CN"/>
              </w:rPr>
              <w:t>沙土</w:t>
            </w:r>
            <w:r>
              <w:rPr>
                <w:rFonts w:hint="default" w:ascii="Times New Roman" w:hAnsi="Times New Roman" w:cs="Times New Roman"/>
                <w:bCs/>
                <w:color w:val="auto"/>
                <w:sz w:val="24"/>
              </w:rPr>
              <w:t>、活性炭或</w:t>
            </w:r>
            <w:r>
              <w:rPr>
                <w:rFonts w:hint="eastAsia" w:cs="Times New Roman"/>
                <w:bCs/>
                <w:color w:val="auto"/>
                <w:sz w:val="24"/>
                <w:lang w:val="en-US" w:eastAsia="zh-CN"/>
              </w:rPr>
              <w:t>其他</w:t>
            </w:r>
            <w:r>
              <w:rPr>
                <w:rFonts w:hint="default" w:ascii="Times New Roman" w:hAnsi="Times New Roman" w:cs="Times New Roman"/>
                <w:bCs/>
                <w:color w:val="auto"/>
                <w:sz w:val="24"/>
              </w:rPr>
              <w:t>惰性材料吸收</w:t>
            </w:r>
            <w:r>
              <w:rPr>
                <w:rFonts w:hint="eastAsia" w:ascii="Times New Roman" w:hAnsi="Times New Roman" w:cs="Times New Roman"/>
                <w:bCs/>
                <w:color w:val="auto"/>
                <w:sz w:val="24"/>
                <w:lang w:val="en-US" w:eastAsia="zh-CN"/>
              </w:rPr>
              <w:t>残液</w:t>
            </w:r>
            <w:r>
              <w:rPr>
                <w:rFonts w:hint="default" w:ascii="Times New Roman" w:hAnsi="Times New Roman" w:cs="Times New Roman"/>
                <w:bCs/>
                <w:color w:val="auto"/>
                <w:sz w:val="24"/>
              </w:rPr>
              <w:t>，也可以用不燃性分散剂制成的乳液刷洗。</w:t>
            </w:r>
          </w:p>
          <w:p w14:paraId="456BBBB6">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大量泄漏：用泡沫覆盖，降低蒸汽灾害。喷雾状水冷却和稀释蒸汽，保护现场人员。用</w:t>
            </w:r>
            <w:r>
              <w:rPr>
                <w:rFonts w:hint="default" w:ascii="Times New Roman" w:hAnsi="Times New Roman" w:eastAsia="宋体" w:cs="Times New Roman"/>
                <w:bCs/>
                <w:color w:val="auto"/>
                <w:sz w:val="24"/>
              </w:rPr>
              <w:t>防爆泵转移至槽车或专用收集器内，回收或运至废物处理场所处理。</w:t>
            </w:r>
          </w:p>
          <w:p w14:paraId="4299DCCF">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4）火灾爆炸事故风险防范措施</w:t>
            </w:r>
          </w:p>
          <w:p w14:paraId="40688DF9">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①</w:t>
            </w:r>
            <w:r>
              <w:rPr>
                <w:rFonts w:hint="default" w:ascii="Times New Roman" w:hAnsi="Times New Roman" w:eastAsia="宋体" w:cs="Times New Roman"/>
                <w:bCs/>
                <w:color w:val="auto"/>
                <w:sz w:val="24"/>
                <w:lang w:val="en-US" w:eastAsia="zh-CN"/>
              </w:rPr>
              <w:t>定期对储运设备进行安全检测，检测内容、时间、人员应有记录保存。安全检测应根据设备的安全性、危险性设定检测频次。</w:t>
            </w:r>
          </w:p>
          <w:p w14:paraId="38DF499B">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②</w:t>
            </w:r>
            <w:r>
              <w:rPr>
                <w:rFonts w:hint="default" w:ascii="Times New Roman" w:hAnsi="Times New Roman" w:eastAsia="宋体" w:cs="Times New Roman"/>
                <w:bCs/>
                <w:color w:val="auto"/>
                <w:sz w:val="24"/>
                <w:lang w:val="en-US" w:eastAsia="zh-CN"/>
              </w:rPr>
              <w:t>在管道以及其他设备上，设置永久性接地装置；在危险操作时，操作人员应使用抗静电工作帽和具有导电性的作业鞋；有防雷装置，特别防止雷击。</w:t>
            </w:r>
          </w:p>
          <w:p w14:paraId="3791B4DA">
            <w:pPr>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③</w:t>
            </w:r>
            <w:r>
              <w:rPr>
                <w:rFonts w:hint="default" w:ascii="Times New Roman" w:hAnsi="Times New Roman" w:eastAsia="宋体" w:cs="Times New Roman"/>
                <w:bCs/>
                <w:color w:val="auto"/>
                <w:sz w:val="24"/>
                <w:lang w:val="en-US" w:eastAsia="zh-CN"/>
              </w:rPr>
              <w:t>应加强火源的管理，严禁烟火带入，对设备需进行维修焊接，应经安全部门确认、准许，并有记录。</w:t>
            </w:r>
          </w:p>
          <w:p w14:paraId="722A4BC4">
            <w:pPr>
              <w:keepNext w:val="0"/>
              <w:keepLines w:val="0"/>
              <w:pageBreakBefore w:val="0"/>
              <w:widowControl w:val="0"/>
              <w:kinsoku/>
              <w:wordWrap/>
              <w:overflowPunct/>
              <w:topLinePunct w:val="0"/>
              <w:bidi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④要有完善的安全消防措施。各重点部位建议设置灭火器，并且对其</w:t>
            </w:r>
            <w:r>
              <w:rPr>
                <w:rFonts w:hint="eastAsia" w:cs="Times New Roman"/>
                <w:bCs/>
                <w:color w:val="auto"/>
                <w:sz w:val="24"/>
                <w:lang w:val="en-US" w:eastAsia="zh-CN"/>
              </w:rPr>
              <w:t>做</w:t>
            </w:r>
            <w:r>
              <w:rPr>
                <w:rFonts w:hint="default" w:ascii="Times New Roman" w:hAnsi="Times New Roman" w:eastAsia="宋体" w:cs="Times New Roman"/>
                <w:bCs/>
                <w:color w:val="auto"/>
                <w:sz w:val="24"/>
                <w:lang w:val="en-US" w:eastAsia="zh-CN"/>
              </w:rPr>
              <w:t>定期检查。</w:t>
            </w:r>
          </w:p>
          <w:p w14:paraId="796BD9D6">
            <w:pPr>
              <w:keepNext w:val="0"/>
              <w:keepLines w:val="0"/>
              <w:pageBreakBefore w:val="0"/>
              <w:widowControl w:val="0"/>
              <w:kinsoku/>
              <w:wordWrap/>
              <w:overflowPunct/>
              <w:topLinePunct w:val="0"/>
              <w:bidi w:val="0"/>
              <w:snapToGrid w:val="0"/>
              <w:spacing w:line="500" w:lineRule="exact"/>
              <w:ind w:firstLine="480" w:firstLineChars="200"/>
              <w:rPr>
                <w:rFonts w:hint="eastAsia" w:ascii="Times New Roman" w:hAnsi="Times New Roman" w:eastAsia="宋体" w:cs="Times New Roman"/>
                <w:bCs/>
                <w:color w:val="auto"/>
                <w:sz w:val="24"/>
                <w:lang w:val="en-US" w:eastAsia="zh-CN"/>
              </w:rPr>
            </w:pPr>
            <w:r>
              <w:rPr>
                <w:rFonts w:hint="eastAsia" w:cs="Times New Roman"/>
                <w:bCs/>
                <w:color w:val="auto"/>
                <w:sz w:val="24"/>
                <w:lang w:val="en-US" w:eastAsia="zh-CN"/>
              </w:rPr>
              <w:t>5）</w:t>
            </w:r>
            <w:r>
              <w:rPr>
                <w:rFonts w:hint="eastAsia" w:ascii="Times New Roman" w:hAnsi="Times New Roman" w:eastAsia="宋体" w:cs="Times New Roman"/>
                <w:bCs/>
                <w:color w:val="auto"/>
                <w:sz w:val="24"/>
                <w:lang w:val="en-US" w:eastAsia="zh-CN"/>
              </w:rPr>
              <w:t>废气</w:t>
            </w:r>
            <w:r>
              <w:rPr>
                <w:rFonts w:hint="eastAsia" w:cs="Times New Roman"/>
                <w:bCs/>
                <w:color w:val="auto"/>
                <w:sz w:val="24"/>
                <w:lang w:val="en-US" w:eastAsia="zh-CN"/>
              </w:rPr>
              <w:t>处理设施</w:t>
            </w:r>
            <w:r>
              <w:rPr>
                <w:rFonts w:hint="eastAsia" w:ascii="Times New Roman" w:hAnsi="Times New Roman" w:eastAsia="宋体" w:cs="Times New Roman"/>
                <w:bCs/>
                <w:color w:val="auto"/>
                <w:sz w:val="24"/>
                <w:lang w:val="en-US" w:eastAsia="zh-CN"/>
              </w:rPr>
              <w:t>风险防范措施</w:t>
            </w:r>
          </w:p>
          <w:p w14:paraId="210C5058">
            <w:pPr>
              <w:keepNext w:val="0"/>
              <w:keepLines w:val="0"/>
              <w:pageBreakBefore w:val="0"/>
              <w:widowControl w:val="0"/>
              <w:kinsoku/>
              <w:wordWrap/>
              <w:overflowPunct/>
              <w:topLinePunct w:val="0"/>
              <w:bidi w:val="0"/>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加强“二级活性炭吸附”装置运行维护管理，做到治理设施较生产设备“先启后停”，在治理设施达到正常运行条件后方可启动生产设备，在生产设备停止、残留VOCs废气收集处理完毕后，方可停运治理设施，防止易燃废气的</w:t>
            </w:r>
            <w:r>
              <w:rPr>
                <w:rFonts w:hint="eastAsia" w:cs="Times New Roman"/>
                <w:bCs/>
                <w:color w:val="auto"/>
                <w:sz w:val="24"/>
                <w:lang w:val="en-US" w:eastAsia="zh-CN"/>
              </w:rPr>
              <w:t>积聚</w:t>
            </w:r>
            <w:r>
              <w:rPr>
                <w:rFonts w:hint="eastAsia" w:ascii="Times New Roman" w:hAnsi="Times New Roman" w:eastAsia="宋体" w:cs="Times New Roman"/>
                <w:bCs/>
                <w:color w:val="auto"/>
                <w:sz w:val="24"/>
                <w:lang w:val="en-US" w:eastAsia="zh-CN"/>
              </w:rPr>
              <w:t>；及时清理、更换活性炭等治理设施耗材，确保设施能够稳定高效运行；厂区内应设置可燃气体泄漏报警装置。</w:t>
            </w:r>
          </w:p>
          <w:p w14:paraId="0C5F0E35">
            <w:pPr>
              <w:keepNext w:val="0"/>
              <w:keepLines w:val="0"/>
              <w:pageBreakBefore w:val="0"/>
              <w:widowControl w:val="0"/>
              <w:numPr>
                <w:ilvl w:val="0"/>
                <w:numId w:val="4"/>
              </w:numPr>
              <w:kinsoku/>
              <w:wordWrap/>
              <w:overflowPunct/>
              <w:topLinePunct w:val="0"/>
              <w:bidi w:val="0"/>
              <w:adjustRightInd w:val="0"/>
              <w:snapToGrid w:val="0"/>
              <w:spacing w:line="500" w:lineRule="exact"/>
              <w:ind w:firstLine="480" w:firstLineChars="200"/>
              <w:rPr>
                <w:rFonts w:hint="eastAsia" w:ascii="Cambria Math" w:hAnsi="Cambria Math" w:cs="Times New Roman"/>
                <w:color w:val="auto"/>
                <w:kern w:val="2"/>
                <w:sz w:val="24"/>
                <w:szCs w:val="24"/>
                <w:lang w:val="en-US" w:eastAsia="zh-CN" w:bidi="ar-SA"/>
              </w:rPr>
            </w:pPr>
            <w:r>
              <w:rPr>
                <w:rFonts w:hint="eastAsia" w:ascii="Cambria Math" w:hAnsi="Cambria Math" w:cs="Times New Roman"/>
                <w:color w:val="auto"/>
                <w:kern w:val="2"/>
                <w:sz w:val="24"/>
                <w:szCs w:val="24"/>
                <w:lang w:val="en-US" w:eastAsia="zh-CN" w:bidi="ar-SA"/>
              </w:rPr>
              <w:t>事故应急池设置</w:t>
            </w:r>
          </w:p>
          <w:p w14:paraId="6D78E72A">
            <w:pPr>
              <w:keepNext w:val="0"/>
              <w:keepLines w:val="0"/>
              <w:pageBreakBefore w:val="0"/>
              <w:widowControl w:val="0"/>
              <w:numPr>
                <w:ilvl w:val="0"/>
                <w:numId w:val="0"/>
              </w:numPr>
              <w:kinsoku/>
              <w:wordWrap/>
              <w:overflowPunct/>
              <w:topLinePunct w:val="0"/>
              <w:bidi w:val="0"/>
              <w:adjustRightInd w:val="0"/>
              <w:snapToGrid w:val="0"/>
              <w:spacing w:line="500" w:lineRule="exact"/>
              <w:ind w:firstLine="480" w:firstLineChars="200"/>
              <w:rPr>
                <w:color w:val="auto"/>
                <w:sz w:val="24"/>
                <w:szCs w:val="24"/>
              </w:rPr>
            </w:pPr>
            <w:r>
              <w:rPr>
                <w:rFonts w:hint="eastAsia"/>
                <w:color w:val="auto"/>
                <w:sz w:val="24"/>
                <w:szCs w:val="24"/>
                <w:lang w:eastAsia="zh-CN"/>
              </w:rPr>
              <w:t>企业</w:t>
            </w:r>
            <w:r>
              <w:rPr>
                <w:color w:val="auto"/>
                <w:sz w:val="24"/>
                <w:szCs w:val="24"/>
              </w:rPr>
              <w:t>事故应急水池容量按下式计算：</w:t>
            </w:r>
          </w:p>
          <w:p w14:paraId="4C62EAEC">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a</w:t>
            </w:r>
            <w:r>
              <w:rPr>
                <w:color w:val="auto"/>
                <w:sz w:val="24"/>
                <w:szCs w:val="24"/>
              </w:rPr>
              <w:t>=(V</w:t>
            </w:r>
            <w:r>
              <w:rPr>
                <w:color w:val="auto"/>
                <w:sz w:val="24"/>
                <w:szCs w:val="24"/>
                <w:vertAlign w:val="subscript"/>
              </w:rPr>
              <w:t>1</w:t>
            </w:r>
            <w:r>
              <w:rPr>
                <w:color w:val="auto"/>
                <w:sz w:val="24"/>
                <w:szCs w:val="24"/>
              </w:rPr>
              <w:t>+V</w:t>
            </w:r>
            <w:r>
              <w:rPr>
                <w:color w:val="auto"/>
                <w:sz w:val="24"/>
                <w:szCs w:val="24"/>
                <w:vertAlign w:val="subscript"/>
              </w:rPr>
              <w:t>2</w:t>
            </w:r>
            <w:r>
              <w:rPr>
                <w:color w:val="auto"/>
                <w:sz w:val="24"/>
                <w:szCs w:val="24"/>
              </w:rPr>
              <w:t>-V</w:t>
            </w:r>
            <w:r>
              <w:rPr>
                <w:color w:val="auto"/>
                <w:sz w:val="24"/>
                <w:szCs w:val="24"/>
                <w:vertAlign w:val="subscript"/>
              </w:rPr>
              <w:t>3</w:t>
            </w:r>
            <w:r>
              <w:rPr>
                <w:color w:val="auto"/>
                <w:sz w:val="24"/>
                <w:szCs w:val="24"/>
              </w:rPr>
              <w:t>)</w:t>
            </w:r>
            <w:r>
              <w:rPr>
                <w:color w:val="auto"/>
                <w:sz w:val="24"/>
                <w:szCs w:val="24"/>
                <w:vertAlign w:val="subscript"/>
              </w:rPr>
              <w:t>max</w:t>
            </w:r>
            <w:r>
              <w:rPr>
                <w:color w:val="auto"/>
                <w:sz w:val="24"/>
                <w:szCs w:val="24"/>
              </w:rPr>
              <w:t>+V</w:t>
            </w:r>
            <w:r>
              <w:rPr>
                <w:color w:val="auto"/>
                <w:sz w:val="24"/>
                <w:szCs w:val="24"/>
                <w:vertAlign w:val="subscript"/>
              </w:rPr>
              <w:t>4</w:t>
            </w:r>
            <w:r>
              <w:rPr>
                <w:color w:val="auto"/>
                <w:sz w:val="24"/>
                <w:szCs w:val="24"/>
              </w:rPr>
              <w:t>+V</w:t>
            </w:r>
            <w:r>
              <w:rPr>
                <w:color w:val="auto"/>
                <w:sz w:val="24"/>
                <w:szCs w:val="24"/>
                <w:vertAlign w:val="subscript"/>
              </w:rPr>
              <w:t>5</w:t>
            </w:r>
          </w:p>
          <w:p w14:paraId="4E6F87DF">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[注：(V</w:t>
            </w:r>
            <w:r>
              <w:rPr>
                <w:color w:val="auto"/>
                <w:sz w:val="24"/>
                <w:szCs w:val="24"/>
                <w:vertAlign w:val="subscript"/>
              </w:rPr>
              <w:t>1</w:t>
            </w:r>
            <w:r>
              <w:rPr>
                <w:color w:val="auto"/>
                <w:sz w:val="24"/>
                <w:szCs w:val="24"/>
              </w:rPr>
              <w:t>+V</w:t>
            </w:r>
            <w:r>
              <w:rPr>
                <w:color w:val="auto"/>
                <w:sz w:val="24"/>
                <w:szCs w:val="24"/>
                <w:vertAlign w:val="subscript"/>
              </w:rPr>
              <w:t>2</w:t>
            </w:r>
            <w:r>
              <w:rPr>
                <w:color w:val="auto"/>
                <w:sz w:val="24"/>
                <w:szCs w:val="24"/>
              </w:rPr>
              <w:t>-V</w:t>
            </w:r>
            <w:r>
              <w:rPr>
                <w:color w:val="auto"/>
                <w:sz w:val="24"/>
                <w:szCs w:val="24"/>
                <w:vertAlign w:val="subscript"/>
              </w:rPr>
              <w:t>3</w:t>
            </w:r>
            <w:r>
              <w:rPr>
                <w:color w:val="auto"/>
                <w:sz w:val="24"/>
                <w:szCs w:val="24"/>
              </w:rPr>
              <w:t>)</w:t>
            </w:r>
            <w:r>
              <w:rPr>
                <w:color w:val="auto"/>
                <w:sz w:val="24"/>
                <w:szCs w:val="24"/>
                <w:vertAlign w:val="subscript"/>
              </w:rPr>
              <w:t>max</w:t>
            </w:r>
            <w:r>
              <w:rPr>
                <w:color w:val="auto"/>
                <w:sz w:val="24"/>
                <w:szCs w:val="24"/>
              </w:rPr>
              <w:t>是指对收集系统范围内不同罐组或装置分别计算V</w:t>
            </w:r>
            <w:r>
              <w:rPr>
                <w:color w:val="auto"/>
                <w:sz w:val="24"/>
                <w:szCs w:val="24"/>
                <w:vertAlign w:val="subscript"/>
              </w:rPr>
              <w:t>1</w:t>
            </w:r>
            <w:r>
              <w:rPr>
                <w:color w:val="auto"/>
                <w:sz w:val="24"/>
                <w:szCs w:val="24"/>
              </w:rPr>
              <w:t>+V</w:t>
            </w:r>
            <w:r>
              <w:rPr>
                <w:color w:val="auto"/>
                <w:sz w:val="24"/>
                <w:szCs w:val="24"/>
                <w:vertAlign w:val="subscript"/>
              </w:rPr>
              <w:t>2</w:t>
            </w:r>
            <w:r>
              <w:rPr>
                <w:color w:val="auto"/>
                <w:sz w:val="24"/>
                <w:szCs w:val="24"/>
              </w:rPr>
              <w:t>-V</w:t>
            </w:r>
            <w:r>
              <w:rPr>
                <w:color w:val="auto"/>
                <w:sz w:val="24"/>
                <w:szCs w:val="24"/>
                <w:vertAlign w:val="subscript"/>
              </w:rPr>
              <w:t>3</w:t>
            </w:r>
            <w:r>
              <w:rPr>
                <w:color w:val="auto"/>
                <w:sz w:val="24"/>
                <w:szCs w:val="24"/>
              </w:rPr>
              <w:t>，取其中最大值。]</w:t>
            </w:r>
          </w:p>
          <w:p w14:paraId="3C3293AF">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Va：事故应急池容积，m</w:t>
            </w:r>
            <w:r>
              <w:rPr>
                <w:color w:val="auto"/>
                <w:sz w:val="24"/>
                <w:szCs w:val="24"/>
                <w:vertAlign w:val="superscript"/>
              </w:rPr>
              <w:t>3</w:t>
            </w:r>
            <w:r>
              <w:rPr>
                <w:color w:val="auto"/>
                <w:sz w:val="24"/>
                <w:szCs w:val="24"/>
              </w:rPr>
              <w:t>；</w:t>
            </w:r>
          </w:p>
          <w:p w14:paraId="19985847">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1</w:t>
            </w:r>
            <w:r>
              <w:rPr>
                <w:color w:val="auto"/>
                <w:sz w:val="24"/>
                <w:szCs w:val="24"/>
              </w:rPr>
              <w:t>：事故一个罐或一个装置物料量，m</w:t>
            </w:r>
            <w:r>
              <w:rPr>
                <w:color w:val="auto"/>
                <w:sz w:val="24"/>
                <w:szCs w:val="24"/>
                <w:vertAlign w:val="superscript"/>
              </w:rPr>
              <w:t>3</w:t>
            </w:r>
            <w:r>
              <w:rPr>
                <w:color w:val="auto"/>
                <w:sz w:val="24"/>
                <w:szCs w:val="24"/>
              </w:rPr>
              <w:t>；</w:t>
            </w:r>
          </w:p>
          <w:p w14:paraId="4E6BD10E">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2</w:t>
            </w:r>
            <w:r>
              <w:rPr>
                <w:color w:val="auto"/>
                <w:sz w:val="24"/>
                <w:szCs w:val="24"/>
              </w:rPr>
              <w:t>：事故状态下最大消防水量，m</w:t>
            </w:r>
            <w:r>
              <w:rPr>
                <w:color w:val="auto"/>
                <w:sz w:val="24"/>
                <w:szCs w:val="24"/>
                <w:vertAlign w:val="superscript"/>
              </w:rPr>
              <w:t>3</w:t>
            </w:r>
            <w:r>
              <w:rPr>
                <w:color w:val="auto"/>
                <w:sz w:val="24"/>
                <w:szCs w:val="24"/>
              </w:rPr>
              <w:t>；</w:t>
            </w:r>
          </w:p>
          <w:p w14:paraId="0EF76FAD">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3</w:t>
            </w:r>
            <w:r>
              <w:rPr>
                <w:color w:val="auto"/>
                <w:sz w:val="24"/>
                <w:szCs w:val="24"/>
              </w:rPr>
              <w:t>：事故时可以转输到</w:t>
            </w:r>
            <w:r>
              <w:rPr>
                <w:rFonts w:hint="eastAsia"/>
                <w:color w:val="auto"/>
                <w:sz w:val="24"/>
                <w:szCs w:val="24"/>
                <w:lang w:eastAsia="zh-CN"/>
              </w:rPr>
              <w:t>其他</w:t>
            </w:r>
            <w:r>
              <w:rPr>
                <w:color w:val="auto"/>
                <w:sz w:val="24"/>
                <w:szCs w:val="24"/>
              </w:rPr>
              <w:t>储存或处理设施的物料量，m</w:t>
            </w:r>
            <w:r>
              <w:rPr>
                <w:color w:val="auto"/>
                <w:sz w:val="24"/>
                <w:szCs w:val="24"/>
                <w:vertAlign w:val="superscript"/>
              </w:rPr>
              <w:t>3</w:t>
            </w:r>
            <w:r>
              <w:rPr>
                <w:color w:val="auto"/>
                <w:sz w:val="24"/>
                <w:szCs w:val="24"/>
              </w:rPr>
              <w:t>；</w:t>
            </w:r>
          </w:p>
          <w:p w14:paraId="661F6B53">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4</w:t>
            </w:r>
            <w:r>
              <w:rPr>
                <w:color w:val="auto"/>
                <w:sz w:val="24"/>
                <w:szCs w:val="24"/>
              </w:rPr>
              <w:t>：发生事故时必须进入该收集系统的生产废水量，m</w:t>
            </w:r>
            <w:r>
              <w:rPr>
                <w:color w:val="auto"/>
                <w:sz w:val="24"/>
                <w:szCs w:val="24"/>
                <w:vertAlign w:val="superscript"/>
              </w:rPr>
              <w:t>3</w:t>
            </w:r>
            <w:r>
              <w:rPr>
                <w:color w:val="auto"/>
                <w:sz w:val="24"/>
                <w:szCs w:val="24"/>
              </w:rPr>
              <w:t>；</w:t>
            </w:r>
          </w:p>
          <w:p w14:paraId="2AC94560">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5</w:t>
            </w:r>
            <w:r>
              <w:rPr>
                <w:color w:val="auto"/>
                <w:sz w:val="24"/>
                <w:szCs w:val="24"/>
              </w:rPr>
              <w:t>：发生事故时可能进入该收集系统的降雨量，m</w:t>
            </w:r>
            <w:r>
              <w:rPr>
                <w:color w:val="auto"/>
                <w:sz w:val="24"/>
                <w:szCs w:val="24"/>
                <w:vertAlign w:val="superscript"/>
              </w:rPr>
              <w:t>3</w:t>
            </w:r>
            <w:r>
              <w:rPr>
                <w:color w:val="auto"/>
                <w:sz w:val="24"/>
                <w:szCs w:val="24"/>
              </w:rPr>
              <w:t>；</w:t>
            </w:r>
          </w:p>
          <w:p w14:paraId="5F139E65">
            <w:pPr>
              <w:keepNext w:val="0"/>
              <w:keepLines w:val="0"/>
              <w:pageBreakBefore w:val="0"/>
              <w:widowControl w:val="0"/>
              <w:kinsoku/>
              <w:wordWrap/>
              <w:overflowPunct/>
              <w:topLinePunct w:val="0"/>
              <w:bidi w:val="0"/>
              <w:adjustRightInd w:val="0"/>
              <w:snapToGrid w:val="0"/>
              <w:spacing w:line="500" w:lineRule="exact"/>
              <w:ind w:firstLine="520" w:firstLineChars="200"/>
              <w:rPr>
                <w:color w:val="auto"/>
                <w:spacing w:val="10"/>
                <w:sz w:val="24"/>
                <w:szCs w:val="24"/>
              </w:rPr>
            </w:pPr>
            <w:r>
              <w:rPr>
                <w:color w:val="auto"/>
                <w:spacing w:val="10"/>
                <w:sz w:val="24"/>
                <w:szCs w:val="24"/>
              </w:rPr>
              <w:t>V</w:t>
            </w:r>
            <w:r>
              <w:rPr>
                <w:color w:val="auto"/>
                <w:spacing w:val="10"/>
                <w:sz w:val="24"/>
                <w:szCs w:val="24"/>
                <w:vertAlign w:val="subscript"/>
              </w:rPr>
              <w:t>1</w:t>
            </w:r>
            <w:r>
              <w:rPr>
                <w:color w:val="auto"/>
                <w:sz w:val="24"/>
                <w:szCs w:val="24"/>
              </w:rPr>
              <w:t>：</w:t>
            </w:r>
            <w:r>
              <w:rPr>
                <w:rFonts w:hint="eastAsia"/>
                <w:color w:val="auto"/>
                <w:sz w:val="24"/>
                <w:szCs w:val="24"/>
              </w:rPr>
              <w:t>项目液态物料最大包装规格为</w:t>
            </w:r>
            <w:r>
              <w:rPr>
                <w:rFonts w:hint="eastAsia"/>
                <w:color w:val="auto"/>
                <w:sz w:val="24"/>
                <w:szCs w:val="24"/>
                <w:lang w:val="en-US" w:eastAsia="zh-CN"/>
              </w:rPr>
              <w:t>0.2</w:t>
            </w:r>
            <w:r>
              <w:rPr>
                <w:color w:val="auto"/>
                <w:spacing w:val="10"/>
                <w:sz w:val="24"/>
                <w:szCs w:val="24"/>
              </w:rPr>
              <w:t>m</w:t>
            </w:r>
            <w:r>
              <w:rPr>
                <w:color w:val="auto"/>
                <w:spacing w:val="10"/>
                <w:sz w:val="24"/>
                <w:szCs w:val="24"/>
                <w:vertAlign w:val="superscript"/>
              </w:rPr>
              <w:t>3</w:t>
            </w:r>
            <w:r>
              <w:rPr>
                <w:rFonts w:hint="eastAsia"/>
                <w:color w:val="auto"/>
                <w:sz w:val="24"/>
                <w:szCs w:val="24"/>
              </w:rPr>
              <w:t>，则</w:t>
            </w:r>
            <w:r>
              <w:rPr>
                <w:color w:val="auto"/>
                <w:spacing w:val="10"/>
                <w:sz w:val="24"/>
                <w:szCs w:val="24"/>
              </w:rPr>
              <w:t>V</w:t>
            </w:r>
            <w:r>
              <w:rPr>
                <w:color w:val="auto"/>
                <w:spacing w:val="10"/>
                <w:sz w:val="24"/>
                <w:szCs w:val="24"/>
                <w:vertAlign w:val="subscript"/>
              </w:rPr>
              <w:t>1</w:t>
            </w:r>
            <w:r>
              <w:rPr>
                <w:color w:val="auto"/>
                <w:spacing w:val="10"/>
                <w:sz w:val="24"/>
                <w:szCs w:val="24"/>
              </w:rPr>
              <w:t>=</w:t>
            </w:r>
            <w:r>
              <w:rPr>
                <w:rFonts w:hint="eastAsia"/>
                <w:color w:val="auto"/>
                <w:spacing w:val="10"/>
                <w:sz w:val="24"/>
                <w:szCs w:val="24"/>
                <w:lang w:val="en-US" w:eastAsia="zh-CN"/>
              </w:rPr>
              <w:t>0.2</w:t>
            </w:r>
            <w:r>
              <w:rPr>
                <w:color w:val="auto"/>
                <w:spacing w:val="10"/>
                <w:sz w:val="24"/>
                <w:szCs w:val="24"/>
              </w:rPr>
              <w:t>m</w:t>
            </w:r>
            <w:r>
              <w:rPr>
                <w:color w:val="auto"/>
                <w:spacing w:val="10"/>
                <w:sz w:val="24"/>
                <w:szCs w:val="24"/>
                <w:vertAlign w:val="superscript"/>
              </w:rPr>
              <w:t>3</w:t>
            </w:r>
            <w:r>
              <w:rPr>
                <w:color w:val="auto"/>
                <w:spacing w:val="10"/>
                <w:sz w:val="24"/>
                <w:szCs w:val="24"/>
              </w:rPr>
              <w:t>。</w:t>
            </w:r>
          </w:p>
          <w:p w14:paraId="3626C3BA">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pacing w:val="10"/>
                <w:sz w:val="24"/>
                <w:szCs w:val="24"/>
              </w:rPr>
            </w:pPr>
            <w:r>
              <w:rPr>
                <w:color w:val="auto"/>
                <w:sz w:val="24"/>
                <w:szCs w:val="24"/>
              </w:rPr>
              <w:t>V</w:t>
            </w:r>
            <w:r>
              <w:rPr>
                <w:color w:val="auto"/>
                <w:sz w:val="24"/>
                <w:szCs w:val="24"/>
                <w:vertAlign w:val="subscript"/>
              </w:rPr>
              <w:t>2</w:t>
            </w:r>
            <w:r>
              <w:rPr>
                <w:color w:val="auto"/>
                <w:sz w:val="24"/>
                <w:szCs w:val="24"/>
              </w:rPr>
              <w:t>：</w:t>
            </w:r>
            <w:r>
              <w:rPr>
                <w:color w:val="auto"/>
                <w:spacing w:val="10"/>
                <w:sz w:val="24"/>
                <w:szCs w:val="24"/>
              </w:rPr>
              <w:t>根据《建筑设计防火规范》(GB50016-2014)（2018年修订），在进行城镇、居住区、企事业单位规划和建筑设计时，必须同时设计消防给水系统，消防用水可由给水管网、天然水源或消防水池供给。则发生一次火灾时厂房室外消防用水量为：1</w:t>
            </w:r>
            <w:r>
              <w:rPr>
                <w:rFonts w:hint="eastAsia"/>
                <w:color w:val="auto"/>
                <w:spacing w:val="10"/>
                <w:sz w:val="24"/>
                <w:szCs w:val="24"/>
                <w:lang w:val="en-US" w:eastAsia="zh-CN"/>
              </w:rPr>
              <w:t>0</w:t>
            </w:r>
            <w:r>
              <w:rPr>
                <w:color w:val="auto"/>
                <w:spacing w:val="10"/>
                <w:sz w:val="24"/>
                <w:szCs w:val="24"/>
              </w:rPr>
              <w:t>×3600×10</w:t>
            </w:r>
            <w:r>
              <w:rPr>
                <w:color w:val="auto"/>
                <w:spacing w:val="10"/>
                <w:sz w:val="24"/>
                <w:szCs w:val="24"/>
                <w:vertAlign w:val="superscript"/>
              </w:rPr>
              <w:t>-3</w:t>
            </w:r>
            <w:r>
              <w:rPr>
                <w:color w:val="auto"/>
                <w:spacing w:val="10"/>
                <w:sz w:val="24"/>
                <w:szCs w:val="24"/>
              </w:rPr>
              <w:t>×</w:t>
            </w:r>
            <w:r>
              <w:rPr>
                <w:rFonts w:hint="eastAsia"/>
                <w:color w:val="auto"/>
                <w:spacing w:val="10"/>
                <w:sz w:val="24"/>
                <w:szCs w:val="24"/>
              </w:rPr>
              <w:t>2</w:t>
            </w:r>
            <w:r>
              <w:rPr>
                <w:color w:val="auto"/>
                <w:spacing w:val="10"/>
                <w:sz w:val="24"/>
                <w:szCs w:val="24"/>
              </w:rPr>
              <w:t>=</w:t>
            </w:r>
            <w:r>
              <w:rPr>
                <w:rFonts w:hint="eastAsia"/>
                <w:color w:val="auto"/>
                <w:spacing w:val="10"/>
                <w:sz w:val="24"/>
                <w:szCs w:val="24"/>
                <w:lang w:val="en-US" w:eastAsia="zh-CN"/>
              </w:rPr>
              <w:t>72</w:t>
            </w:r>
            <w:r>
              <w:rPr>
                <w:color w:val="auto"/>
                <w:spacing w:val="10"/>
                <w:sz w:val="24"/>
                <w:szCs w:val="24"/>
              </w:rPr>
              <w:t>m</w:t>
            </w:r>
            <w:r>
              <w:rPr>
                <w:color w:val="auto"/>
                <w:spacing w:val="10"/>
                <w:sz w:val="24"/>
                <w:szCs w:val="24"/>
                <w:vertAlign w:val="superscript"/>
              </w:rPr>
              <w:t>3</w:t>
            </w:r>
          </w:p>
          <w:p w14:paraId="740103E9">
            <w:pPr>
              <w:keepNext w:val="0"/>
              <w:keepLines w:val="0"/>
              <w:pageBreakBefore w:val="0"/>
              <w:widowControl w:val="0"/>
              <w:kinsoku/>
              <w:wordWrap/>
              <w:overflowPunct/>
              <w:topLinePunct w:val="0"/>
              <w:bidi w:val="0"/>
              <w:adjustRightInd w:val="0"/>
              <w:snapToGrid w:val="0"/>
              <w:spacing w:line="500" w:lineRule="exact"/>
              <w:ind w:firstLine="480" w:firstLineChars="200"/>
              <w:rPr>
                <w:rFonts w:hint="eastAsia" w:eastAsia="宋体"/>
                <w:color w:val="auto"/>
                <w:sz w:val="24"/>
                <w:szCs w:val="24"/>
                <w:lang w:eastAsia="zh-CN"/>
              </w:rPr>
            </w:pPr>
            <w:r>
              <w:rPr>
                <w:color w:val="auto"/>
                <w:sz w:val="24"/>
                <w:szCs w:val="24"/>
              </w:rPr>
              <w:t>V</w:t>
            </w:r>
            <w:r>
              <w:rPr>
                <w:color w:val="auto"/>
                <w:sz w:val="24"/>
                <w:szCs w:val="24"/>
                <w:vertAlign w:val="subscript"/>
              </w:rPr>
              <w:t>3</w:t>
            </w:r>
            <w:r>
              <w:rPr>
                <w:color w:val="auto"/>
                <w:sz w:val="24"/>
                <w:szCs w:val="24"/>
              </w:rPr>
              <w:t>：公司</w:t>
            </w:r>
            <w:r>
              <w:rPr>
                <w:rFonts w:hint="eastAsia"/>
                <w:color w:val="auto"/>
                <w:sz w:val="24"/>
                <w:szCs w:val="24"/>
              </w:rPr>
              <w:t>所在</w:t>
            </w:r>
            <w:r>
              <w:rPr>
                <w:rFonts w:hint="eastAsia"/>
                <w:color w:val="auto"/>
                <w:sz w:val="24"/>
                <w:szCs w:val="24"/>
                <w:lang w:eastAsia="zh-CN"/>
              </w:rPr>
              <w:t>的园区</w:t>
            </w:r>
            <w:r>
              <w:rPr>
                <w:color w:val="auto"/>
                <w:sz w:val="24"/>
                <w:szCs w:val="24"/>
              </w:rPr>
              <w:t>雨水管网总长度约为</w:t>
            </w:r>
            <w:r>
              <w:rPr>
                <w:rFonts w:hint="eastAsia"/>
                <w:color w:val="auto"/>
                <w:sz w:val="24"/>
                <w:szCs w:val="24"/>
                <w:lang w:val="en-US" w:eastAsia="zh-CN"/>
              </w:rPr>
              <w:t>80</w:t>
            </w:r>
            <w:r>
              <w:rPr>
                <w:color w:val="auto"/>
                <w:sz w:val="24"/>
                <w:szCs w:val="24"/>
              </w:rPr>
              <w:t>0m，管内径为0.</w:t>
            </w:r>
            <w:r>
              <w:rPr>
                <w:rFonts w:hint="eastAsia"/>
                <w:color w:val="auto"/>
                <w:sz w:val="24"/>
                <w:szCs w:val="24"/>
              </w:rPr>
              <w:t>4</w:t>
            </w:r>
            <w:r>
              <w:rPr>
                <w:color w:val="auto"/>
                <w:sz w:val="24"/>
                <w:szCs w:val="24"/>
              </w:rPr>
              <w:t>m，则雨水管网总容积约为</w:t>
            </w:r>
            <w:r>
              <w:rPr>
                <w:rFonts w:hint="eastAsia"/>
                <w:color w:val="auto"/>
                <w:sz w:val="24"/>
                <w:szCs w:val="24"/>
                <w:lang w:val="en-US" w:eastAsia="zh-CN"/>
              </w:rPr>
              <w:t>100</w:t>
            </w:r>
            <w:r>
              <w:rPr>
                <w:color w:val="auto"/>
                <w:sz w:val="24"/>
                <w:szCs w:val="24"/>
              </w:rPr>
              <w:t>m</w:t>
            </w:r>
            <w:r>
              <w:rPr>
                <w:color w:val="auto"/>
                <w:sz w:val="24"/>
                <w:szCs w:val="24"/>
                <w:vertAlign w:val="superscript"/>
              </w:rPr>
              <w:t>3</w:t>
            </w:r>
            <w:r>
              <w:rPr>
                <w:color w:val="auto"/>
                <w:sz w:val="24"/>
                <w:szCs w:val="24"/>
              </w:rPr>
              <w:t>，事故时可容纳消防尾水量为</w:t>
            </w:r>
            <w:r>
              <w:rPr>
                <w:rFonts w:hint="eastAsia"/>
                <w:color w:val="auto"/>
                <w:sz w:val="24"/>
                <w:szCs w:val="24"/>
                <w:lang w:val="en-US" w:eastAsia="zh-CN"/>
              </w:rPr>
              <w:t>80</w:t>
            </w:r>
            <w:r>
              <w:rPr>
                <w:color w:val="auto"/>
                <w:sz w:val="24"/>
                <w:szCs w:val="24"/>
              </w:rPr>
              <w:t>m</w:t>
            </w:r>
            <w:r>
              <w:rPr>
                <w:color w:val="auto"/>
                <w:sz w:val="24"/>
                <w:szCs w:val="24"/>
                <w:vertAlign w:val="superscript"/>
              </w:rPr>
              <w:t>3</w:t>
            </w:r>
            <w:r>
              <w:rPr>
                <w:color w:val="auto"/>
                <w:sz w:val="24"/>
                <w:szCs w:val="24"/>
              </w:rPr>
              <w:t>（以雨水管网总容积的</w:t>
            </w:r>
            <w:r>
              <w:rPr>
                <w:rFonts w:hint="eastAsia"/>
                <w:color w:val="auto"/>
                <w:sz w:val="24"/>
                <w:szCs w:val="24"/>
                <w:lang w:val="en-US" w:eastAsia="zh-CN"/>
              </w:rPr>
              <w:t>8</w:t>
            </w:r>
            <w:r>
              <w:rPr>
                <w:color w:val="auto"/>
                <w:sz w:val="24"/>
                <w:szCs w:val="24"/>
              </w:rPr>
              <w:t>0%计），则V</w:t>
            </w:r>
            <w:r>
              <w:rPr>
                <w:color w:val="auto"/>
                <w:sz w:val="24"/>
                <w:szCs w:val="24"/>
                <w:vertAlign w:val="subscript"/>
              </w:rPr>
              <w:t>3</w:t>
            </w:r>
            <w:r>
              <w:rPr>
                <w:color w:val="auto"/>
                <w:sz w:val="24"/>
                <w:szCs w:val="24"/>
              </w:rPr>
              <w:t>＝</w:t>
            </w:r>
            <w:r>
              <w:rPr>
                <w:rFonts w:hint="eastAsia"/>
                <w:color w:val="auto"/>
                <w:sz w:val="24"/>
                <w:szCs w:val="24"/>
                <w:lang w:val="en-US" w:eastAsia="zh-CN"/>
              </w:rPr>
              <w:t>80</w:t>
            </w:r>
            <w:r>
              <w:rPr>
                <w:color w:val="auto"/>
                <w:sz w:val="24"/>
                <w:szCs w:val="24"/>
              </w:rPr>
              <w:t>m</w:t>
            </w:r>
            <w:r>
              <w:rPr>
                <w:color w:val="auto"/>
                <w:sz w:val="24"/>
                <w:szCs w:val="24"/>
                <w:vertAlign w:val="superscript"/>
              </w:rPr>
              <w:t>3</w:t>
            </w:r>
            <w:r>
              <w:rPr>
                <w:color w:val="auto"/>
                <w:sz w:val="24"/>
                <w:szCs w:val="24"/>
              </w:rPr>
              <w:t>；</w:t>
            </w:r>
          </w:p>
          <w:p w14:paraId="7F4AC87B">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4</w:t>
            </w:r>
            <w:r>
              <w:rPr>
                <w:color w:val="auto"/>
                <w:sz w:val="24"/>
                <w:szCs w:val="24"/>
              </w:rPr>
              <w:t>：发生事故时无生产废水量进入该系统，取0m</w:t>
            </w:r>
            <w:r>
              <w:rPr>
                <w:color w:val="auto"/>
                <w:sz w:val="24"/>
                <w:szCs w:val="24"/>
                <w:vertAlign w:val="superscript"/>
              </w:rPr>
              <w:t>3</w:t>
            </w:r>
            <w:r>
              <w:rPr>
                <w:color w:val="auto"/>
                <w:sz w:val="24"/>
                <w:szCs w:val="24"/>
              </w:rPr>
              <w:t>；</w:t>
            </w:r>
          </w:p>
          <w:p w14:paraId="73E87754">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5</w:t>
            </w:r>
            <w:r>
              <w:rPr>
                <w:color w:val="auto"/>
                <w:sz w:val="24"/>
                <w:szCs w:val="24"/>
              </w:rPr>
              <w:t>：发生事故时可能进入该收集系统的降雨量，发生事故时可能进入该收集系统的降雨量，V</w:t>
            </w:r>
            <w:r>
              <w:rPr>
                <w:color w:val="auto"/>
                <w:sz w:val="24"/>
                <w:szCs w:val="24"/>
                <w:vertAlign w:val="subscript"/>
              </w:rPr>
              <w:t>5</w:t>
            </w:r>
            <w:r>
              <w:rPr>
                <w:color w:val="auto"/>
                <w:sz w:val="24"/>
                <w:szCs w:val="24"/>
              </w:rPr>
              <w:t>=10qF；</w:t>
            </w:r>
          </w:p>
          <w:p w14:paraId="4A91CFCC">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q：降雨强度，mm；按平均日降雨量；</w:t>
            </w:r>
          </w:p>
          <w:p w14:paraId="27CF7D21">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q=q</w:t>
            </w:r>
            <w:r>
              <w:rPr>
                <w:color w:val="auto"/>
                <w:sz w:val="24"/>
                <w:szCs w:val="24"/>
                <w:vertAlign w:val="subscript"/>
              </w:rPr>
              <w:t>a</w:t>
            </w:r>
            <w:r>
              <w:rPr>
                <w:color w:val="auto"/>
                <w:sz w:val="24"/>
                <w:szCs w:val="24"/>
              </w:rPr>
              <w:t>/n</w:t>
            </w:r>
          </w:p>
          <w:p w14:paraId="29A8B71E">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q</w:t>
            </w:r>
            <w:r>
              <w:rPr>
                <w:color w:val="auto"/>
                <w:sz w:val="24"/>
                <w:szCs w:val="24"/>
                <w:vertAlign w:val="subscript"/>
              </w:rPr>
              <w:t>a</w:t>
            </w:r>
            <w:r>
              <w:rPr>
                <w:color w:val="auto"/>
                <w:sz w:val="24"/>
                <w:szCs w:val="24"/>
              </w:rPr>
              <w:t>：年平均降雨量，取1074mm；</w:t>
            </w:r>
          </w:p>
          <w:p w14:paraId="4D7C7320">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n：年平均降雨日数，取126天；</w:t>
            </w:r>
          </w:p>
          <w:p w14:paraId="1B3DC257">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F：必须进入事故废水收集系统的雨水汇水面积ha，</w:t>
            </w:r>
            <w:r>
              <w:rPr>
                <w:rFonts w:hint="eastAsia"/>
                <w:color w:val="auto"/>
                <w:sz w:val="24"/>
                <w:szCs w:val="24"/>
                <w:lang w:eastAsia="zh-CN"/>
              </w:rPr>
              <w:t>项目生产车间占地面积约</w:t>
            </w:r>
            <w:r>
              <w:rPr>
                <w:rFonts w:hint="eastAsia"/>
                <w:color w:val="auto"/>
                <w:sz w:val="24"/>
                <w:szCs w:val="24"/>
                <w:lang w:val="en-US" w:eastAsia="zh-CN"/>
              </w:rPr>
              <w:t>3300m</w:t>
            </w:r>
            <w:r>
              <w:rPr>
                <w:rFonts w:hint="eastAsia"/>
                <w:color w:val="auto"/>
                <w:sz w:val="24"/>
                <w:szCs w:val="24"/>
                <w:vertAlign w:val="superscript"/>
                <w:lang w:val="en-US" w:eastAsia="zh-CN"/>
              </w:rPr>
              <w:t>2</w:t>
            </w:r>
            <w:r>
              <w:rPr>
                <w:rFonts w:hint="eastAsia"/>
                <w:color w:val="auto"/>
                <w:sz w:val="24"/>
                <w:szCs w:val="24"/>
                <w:lang w:val="en-US" w:eastAsia="zh-CN"/>
              </w:rPr>
              <w:t>，故取0.33</w:t>
            </w:r>
            <w:r>
              <w:rPr>
                <w:color w:val="auto"/>
                <w:sz w:val="24"/>
                <w:szCs w:val="24"/>
              </w:rPr>
              <w:t>ha；</w:t>
            </w:r>
          </w:p>
          <w:p w14:paraId="17F982D0">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由此计算V</w:t>
            </w:r>
            <w:r>
              <w:rPr>
                <w:color w:val="auto"/>
                <w:sz w:val="24"/>
                <w:szCs w:val="24"/>
                <w:vertAlign w:val="subscript"/>
              </w:rPr>
              <w:t>5</w:t>
            </w:r>
            <w:r>
              <w:rPr>
                <w:color w:val="auto"/>
                <w:sz w:val="24"/>
                <w:szCs w:val="24"/>
              </w:rPr>
              <w:t>为</w:t>
            </w:r>
            <w:r>
              <w:rPr>
                <w:rFonts w:hint="eastAsia"/>
                <w:color w:val="auto"/>
                <w:sz w:val="24"/>
                <w:szCs w:val="24"/>
                <w:lang w:val="en-US" w:eastAsia="zh-CN"/>
              </w:rPr>
              <w:t>28.1</w:t>
            </w:r>
            <w:r>
              <w:rPr>
                <w:color w:val="auto"/>
                <w:sz w:val="24"/>
                <w:szCs w:val="24"/>
              </w:rPr>
              <w:t>m</w:t>
            </w:r>
            <w:r>
              <w:rPr>
                <w:color w:val="auto"/>
                <w:sz w:val="24"/>
                <w:szCs w:val="24"/>
                <w:vertAlign w:val="superscript"/>
              </w:rPr>
              <w:t>3</w:t>
            </w:r>
            <w:r>
              <w:rPr>
                <w:color w:val="auto"/>
                <w:sz w:val="24"/>
                <w:szCs w:val="24"/>
              </w:rPr>
              <w:t>。</w:t>
            </w:r>
          </w:p>
          <w:p w14:paraId="16B02A67">
            <w:pPr>
              <w:pStyle w:val="8"/>
              <w:keepNext w:val="0"/>
              <w:keepLines w:val="0"/>
              <w:pageBreakBefore w:val="0"/>
              <w:widowControl w:val="0"/>
              <w:kinsoku/>
              <w:wordWrap/>
              <w:overflowPunct/>
              <w:topLinePunct w:val="0"/>
              <w:bidi w:val="0"/>
              <w:adjustRightInd w:val="0"/>
              <w:spacing w:before="0" w:after="0" w:line="500" w:lineRule="exact"/>
              <w:ind w:right="0" w:firstLine="480" w:firstLineChars="200"/>
              <w:rPr>
                <w:b/>
                <w:color w:val="auto"/>
                <w:sz w:val="24"/>
                <w:szCs w:val="24"/>
              </w:rPr>
            </w:pPr>
            <w:r>
              <w:rPr>
                <w:color w:val="auto"/>
                <w:sz w:val="24"/>
                <w:szCs w:val="24"/>
              </w:rPr>
              <w:t>V</w:t>
            </w:r>
            <w:r>
              <w:rPr>
                <w:color w:val="auto"/>
                <w:sz w:val="24"/>
                <w:szCs w:val="24"/>
                <w:vertAlign w:val="subscript"/>
              </w:rPr>
              <w:t>a</w:t>
            </w:r>
            <w:r>
              <w:rPr>
                <w:color w:val="auto"/>
                <w:sz w:val="24"/>
                <w:szCs w:val="24"/>
              </w:rPr>
              <w:t>=</w:t>
            </w:r>
            <w:r>
              <w:rPr>
                <w:rFonts w:hint="eastAsia"/>
                <w:color w:val="auto"/>
                <w:sz w:val="24"/>
                <w:szCs w:val="24"/>
                <w:lang w:val="en-US" w:eastAsia="zh-CN"/>
              </w:rPr>
              <w:t>0.2</w:t>
            </w:r>
            <w:r>
              <w:rPr>
                <w:color w:val="auto"/>
                <w:sz w:val="24"/>
                <w:szCs w:val="24"/>
              </w:rPr>
              <w:t>+</w:t>
            </w:r>
            <w:r>
              <w:rPr>
                <w:rFonts w:hint="eastAsia"/>
                <w:color w:val="auto"/>
                <w:sz w:val="24"/>
                <w:szCs w:val="24"/>
                <w:lang w:val="en-US" w:eastAsia="zh-CN"/>
              </w:rPr>
              <w:t>72</w:t>
            </w:r>
            <w:r>
              <w:rPr>
                <w:color w:val="auto"/>
                <w:sz w:val="24"/>
                <w:szCs w:val="24"/>
              </w:rPr>
              <w:t>-</w:t>
            </w:r>
            <w:r>
              <w:rPr>
                <w:rFonts w:hint="eastAsia"/>
                <w:color w:val="auto"/>
                <w:sz w:val="24"/>
                <w:szCs w:val="24"/>
                <w:lang w:val="en-US" w:eastAsia="zh-CN"/>
              </w:rPr>
              <w:t>80</w:t>
            </w:r>
            <w:r>
              <w:rPr>
                <w:color w:val="auto"/>
                <w:sz w:val="24"/>
                <w:szCs w:val="24"/>
              </w:rPr>
              <w:t>+0+</w:t>
            </w:r>
            <w:r>
              <w:rPr>
                <w:rFonts w:hint="eastAsia"/>
                <w:color w:val="auto"/>
                <w:sz w:val="24"/>
                <w:szCs w:val="24"/>
                <w:lang w:val="en-US" w:eastAsia="zh-CN"/>
              </w:rPr>
              <w:t>28.1</w:t>
            </w:r>
            <w:r>
              <w:rPr>
                <w:rFonts w:hint="eastAsia" w:cs="Times New Roman"/>
                <w:color w:val="auto"/>
                <w:sz w:val="24"/>
                <w:szCs w:val="24"/>
                <w:lang w:val="en-US" w:eastAsia="zh-CN"/>
              </w:rPr>
              <w:t>=20.3</w:t>
            </w:r>
            <w:r>
              <w:rPr>
                <w:color w:val="auto"/>
                <w:sz w:val="24"/>
                <w:szCs w:val="24"/>
              </w:rPr>
              <w:t>m</w:t>
            </w:r>
            <w:r>
              <w:rPr>
                <w:color w:val="auto"/>
                <w:sz w:val="24"/>
                <w:szCs w:val="24"/>
                <w:vertAlign w:val="superscript"/>
              </w:rPr>
              <w:t>3</w:t>
            </w:r>
          </w:p>
          <w:p w14:paraId="61615133">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cs="Times New Roman"/>
                <w:color w:val="auto"/>
                <w:sz w:val="24"/>
                <w:szCs w:val="24"/>
              </w:rPr>
            </w:pPr>
            <w:r>
              <w:rPr>
                <w:color w:val="auto"/>
                <w:sz w:val="24"/>
                <w:szCs w:val="24"/>
              </w:rPr>
              <w:t>公司</w:t>
            </w:r>
            <w:r>
              <w:rPr>
                <w:rFonts w:hint="eastAsia"/>
                <w:color w:val="auto"/>
                <w:sz w:val="24"/>
                <w:szCs w:val="24"/>
                <w:lang w:val="en-US" w:eastAsia="zh-CN"/>
              </w:rPr>
              <w:t>需新建一座25</w:t>
            </w:r>
            <w:r>
              <w:rPr>
                <w:color w:val="auto"/>
                <w:sz w:val="24"/>
                <w:szCs w:val="24"/>
              </w:rPr>
              <w:t>m</w:t>
            </w:r>
            <w:r>
              <w:rPr>
                <w:color w:val="auto"/>
                <w:sz w:val="24"/>
                <w:szCs w:val="24"/>
                <w:vertAlign w:val="superscript"/>
              </w:rPr>
              <w:t>3</w:t>
            </w:r>
            <w:r>
              <w:rPr>
                <w:rFonts w:hint="eastAsia"/>
                <w:color w:val="auto"/>
                <w:sz w:val="24"/>
                <w:szCs w:val="24"/>
                <w:lang w:val="en-US" w:eastAsia="zh-CN"/>
              </w:rPr>
              <w:t>的事故应急池，</w:t>
            </w:r>
            <w:r>
              <w:rPr>
                <w:rFonts w:hint="eastAsia" w:ascii="Times New Roman" w:hAnsi="Times New Roman" w:cs="Times New Roman"/>
                <w:color w:val="auto"/>
                <w:sz w:val="24"/>
                <w:szCs w:val="24"/>
              </w:rPr>
              <w:t>同时</w:t>
            </w:r>
            <w:r>
              <w:rPr>
                <w:rFonts w:hint="eastAsia"/>
                <w:color w:val="auto"/>
                <w:sz w:val="24"/>
                <w:szCs w:val="24"/>
                <w:lang w:val="en-US" w:eastAsia="zh-CN"/>
              </w:rPr>
              <w:t>出租方</w:t>
            </w:r>
            <w:r>
              <w:rPr>
                <w:rFonts w:hint="eastAsia" w:cs="Times New Roman"/>
                <w:color w:val="auto"/>
                <w:sz w:val="24"/>
                <w:szCs w:val="24"/>
                <w:lang w:eastAsia="zh-CN"/>
              </w:rPr>
              <w:t>厂</w:t>
            </w:r>
            <w:r>
              <w:rPr>
                <w:rFonts w:hint="eastAsia" w:ascii="Times New Roman" w:hAnsi="Times New Roman" w:cs="Times New Roman"/>
                <w:color w:val="auto"/>
                <w:sz w:val="24"/>
                <w:szCs w:val="24"/>
                <w:lang w:eastAsia="zh-CN"/>
              </w:rPr>
              <w:t>区</w:t>
            </w:r>
            <w:r>
              <w:rPr>
                <w:rFonts w:hint="eastAsia" w:ascii="Times New Roman" w:hAnsi="Times New Roman" w:cs="Times New Roman"/>
                <w:color w:val="auto"/>
                <w:sz w:val="24"/>
                <w:szCs w:val="24"/>
              </w:rPr>
              <w:t>雨水排放口</w:t>
            </w:r>
            <w:r>
              <w:rPr>
                <w:rFonts w:hint="eastAsia" w:cs="Times New Roman"/>
                <w:color w:val="auto"/>
                <w:sz w:val="24"/>
                <w:szCs w:val="24"/>
                <w:lang w:eastAsia="zh-CN"/>
              </w:rPr>
              <w:t>需</w:t>
            </w:r>
            <w:r>
              <w:rPr>
                <w:rFonts w:hint="eastAsia" w:ascii="Times New Roman" w:hAnsi="Times New Roman" w:cs="Times New Roman"/>
                <w:color w:val="auto"/>
                <w:sz w:val="24"/>
                <w:szCs w:val="24"/>
              </w:rPr>
              <w:t>安装截流阀，确保事故时的消防废水、泄漏废液不排入外环境。</w:t>
            </w:r>
          </w:p>
          <w:p w14:paraId="5158E2CE">
            <w:pPr>
              <w:keepNext w:val="0"/>
              <w:keepLines w:val="0"/>
              <w:pageBreakBefore w:val="0"/>
              <w:widowControl w:val="0"/>
              <w:numPr>
                <w:ilvl w:val="0"/>
                <w:numId w:val="0"/>
              </w:numPr>
              <w:kinsoku/>
              <w:wordWrap/>
              <w:overflowPunct/>
              <w:topLinePunct w:val="0"/>
              <w:bidi w:val="0"/>
              <w:adjustRightInd w:val="0"/>
              <w:snapToGrid w:val="0"/>
              <w:spacing w:line="500" w:lineRule="exact"/>
              <w:ind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7）企</w:t>
            </w:r>
            <w:r>
              <w:rPr>
                <w:rFonts w:hint="eastAsia" w:ascii="Times New Roman" w:hAnsi="Times New Roman" w:eastAsia="宋体" w:cs="Times New Roman"/>
                <w:color w:val="auto"/>
                <w:sz w:val="24"/>
                <w:szCs w:val="24"/>
                <w:lang w:val="en-US" w:eastAsia="zh-CN"/>
              </w:rPr>
              <w:t>业</w:t>
            </w:r>
            <w:r>
              <w:rPr>
                <w:rFonts w:hint="eastAsia" w:ascii="Times New Roman" w:hAnsi="Times New Roman" w:eastAsia="宋体" w:cs="Times New Roman"/>
                <w:color w:val="auto"/>
                <w:sz w:val="24"/>
                <w:szCs w:val="24"/>
              </w:rPr>
              <w:t>环境风险三级防范</w:t>
            </w:r>
            <w:r>
              <w:rPr>
                <w:rFonts w:hint="eastAsia" w:ascii="Times New Roman" w:hAnsi="Times New Roman" w:eastAsia="宋体" w:cs="Times New Roman"/>
                <w:color w:val="auto"/>
                <w:sz w:val="24"/>
                <w:szCs w:val="24"/>
                <w:lang w:eastAsia="zh-CN"/>
              </w:rPr>
              <w:t>措施</w:t>
            </w:r>
          </w:p>
          <w:p w14:paraId="7D3A5697">
            <w:pPr>
              <w:pStyle w:val="98"/>
              <w:keepNext w:val="0"/>
              <w:keepLines w:val="0"/>
              <w:pageBreakBefore w:val="0"/>
              <w:widowControl w:val="0"/>
              <w:tabs>
                <w:tab w:val="left" w:pos="840"/>
              </w:tabs>
              <w:kinsoku/>
              <w:wordWrap/>
              <w:overflowPunct/>
              <w:topLinePunct w:val="0"/>
              <w:bidi w:val="0"/>
              <w:snapToGrid/>
              <w:spacing w:line="500" w:lineRule="exact"/>
              <w:ind w:firstLine="480" w:firstLineChars="200"/>
              <w:rPr>
                <w:rFonts w:hint="default" w:ascii="Times New Roman" w:hAnsi="Times New Roman" w:eastAsia="宋体" w:cs="Times New Roman"/>
                <w:snapToGrid/>
                <w:color w:val="auto"/>
                <w:spacing w:val="0"/>
                <w:kern w:val="2"/>
                <w:sz w:val="24"/>
                <w:szCs w:val="24"/>
                <w:lang w:val="en-US" w:eastAsia="zh-CN" w:bidi="ar-SA"/>
              </w:rPr>
            </w:pPr>
            <w:r>
              <w:rPr>
                <w:rFonts w:hint="default" w:ascii="Times New Roman" w:hAnsi="Times New Roman" w:eastAsia="宋体" w:cs="Times New Roman"/>
                <w:snapToGrid/>
                <w:color w:val="auto"/>
                <w:spacing w:val="0"/>
                <w:kern w:val="2"/>
                <w:sz w:val="24"/>
                <w:szCs w:val="24"/>
                <w:lang w:val="en-US" w:eastAsia="zh-CN" w:bidi="ar-SA"/>
              </w:rPr>
              <w:t>一级防控措施：利用</w:t>
            </w:r>
            <w:r>
              <w:rPr>
                <w:rFonts w:hint="eastAsia" w:ascii="Times New Roman" w:hAnsi="Times New Roman" w:eastAsia="宋体" w:cs="Times New Roman"/>
                <w:snapToGrid/>
                <w:color w:val="auto"/>
                <w:spacing w:val="0"/>
                <w:kern w:val="2"/>
                <w:sz w:val="24"/>
                <w:szCs w:val="24"/>
                <w:lang w:val="en-US" w:eastAsia="zh-CN" w:bidi="ar-SA"/>
              </w:rPr>
              <w:t>车间</w:t>
            </w:r>
            <w:r>
              <w:rPr>
                <w:rFonts w:hint="default" w:ascii="Times New Roman" w:hAnsi="Times New Roman" w:eastAsia="宋体" w:cs="Times New Roman"/>
                <w:snapToGrid/>
                <w:color w:val="auto"/>
                <w:spacing w:val="0"/>
                <w:kern w:val="2"/>
                <w:sz w:val="24"/>
                <w:szCs w:val="24"/>
                <w:lang w:val="en-US" w:eastAsia="zh-CN" w:bidi="ar-SA"/>
              </w:rPr>
              <w:t>存储区</w:t>
            </w:r>
            <w:r>
              <w:rPr>
                <w:rFonts w:hint="eastAsia" w:ascii="Times New Roman" w:hAnsi="Times New Roman" w:cs="Times New Roman"/>
                <w:snapToGrid/>
                <w:color w:val="auto"/>
                <w:spacing w:val="0"/>
                <w:kern w:val="2"/>
                <w:sz w:val="24"/>
                <w:szCs w:val="24"/>
                <w:lang w:val="en-US" w:eastAsia="zh-CN" w:bidi="ar-SA"/>
              </w:rPr>
              <w:t>、危废仓库</w:t>
            </w:r>
            <w:r>
              <w:rPr>
                <w:rFonts w:hint="default" w:ascii="Times New Roman" w:hAnsi="Times New Roman" w:eastAsia="宋体" w:cs="Times New Roman"/>
                <w:snapToGrid/>
                <w:color w:val="auto"/>
                <w:spacing w:val="0"/>
                <w:kern w:val="2"/>
                <w:sz w:val="24"/>
                <w:szCs w:val="24"/>
                <w:lang w:val="en-US" w:eastAsia="zh-CN" w:bidi="ar-SA"/>
              </w:rPr>
              <w:t>收集装置作为一级防控措施，主要防控泄漏</w:t>
            </w:r>
            <w:r>
              <w:rPr>
                <w:rFonts w:hint="eastAsia" w:ascii="Times New Roman" w:hAnsi="Times New Roman" w:eastAsia="宋体" w:cs="Times New Roman"/>
                <w:snapToGrid/>
                <w:color w:val="auto"/>
                <w:spacing w:val="0"/>
                <w:kern w:val="2"/>
                <w:sz w:val="24"/>
                <w:szCs w:val="24"/>
                <w:lang w:val="en-US" w:eastAsia="zh-CN" w:bidi="ar-SA"/>
              </w:rPr>
              <w:t>少量</w:t>
            </w:r>
            <w:r>
              <w:rPr>
                <w:rFonts w:hint="default" w:ascii="Times New Roman" w:hAnsi="Times New Roman" w:eastAsia="宋体" w:cs="Times New Roman"/>
                <w:snapToGrid/>
                <w:color w:val="auto"/>
                <w:spacing w:val="0"/>
                <w:kern w:val="2"/>
                <w:sz w:val="24"/>
                <w:szCs w:val="24"/>
                <w:lang w:val="en-US" w:eastAsia="zh-CN" w:bidi="ar-SA"/>
              </w:rPr>
              <w:t>物料。二级防控措施：</w:t>
            </w:r>
            <w:r>
              <w:rPr>
                <w:rFonts w:hint="eastAsia" w:ascii="Times New Roman" w:hAnsi="Times New Roman" w:eastAsia="宋体" w:cs="Times New Roman"/>
                <w:snapToGrid/>
                <w:color w:val="auto"/>
                <w:spacing w:val="0"/>
                <w:kern w:val="2"/>
                <w:sz w:val="24"/>
                <w:szCs w:val="24"/>
                <w:lang w:val="en-US" w:eastAsia="zh-CN" w:bidi="ar-SA"/>
              </w:rPr>
              <w:t>利用</w:t>
            </w:r>
            <w:r>
              <w:rPr>
                <w:rFonts w:hint="eastAsia"/>
                <w:color w:val="auto"/>
                <w:sz w:val="24"/>
                <w:szCs w:val="24"/>
                <w:lang w:val="en-US" w:eastAsia="zh-CN"/>
              </w:rPr>
              <w:t>事故应急池</w:t>
            </w:r>
            <w:r>
              <w:rPr>
                <w:rFonts w:hint="default" w:ascii="Times New Roman" w:hAnsi="Times New Roman" w:eastAsia="宋体" w:cs="Times New Roman"/>
                <w:snapToGrid/>
                <w:color w:val="auto"/>
                <w:spacing w:val="0"/>
                <w:kern w:val="2"/>
                <w:sz w:val="24"/>
                <w:szCs w:val="24"/>
                <w:lang w:val="en-US" w:eastAsia="zh-CN" w:bidi="ar-SA"/>
              </w:rPr>
              <w:t>作为二级防控措施，用于事故状态下储存泄漏物料、事故废水。三级防控措施：当厂区二级防控系统</w:t>
            </w:r>
            <w:r>
              <w:rPr>
                <w:rFonts w:hint="eastAsia" w:ascii="Times New Roman" w:hAnsi="Times New Roman" w:cs="Times New Roman"/>
                <w:snapToGrid/>
                <w:color w:val="auto"/>
                <w:spacing w:val="0"/>
                <w:kern w:val="2"/>
                <w:sz w:val="24"/>
                <w:szCs w:val="24"/>
                <w:lang w:val="en-US" w:eastAsia="zh-CN" w:bidi="ar-SA"/>
              </w:rPr>
              <w:t>无法满足防控需求</w:t>
            </w:r>
            <w:r>
              <w:rPr>
                <w:rFonts w:hint="default" w:ascii="Times New Roman" w:hAnsi="Times New Roman" w:eastAsia="宋体" w:cs="Times New Roman"/>
                <w:snapToGrid/>
                <w:color w:val="auto"/>
                <w:spacing w:val="0"/>
                <w:kern w:val="2"/>
                <w:sz w:val="24"/>
                <w:szCs w:val="24"/>
                <w:lang w:val="en-US" w:eastAsia="zh-CN" w:bidi="ar-SA"/>
              </w:rPr>
              <w:t>时，</w:t>
            </w:r>
            <w:r>
              <w:rPr>
                <w:rFonts w:hint="eastAsia" w:ascii="Times New Roman" w:hAnsi="Times New Roman" w:cs="Times New Roman"/>
                <w:snapToGrid/>
                <w:color w:val="auto"/>
                <w:spacing w:val="0"/>
                <w:kern w:val="2"/>
                <w:sz w:val="24"/>
                <w:szCs w:val="24"/>
                <w:lang w:val="en-US" w:eastAsia="zh-CN" w:bidi="ar-SA"/>
              </w:rPr>
              <w:t>企业需立即汇报金坛生态环境局、金坛区水利局、金坛区航道管理处等上级管理部门，由上级管理部门</w:t>
            </w:r>
            <w:r>
              <w:rPr>
                <w:rFonts w:hint="default" w:ascii="Times New Roman" w:hAnsi="Times New Roman" w:eastAsia="宋体" w:cs="Times New Roman"/>
                <w:snapToGrid/>
                <w:color w:val="auto"/>
                <w:spacing w:val="0"/>
                <w:kern w:val="2"/>
                <w:sz w:val="24"/>
                <w:szCs w:val="24"/>
                <w:lang w:val="en-US" w:eastAsia="zh-CN" w:bidi="ar-SA"/>
              </w:rPr>
              <w:t>在厂区附近的</w:t>
            </w:r>
            <w:r>
              <w:rPr>
                <w:rFonts w:hint="eastAsia" w:ascii="Times New Roman" w:hAnsi="Times New Roman" w:eastAsia="宋体" w:cs="Times New Roman"/>
                <w:snapToGrid/>
                <w:color w:val="auto"/>
                <w:spacing w:val="0"/>
                <w:kern w:val="2"/>
                <w:sz w:val="24"/>
                <w:szCs w:val="24"/>
                <w:lang w:val="en-US" w:eastAsia="zh-CN" w:bidi="ar-SA"/>
              </w:rPr>
              <w:t>市政</w:t>
            </w:r>
            <w:r>
              <w:rPr>
                <w:rFonts w:hint="default" w:ascii="Times New Roman" w:hAnsi="Times New Roman" w:eastAsia="宋体" w:cs="Times New Roman"/>
                <w:snapToGrid/>
                <w:color w:val="auto"/>
                <w:spacing w:val="0"/>
                <w:kern w:val="2"/>
                <w:sz w:val="24"/>
                <w:szCs w:val="24"/>
                <w:lang w:val="en-US" w:eastAsia="zh-CN" w:bidi="ar-SA"/>
              </w:rPr>
              <w:t>雨水管网</w:t>
            </w:r>
            <w:r>
              <w:rPr>
                <w:rFonts w:hint="eastAsia" w:ascii="Times New Roman" w:hAnsi="Times New Roman" w:cs="Times New Roman"/>
                <w:snapToGrid/>
                <w:color w:val="auto"/>
                <w:spacing w:val="0"/>
                <w:kern w:val="2"/>
                <w:sz w:val="24"/>
                <w:szCs w:val="24"/>
                <w:lang w:val="en-US" w:eastAsia="zh-CN" w:bidi="ar-SA"/>
              </w:rPr>
              <w:t>及附近河道</w:t>
            </w:r>
            <w:r>
              <w:rPr>
                <w:rFonts w:hint="default" w:ascii="Times New Roman" w:hAnsi="Times New Roman" w:eastAsia="宋体" w:cs="Times New Roman"/>
                <w:snapToGrid/>
                <w:color w:val="auto"/>
                <w:spacing w:val="0"/>
                <w:kern w:val="2"/>
                <w:sz w:val="24"/>
                <w:szCs w:val="24"/>
                <w:lang w:val="en-US" w:eastAsia="zh-CN" w:bidi="ar-SA"/>
              </w:rPr>
              <w:t>上游、下游方向</w:t>
            </w:r>
            <w:r>
              <w:rPr>
                <w:rFonts w:hint="eastAsia" w:ascii="Times New Roman" w:hAnsi="Times New Roman" w:cs="Times New Roman"/>
                <w:snapToGrid/>
                <w:color w:val="auto"/>
                <w:spacing w:val="0"/>
                <w:kern w:val="2"/>
                <w:sz w:val="24"/>
                <w:szCs w:val="24"/>
                <w:lang w:val="en-US" w:eastAsia="zh-CN" w:bidi="ar-SA"/>
              </w:rPr>
              <w:t>设置拦截措施</w:t>
            </w:r>
            <w:r>
              <w:rPr>
                <w:rFonts w:hint="default" w:ascii="Times New Roman" w:hAnsi="Times New Roman" w:eastAsia="宋体" w:cs="Times New Roman"/>
                <w:snapToGrid/>
                <w:color w:val="auto"/>
                <w:spacing w:val="0"/>
                <w:kern w:val="2"/>
                <w:sz w:val="24"/>
                <w:szCs w:val="24"/>
                <w:lang w:val="en-US" w:eastAsia="zh-CN" w:bidi="ar-SA"/>
              </w:rPr>
              <w:t>，防止事故废水进一步污染下游水环境</w:t>
            </w:r>
            <w:r>
              <w:rPr>
                <w:rFonts w:hint="eastAsia" w:ascii="Times New Roman" w:hAnsi="Times New Roman" w:eastAsia="宋体" w:cs="Times New Roman"/>
                <w:snapToGrid/>
                <w:color w:val="auto"/>
                <w:spacing w:val="0"/>
                <w:kern w:val="2"/>
                <w:sz w:val="24"/>
                <w:szCs w:val="24"/>
                <w:lang w:val="en-US" w:eastAsia="zh-CN" w:bidi="ar-SA"/>
              </w:rPr>
              <w:t>。</w:t>
            </w:r>
          </w:p>
          <w:p w14:paraId="6259796A">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cs="Times New Roman"/>
                <w:color w:val="auto"/>
                <w:sz w:val="24"/>
                <w:szCs w:val="24"/>
              </w:rPr>
            </w:pPr>
            <w:r>
              <w:rPr>
                <w:rFonts w:hint="eastAsia" w:cs="Times New Roman"/>
                <w:color w:val="auto"/>
                <w:sz w:val="24"/>
                <w:szCs w:val="24"/>
                <w:lang w:val="en-US" w:eastAsia="zh-CN"/>
              </w:rPr>
              <w:t>6</w:t>
            </w:r>
            <w:r>
              <w:rPr>
                <w:rFonts w:hint="eastAsia" w:ascii="Times New Roman" w:hAnsi="Times New Roman" w:cs="Times New Roman"/>
                <w:color w:val="auto"/>
                <w:sz w:val="24"/>
                <w:szCs w:val="24"/>
              </w:rPr>
              <w:t>）与常州市金坛区应急管理局的联动</w:t>
            </w:r>
          </w:p>
          <w:p w14:paraId="2DF3678C">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省生态环境厅关于做好安全生产专项整治工作实施方案》(苏环办[2020]16号)、《关于做好生态环境和应急管理部门联动工作的意见》（苏环办[2020]101号）相关要求，项目建成后需开展大气、固废等污染防治措施安全论证并获得常州市金坛区应急管理局的许可。</w:t>
            </w:r>
          </w:p>
          <w:p w14:paraId="519B58C5">
            <w:pPr>
              <w:keepNext w:val="0"/>
              <w:keepLines w:val="0"/>
              <w:pageBreakBefore w:val="0"/>
              <w:widowControl w:val="0"/>
              <w:kinsoku/>
              <w:wordWrap/>
              <w:overflowPunct/>
              <w:topLinePunct w:val="0"/>
              <w:bidi w:val="0"/>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3、</w:t>
            </w:r>
            <w:r>
              <w:rPr>
                <w:rFonts w:hint="default" w:ascii="Times New Roman" w:hAnsi="Times New Roman" w:cs="Times New Roman"/>
                <w:bCs/>
                <w:color w:val="auto"/>
                <w:sz w:val="24"/>
              </w:rPr>
              <w:t>突发环境事件应急预案风险应急计划</w:t>
            </w:r>
          </w:p>
          <w:p w14:paraId="07DBE62E">
            <w:pPr>
              <w:keepNext w:val="0"/>
              <w:keepLines w:val="0"/>
              <w:pageBreakBefore w:val="0"/>
              <w:widowControl w:val="0"/>
              <w:kinsoku/>
              <w:wordWrap/>
              <w:overflowPunct/>
              <w:topLinePunct w:val="0"/>
              <w:bidi w:val="0"/>
              <w:adjustRightInd w:val="0"/>
              <w:snapToGrid w:val="0"/>
              <w:spacing w:line="500" w:lineRule="exact"/>
              <w:ind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rPr>
              <w:t>企业可委托有资质单位编制突发环境事件应急预案，并按规定报县级以上生态环境主管部门备案。</w:t>
            </w:r>
          </w:p>
          <w:p w14:paraId="3FBE2A63">
            <w:pPr>
              <w:keepNext w:val="0"/>
              <w:keepLines w:val="0"/>
              <w:pageBreakBefore w:val="0"/>
              <w:widowControl w:val="0"/>
              <w:kinsoku/>
              <w:wordWrap/>
              <w:overflowPunct/>
              <w:topLinePunct w:val="0"/>
              <w:bidi w:val="0"/>
              <w:adjustRightInd w:val="0"/>
              <w:snapToGrid w:val="0"/>
              <w:spacing w:line="500" w:lineRule="exact"/>
              <w:rPr>
                <w:rFonts w:hint="default" w:ascii="Times New Roman" w:hAnsi="Times New Roman" w:cs="Times New Roman"/>
                <w:b/>
                <w:bCs/>
                <w:color w:val="auto"/>
                <w:sz w:val="24"/>
              </w:rPr>
            </w:pPr>
            <w:r>
              <w:rPr>
                <w:rFonts w:hint="eastAsia" w:cs="Times New Roman"/>
                <w:b/>
                <w:bCs/>
                <w:color w:val="auto"/>
                <w:sz w:val="24"/>
                <w:lang w:eastAsia="zh-CN"/>
              </w:rPr>
              <w:t>八</w:t>
            </w:r>
            <w:r>
              <w:rPr>
                <w:rFonts w:hint="default" w:ascii="Times New Roman" w:hAnsi="Times New Roman" w:cs="Times New Roman"/>
                <w:b/>
                <w:bCs/>
                <w:color w:val="auto"/>
                <w:sz w:val="24"/>
              </w:rPr>
              <w:t>、电磁辐射</w:t>
            </w:r>
          </w:p>
          <w:p w14:paraId="343826DF">
            <w:pPr>
              <w:keepNext w:val="0"/>
              <w:keepLines w:val="0"/>
              <w:pageBreakBefore w:val="0"/>
              <w:widowControl w:val="0"/>
              <w:kinsoku/>
              <w:wordWrap/>
              <w:overflowPunct/>
              <w:topLinePunct w:val="0"/>
              <w:bidi w:val="0"/>
              <w:adjustRightInd w:val="0"/>
              <w:snapToGrid w:val="0"/>
              <w:spacing w:line="500" w:lineRule="exact"/>
              <w:ind w:firstLine="480" w:firstLineChars="200"/>
              <w:rPr>
                <w:rFonts w:hint="default" w:ascii="Times New Roman" w:hAnsi="Times New Roman" w:eastAsia="黑体" w:cs="Times New Roman"/>
                <w:snapToGrid w:val="0"/>
                <w:color w:val="auto"/>
                <w:sz w:val="30"/>
                <w:szCs w:val="30"/>
                <w:vertAlign w:val="baseline"/>
              </w:rPr>
            </w:pPr>
            <w:r>
              <w:rPr>
                <w:rFonts w:hint="default" w:ascii="Times New Roman" w:hAnsi="Times New Roman" w:cs="Times New Roman"/>
                <w:bCs/>
                <w:color w:val="auto"/>
                <w:sz w:val="24"/>
                <w:szCs w:val="22"/>
              </w:rPr>
              <w:t>本项目不涉及</w:t>
            </w:r>
            <w:r>
              <w:rPr>
                <w:rFonts w:hint="default" w:ascii="Times New Roman" w:hAnsi="Times New Roman" w:eastAsia="宋体" w:cs="Times New Roman"/>
                <w:bCs/>
                <w:color w:val="auto"/>
                <w:sz w:val="24"/>
              </w:rPr>
              <w:t>电磁辐射</w:t>
            </w:r>
            <w:r>
              <w:rPr>
                <w:rFonts w:hint="default" w:ascii="Times New Roman" w:hAnsi="Times New Roman" w:cs="Times New Roman"/>
                <w:bCs/>
                <w:color w:val="auto"/>
                <w:sz w:val="24"/>
                <w:szCs w:val="22"/>
              </w:rPr>
              <w:t>。</w:t>
            </w:r>
          </w:p>
        </w:tc>
      </w:tr>
    </w:tbl>
    <w:p w14:paraId="30ACD420">
      <w:pPr>
        <w:pStyle w:val="22"/>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9"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p w14:paraId="2FE462A3">
      <w:pPr>
        <w:pStyle w:val="22"/>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7" w:name="_Hlk54167917"/>
      <w:r>
        <w:rPr>
          <w:rFonts w:hint="default" w:ascii="Times New Roman" w:hAnsi="Times New Roman" w:eastAsia="黑体" w:cs="Times New Roman"/>
          <w:snapToGrid w:val="0"/>
          <w:color w:val="auto"/>
          <w:sz w:val="30"/>
          <w:szCs w:val="30"/>
        </w:rPr>
        <w:t>环境保护措施监督检查清单</w:t>
      </w:r>
      <w:bookmarkEnd w:id="5"/>
      <w:bookmarkEnd w:id="7"/>
    </w:p>
    <w:tbl>
      <w:tblPr>
        <w:tblStyle w:val="27"/>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332"/>
        <w:gridCol w:w="1473"/>
        <w:gridCol w:w="1677"/>
        <w:gridCol w:w="2400"/>
        <w:gridCol w:w="2116"/>
      </w:tblGrid>
      <w:tr w14:paraId="1D18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tcBorders>
              <w:tl2br w:val="single" w:color="auto" w:sz="4" w:space="0"/>
            </w:tcBorders>
          </w:tcPr>
          <w:p w14:paraId="3F8D3E78">
            <w:pPr>
              <w:adjustRightInd w:val="0"/>
              <w:snapToGrid w:val="0"/>
              <w:spacing w:line="240" w:lineRule="auto"/>
              <w:ind w:left="0" w:leftChars="0" w:firstLine="0" w:firstLineChars="0"/>
              <w:jc w:val="righ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内容</w:t>
            </w:r>
          </w:p>
          <w:p w14:paraId="73765D38">
            <w:pPr>
              <w:adjustRightInd w:val="0"/>
              <w:snapToGrid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要素</w:t>
            </w:r>
          </w:p>
        </w:tc>
        <w:tc>
          <w:tcPr>
            <w:tcW w:w="1473" w:type="dxa"/>
            <w:vAlign w:val="center"/>
          </w:tcPr>
          <w:p w14:paraId="21BE6A5F">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排放口（编号、名称）/污染源</w:t>
            </w:r>
          </w:p>
        </w:tc>
        <w:tc>
          <w:tcPr>
            <w:tcW w:w="1677" w:type="dxa"/>
            <w:vAlign w:val="center"/>
          </w:tcPr>
          <w:p w14:paraId="67F2C5F2">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污染物项目</w:t>
            </w:r>
          </w:p>
        </w:tc>
        <w:tc>
          <w:tcPr>
            <w:tcW w:w="2400" w:type="dxa"/>
            <w:vAlign w:val="center"/>
          </w:tcPr>
          <w:p w14:paraId="3B7E45BD">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环境保护措施</w:t>
            </w:r>
          </w:p>
        </w:tc>
        <w:tc>
          <w:tcPr>
            <w:tcW w:w="2116" w:type="dxa"/>
            <w:vAlign w:val="center"/>
          </w:tcPr>
          <w:p w14:paraId="4911D01E">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执行标准</w:t>
            </w:r>
          </w:p>
        </w:tc>
      </w:tr>
      <w:tr w14:paraId="500D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33" w:hRule="atLeast"/>
          <w:jc w:val="center"/>
        </w:trPr>
        <w:tc>
          <w:tcPr>
            <w:tcW w:w="1332" w:type="dxa"/>
            <w:vMerge w:val="restart"/>
            <w:vAlign w:val="center"/>
          </w:tcPr>
          <w:p w14:paraId="6BA2021D">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1473" w:type="dxa"/>
            <w:vAlign w:val="center"/>
          </w:tcPr>
          <w:p w14:paraId="23DB4B9E">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有组织废气</w:t>
            </w:r>
          </w:p>
        </w:tc>
        <w:tc>
          <w:tcPr>
            <w:tcW w:w="1677" w:type="dxa"/>
            <w:vAlign w:val="center"/>
          </w:tcPr>
          <w:p w14:paraId="3A4C1C2B">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2400" w:type="dxa"/>
            <w:vAlign w:val="center"/>
          </w:tcPr>
          <w:p w14:paraId="5E0F27F9">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项目挤出、压塑、吹塑废气采用集气罩收集后经</w:t>
            </w:r>
            <w:r>
              <w:rPr>
                <w:rFonts w:hint="default" w:ascii="Times New Roman" w:hAnsi="Times New Roman" w:cs="Times New Roman"/>
                <w:color w:val="auto"/>
                <w:sz w:val="21"/>
                <w:szCs w:val="21"/>
                <w:highlight w:val="none"/>
                <w:lang w:val="en-US" w:eastAsia="zh-CN"/>
              </w:rPr>
              <w:t>二级活性炭吸附</w:t>
            </w:r>
            <w:r>
              <w:rPr>
                <w:rFonts w:hint="default" w:ascii="Times New Roman" w:hAnsi="Times New Roman" w:cs="Times New Roman"/>
                <w:color w:val="auto"/>
                <w:sz w:val="21"/>
                <w:szCs w:val="21"/>
                <w:highlight w:val="none"/>
              </w:rPr>
              <w:t>处理</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尾气</w:t>
            </w:r>
            <w:r>
              <w:rPr>
                <w:rFonts w:hint="default" w:ascii="Times New Roman" w:hAnsi="Times New Roman" w:cs="Times New Roman"/>
                <w:color w:val="auto"/>
                <w:sz w:val="21"/>
                <w:szCs w:val="21"/>
                <w:highlight w:val="none"/>
              </w:rPr>
              <w:t>通过一根15m高排气筒</w:t>
            </w:r>
            <w:r>
              <w:rPr>
                <w:rFonts w:hint="default" w:ascii="Times New Roman" w:hAnsi="Times New Roman" w:cs="Times New Roman"/>
                <w:color w:val="auto"/>
                <w:sz w:val="21"/>
                <w:szCs w:val="21"/>
              </w:rPr>
              <w:t>排放</w:t>
            </w:r>
          </w:p>
        </w:tc>
        <w:tc>
          <w:tcPr>
            <w:tcW w:w="2116" w:type="dxa"/>
            <w:vAlign w:val="center"/>
          </w:tcPr>
          <w:p w14:paraId="40ED7274">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u w:val="none"/>
                <w:shd w:val="clear" w:color="auto" w:fill="auto"/>
                <w:lang w:val="en-US" w:eastAsia="zh-CN" w:bidi="ar-SA"/>
              </w:rPr>
              <w:t>《合成树脂工业污染物排放标准》（GB31572-2015）</w:t>
            </w:r>
            <w:r>
              <w:rPr>
                <w:rFonts w:hint="eastAsia" w:cs="Times New Roman"/>
                <w:color w:val="auto"/>
                <w:kern w:val="2"/>
                <w:sz w:val="21"/>
                <w:szCs w:val="21"/>
                <w:u w:val="none"/>
                <w:shd w:val="clear" w:color="auto" w:fill="auto"/>
                <w:lang w:val="en-US" w:eastAsia="zh-CN" w:bidi="ar-SA"/>
              </w:rPr>
              <w:t>及修改单</w:t>
            </w:r>
            <w:r>
              <w:rPr>
                <w:rFonts w:hint="default" w:ascii="Times New Roman" w:hAnsi="Times New Roman" w:eastAsia="宋体" w:cs="Times New Roman"/>
                <w:color w:val="auto"/>
                <w:sz w:val="21"/>
                <w:szCs w:val="21"/>
              </w:rPr>
              <w:t>表</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标准</w:t>
            </w:r>
          </w:p>
        </w:tc>
      </w:tr>
      <w:tr w14:paraId="1C29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9" w:hRule="atLeast"/>
          <w:jc w:val="center"/>
        </w:trPr>
        <w:tc>
          <w:tcPr>
            <w:tcW w:w="1332" w:type="dxa"/>
            <w:vMerge w:val="continue"/>
            <w:vAlign w:val="center"/>
          </w:tcPr>
          <w:p w14:paraId="024C7A52">
            <w:pPr>
              <w:adjustRightInd w:val="0"/>
              <w:snapToGrid w:val="0"/>
              <w:spacing w:line="240" w:lineRule="auto"/>
              <w:jc w:val="center"/>
              <w:rPr>
                <w:rFonts w:hint="default" w:ascii="Times New Roman" w:hAnsi="Times New Roman" w:cs="Times New Roman"/>
                <w:color w:val="auto"/>
                <w:sz w:val="21"/>
                <w:szCs w:val="21"/>
              </w:rPr>
            </w:pPr>
          </w:p>
        </w:tc>
        <w:tc>
          <w:tcPr>
            <w:tcW w:w="1473" w:type="dxa"/>
            <w:vAlign w:val="center"/>
          </w:tcPr>
          <w:p w14:paraId="6B4A9AE6">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无组织废气</w:t>
            </w:r>
          </w:p>
        </w:tc>
        <w:tc>
          <w:tcPr>
            <w:tcW w:w="1677" w:type="dxa"/>
            <w:vAlign w:val="center"/>
          </w:tcPr>
          <w:p w14:paraId="27AEC7A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2400" w:type="dxa"/>
            <w:vAlign w:val="center"/>
          </w:tcPr>
          <w:p w14:paraId="5992F469">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加强车间内通风</w:t>
            </w:r>
          </w:p>
        </w:tc>
        <w:tc>
          <w:tcPr>
            <w:tcW w:w="2116" w:type="dxa"/>
            <w:vAlign w:val="center"/>
          </w:tcPr>
          <w:p w14:paraId="194E3656">
            <w:pPr>
              <w:adjustRightInd w:val="0"/>
              <w:snapToGrid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kern w:val="2"/>
                <w:sz w:val="21"/>
                <w:szCs w:val="21"/>
                <w:u w:val="none"/>
                <w:shd w:val="clear" w:color="auto" w:fill="auto"/>
                <w:lang w:val="en-US" w:eastAsia="zh-CN" w:bidi="ar-SA"/>
              </w:rPr>
              <w:t>《合成树脂工业污染物排放标准》（GB31572-2015）</w:t>
            </w:r>
            <w:r>
              <w:rPr>
                <w:rFonts w:hint="eastAsia" w:cs="Times New Roman"/>
                <w:color w:val="auto"/>
                <w:kern w:val="2"/>
                <w:sz w:val="21"/>
                <w:szCs w:val="21"/>
                <w:u w:val="none"/>
                <w:shd w:val="clear" w:color="auto" w:fill="auto"/>
                <w:lang w:val="en-US" w:eastAsia="zh-CN" w:bidi="ar-SA"/>
              </w:rPr>
              <w:t>及修改单</w:t>
            </w:r>
            <w:r>
              <w:rPr>
                <w:rFonts w:hint="default" w:ascii="Times New Roman" w:hAnsi="Times New Roman" w:cs="Times New Roman"/>
                <w:color w:val="auto"/>
                <w:sz w:val="21"/>
                <w:szCs w:val="21"/>
              </w:rPr>
              <w:t>表</w:t>
            </w:r>
            <w:r>
              <w:rPr>
                <w:rFonts w:hint="eastAsia" w:cs="Times New Roman"/>
                <w:color w:val="auto"/>
                <w:sz w:val="21"/>
                <w:szCs w:val="21"/>
                <w:lang w:val="en-US" w:eastAsia="zh-CN"/>
              </w:rPr>
              <w:t>9</w:t>
            </w:r>
            <w:r>
              <w:rPr>
                <w:rFonts w:hint="default" w:ascii="Times New Roman" w:hAnsi="Times New Roman" w:cs="Times New Roman"/>
                <w:color w:val="auto"/>
                <w:sz w:val="21"/>
                <w:szCs w:val="21"/>
              </w:rPr>
              <w:t>标准</w:t>
            </w:r>
          </w:p>
        </w:tc>
      </w:tr>
      <w:tr w14:paraId="03CF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2CCE1505">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1473" w:type="dxa"/>
            <w:vAlign w:val="center"/>
          </w:tcPr>
          <w:p w14:paraId="39345EE7">
            <w:pPr>
              <w:adjustRightInd w:val="0"/>
              <w:snapToGrid w:val="0"/>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eastAsia="zh-CN"/>
              </w:rPr>
              <w:t>生活污水</w:t>
            </w:r>
          </w:p>
        </w:tc>
        <w:tc>
          <w:tcPr>
            <w:tcW w:w="1677" w:type="dxa"/>
            <w:vAlign w:val="center"/>
          </w:tcPr>
          <w:p w14:paraId="7A58429A">
            <w:pPr>
              <w:adjustRightInd w:val="0"/>
              <w:snapToGrid w:val="0"/>
              <w:spacing w:line="240" w:lineRule="auto"/>
              <w:jc w:val="center"/>
              <w:rPr>
                <w:rFonts w:hint="default" w:ascii="Times New Roman" w:hAnsi="Times New Roman" w:cs="Times New Roman"/>
                <w:color w:val="auto"/>
                <w:sz w:val="21"/>
                <w:szCs w:val="21"/>
              </w:rPr>
            </w:pPr>
            <w:r>
              <w:rPr>
                <w:color w:val="auto"/>
                <w:sz w:val="21"/>
                <w:szCs w:val="21"/>
              </w:rPr>
              <w:t>COD、SS、氨氮、</w:t>
            </w:r>
            <w:r>
              <w:rPr>
                <w:rFonts w:hint="eastAsia"/>
                <w:color w:val="auto"/>
                <w:sz w:val="21"/>
                <w:szCs w:val="21"/>
              </w:rPr>
              <w:t>TN</w:t>
            </w:r>
            <w:r>
              <w:rPr>
                <w:color w:val="auto"/>
                <w:sz w:val="21"/>
                <w:szCs w:val="21"/>
              </w:rPr>
              <w:t>、</w:t>
            </w:r>
            <w:r>
              <w:rPr>
                <w:rFonts w:hint="eastAsia"/>
                <w:color w:val="auto"/>
                <w:sz w:val="21"/>
                <w:szCs w:val="21"/>
              </w:rPr>
              <w:t>TP</w:t>
            </w:r>
          </w:p>
        </w:tc>
        <w:tc>
          <w:tcPr>
            <w:tcW w:w="2400" w:type="dxa"/>
            <w:vAlign w:val="center"/>
          </w:tcPr>
          <w:p w14:paraId="06C9210A">
            <w:pPr>
              <w:adjustRightInd w:val="0"/>
              <w:snapToGrid w:val="0"/>
              <w:spacing w:line="240" w:lineRule="auto"/>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经厂区污水管网收集后接管金坛区</w:t>
            </w:r>
            <w:r>
              <w:rPr>
                <w:rFonts w:hint="eastAsia" w:cs="Times New Roman"/>
                <w:color w:val="auto"/>
                <w:sz w:val="21"/>
                <w:szCs w:val="21"/>
                <w:lang w:val="en-US" w:eastAsia="zh-CN"/>
              </w:rPr>
              <w:t>第二</w:t>
            </w:r>
            <w:r>
              <w:rPr>
                <w:rFonts w:hint="eastAsia" w:ascii="Times New Roman" w:hAnsi="Times New Roman" w:eastAsia="宋体" w:cs="Times New Roman"/>
                <w:color w:val="auto"/>
                <w:sz w:val="21"/>
                <w:szCs w:val="21"/>
                <w:lang w:val="en-US" w:eastAsia="zh-CN"/>
              </w:rPr>
              <w:t>污水处理</w:t>
            </w:r>
            <w:r>
              <w:rPr>
                <w:rFonts w:hint="eastAsia" w:cs="Times New Roman"/>
                <w:color w:val="auto"/>
                <w:sz w:val="21"/>
                <w:szCs w:val="21"/>
                <w:lang w:val="en-US" w:eastAsia="zh-CN"/>
              </w:rPr>
              <w:t>有限公司</w:t>
            </w:r>
          </w:p>
        </w:tc>
        <w:tc>
          <w:tcPr>
            <w:tcW w:w="2116" w:type="dxa"/>
            <w:vAlign w:val="center"/>
          </w:tcPr>
          <w:p w14:paraId="122FD13B">
            <w:pPr>
              <w:adjustRightInd w:val="0"/>
              <w:snapToGrid w:val="0"/>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val="en-US" w:eastAsia="zh-CN"/>
              </w:rPr>
              <w:t>金坛区</w:t>
            </w:r>
            <w:r>
              <w:rPr>
                <w:rFonts w:hint="eastAsia" w:cs="Times New Roman"/>
                <w:color w:val="auto"/>
                <w:sz w:val="21"/>
                <w:szCs w:val="21"/>
                <w:lang w:val="en-US" w:eastAsia="zh-CN"/>
              </w:rPr>
              <w:t>第二</w:t>
            </w:r>
            <w:r>
              <w:rPr>
                <w:rFonts w:hint="eastAsia" w:ascii="Times New Roman" w:hAnsi="Times New Roman" w:eastAsia="宋体" w:cs="Times New Roman"/>
                <w:color w:val="auto"/>
                <w:sz w:val="21"/>
                <w:szCs w:val="21"/>
                <w:lang w:val="en-US" w:eastAsia="zh-CN"/>
              </w:rPr>
              <w:t>污水处理</w:t>
            </w:r>
            <w:r>
              <w:rPr>
                <w:rFonts w:hint="eastAsia" w:cs="Times New Roman"/>
                <w:color w:val="auto"/>
                <w:sz w:val="21"/>
                <w:szCs w:val="21"/>
                <w:lang w:val="en-US" w:eastAsia="zh-CN"/>
              </w:rPr>
              <w:t>有限公司污水接管水质要求</w:t>
            </w:r>
            <w:r>
              <w:rPr>
                <w:rFonts w:hint="eastAsia" w:cs="Times New Roman"/>
                <w:color w:val="auto"/>
                <w:sz w:val="21"/>
                <w:szCs w:val="21"/>
                <w:lang w:eastAsia="zh-CN"/>
              </w:rPr>
              <w:t>》</w:t>
            </w:r>
          </w:p>
        </w:tc>
      </w:tr>
      <w:tr w14:paraId="2D8F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11A13557">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473" w:type="dxa"/>
            <w:vAlign w:val="center"/>
          </w:tcPr>
          <w:p w14:paraId="165D47F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机械设备</w:t>
            </w:r>
          </w:p>
        </w:tc>
        <w:tc>
          <w:tcPr>
            <w:tcW w:w="1677" w:type="dxa"/>
            <w:vAlign w:val="center"/>
          </w:tcPr>
          <w:p w14:paraId="6190531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400" w:type="dxa"/>
            <w:vAlign w:val="center"/>
          </w:tcPr>
          <w:p w14:paraId="5885591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合理布局、减振、厂房隔声、距离衰减等措施</w:t>
            </w:r>
          </w:p>
        </w:tc>
        <w:tc>
          <w:tcPr>
            <w:tcW w:w="2116" w:type="dxa"/>
            <w:vAlign w:val="center"/>
          </w:tcPr>
          <w:p w14:paraId="3DD40A81">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《工业企业厂界环境噪声排放标准》（GB12348-2008）中</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类标准</w:t>
            </w:r>
          </w:p>
        </w:tc>
      </w:tr>
      <w:tr w14:paraId="1C9C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086C074B">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电磁辐射</w:t>
            </w:r>
          </w:p>
        </w:tc>
        <w:tc>
          <w:tcPr>
            <w:tcW w:w="1473" w:type="dxa"/>
            <w:vAlign w:val="center"/>
          </w:tcPr>
          <w:p w14:paraId="6C017644">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77" w:type="dxa"/>
            <w:vAlign w:val="center"/>
          </w:tcPr>
          <w:p w14:paraId="7B499F8C">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400" w:type="dxa"/>
            <w:vAlign w:val="center"/>
          </w:tcPr>
          <w:p w14:paraId="119E9997">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116" w:type="dxa"/>
            <w:vAlign w:val="center"/>
          </w:tcPr>
          <w:p w14:paraId="7A8BB358">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908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8" w:hRule="atLeast"/>
          <w:jc w:val="center"/>
        </w:trPr>
        <w:tc>
          <w:tcPr>
            <w:tcW w:w="1332" w:type="dxa"/>
            <w:vAlign w:val="center"/>
          </w:tcPr>
          <w:p w14:paraId="340D28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7666" w:type="dxa"/>
            <w:gridSpan w:val="4"/>
            <w:vAlign w:val="center"/>
          </w:tcPr>
          <w:p w14:paraId="130FE026">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边角料</w:t>
            </w:r>
            <w:r>
              <w:rPr>
                <w:rFonts w:hint="eastAsia" w:cs="Times New Roman"/>
                <w:color w:val="auto"/>
                <w:sz w:val="21"/>
                <w:szCs w:val="21"/>
                <w:highlight w:val="none"/>
                <w:lang w:eastAsia="zh-CN"/>
              </w:rPr>
              <w:t>、次品、</w:t>
            </w:r>
            <w:r>
              <w:rPr>
                <w:rFonts w:hint="eastAsia" w:cs="Times New Roman"/>
                <w:color w:val="auto"/>
                <w:sz w:val="21"/>
                <w:szCs w:val="21"/>
                <w:highlight w:val="none"/>
                <w:lang w:val="en-US" w:eastAsia="zh-CN"/>
              </w:rPr>
              <w:t>废包装袋</w:t>
            </w:r>
            <w:r>
              <w:rPr>
                <w:rFonts w:hint="default" w:ascii="Times New Roman" w:hAnsi="Times New Roman" w:cs="Times New Roman"/>
                <w:color w:val="auto"/>
                <w:sz w:val="21"/>
                <w:szCs w:val="21"/>
                <w:highlight w:val="none"/>
              </w:rPr>
              <w:t>属于一般固废，收集后外售综合利用；</w:t>
            </w:r>
            <w:r>
              <w:rPr>
                <w:rFonts w:hint="eastAsia" w:cs="Times New Roman"/>
                <w:color w:val="auto"/>
                <w:sz w:val="21"/>
                <w:szCs w:val="21"/>
                <w:highlight w:val="none"/>
                <w:lang w:val="en-US" w:eastAsia="zh-CN"/>
              </w:rPr>
              <w:t>废液压油、废油桶</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废活性炭属于危险废物，委托有资质单位处理；</w:t>
            </w:r>
            <w:r>
              <w:rPr>
                <w:rFonts w:hint="eastAsia" w:cs="Times New Roman"/>
                <w:color w:val="auto"/>
                <w:sz w:val="21"/>
                <w:szCs w:val="21"/>
                <w:highlight w:val="none"/>
                <w:lang w:eastAsia="zh-CN"/>
              </w:rPr>
              <w:t>生活垃圾</w:t>
            </w:r>
            <w:r>
              <w:rPr>
                <w:rFonts w:hint="default" w:ascii="Times New Roman" w:hAnsi="Times New Roman" w:cs="Times New Roman"/>
                <w:color w:val="auto"/>
                <w:sz w:val="21"/>
                <w:szCs w:val="21"/>
                <w:highlight w:val="none"/>
              </w:rPr>
              <w:t>委托环卫清运。</w:t>
            </w:r>
          </w:p>
        </w:tc>
      </w:tr>
      <w:tr w14:paraId="0409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93" w:hRule="atLeast"/>
          <w:jc w:val="center"/>
        </w:trPr>
        <w:tc>
          <w:tcPr>
            <w:tcW w:w="1332" w:type="dxa"/>
            <w:vAlign w:val="center"/>
          </w:tcPr>
          <w:p w14:paraId="40E934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土壤及地下水污染防治措施</w:t>
            </w:r>
          </w:p>
        </w:tc>
        <w:tc>
          <w:tcPr>
            <w:tcW w:w="7666" w:type="dxa"/>
            <w:gridSpan w:val="4"/>
            <w:vAlign w:val="center"/>
          </w:tcPr>
          <w:p w14:paraId="01BA53E6">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本项目土壤地下水污染防治措施按照</w:t>
            </w:r>
            <w:r>
              <w:rPr>
                <w:rFonts w:hint="eastAsia" w:cs="Times New Roman"/>
                <w:color w:val="auto"/>
                <w:sz w:val="21"/>
                <w:szCs w:val="21"/>
                <w:lang w:eastAsia="zh-CN"/>
              </w:rPr>
              <w:t>“</w:t>
            </w:r>
            <w:r>
              <w:rPr>
                <w:rFonts w:hint="default" w:ascii="Times New Roman" w:hAnsi="Times New Roman" w:cs="Times New Roman"/>
                <w:color w:val="auto"/>
                <w:sz w:val="21"/>
                <w:szCs w:val="21"/>
              </w:rPr>
              <w:t>源头控制、分区防治、污染监控、应急响应</w:t>
            </w:r>
            <w:r>
              <w:rPr>
                <w:rFonts w:hint="eastAsia" w:cs="Times New Roman"/>
                <w:color w:val="auto"/>
                <w:sz w:val="21"/>
                <w:szCs w:val="21"/>
                <w:lang w:eastAsia="zh-CN"/>
              </w:rPr>
              <w:t>”</w:t>
            </w:r>
            <w:r>
              <w:rPr>
                <w:rFonts w:hint="default" w:ascii="Times New Roman" w:hAnsi="Times New Roman" w:cs="Times New Roman"/>
                <w:color w:val="auto"/>
                <w:sz w:val="21"/>
                <w:szCs w:val="21"/>
              </w:rPr>
              <w:t>相结合的原则，从污染物的产生、入渗、扩散、应急响应进行控制。本项目以先进工艺、管道、设备、污水储存，尽可能从源头上减少废水产生；严格按照国家相关规范要求，对工艺、管道、设备、污水储存及处理构筑物采取相应的措施，以防止和降低废水的跑、冒、滴、漏，将废水泄漏的环境风险事故降到最低程度。根据防渗参照的标准和规范，结合目前施工过程中的可操作性和技术水平，针对不同的防渗区域采用典型防渗措施，在具体设计中将根据实际情况在满足防渗标准的前提下做必要的调整。本项目针对污染特点设置地下水、土壤一般污染防渗区和重点污染防渗区。正常工况下对地下水基本无渗漏，污染较小。正常工况下排放的废气不属于重点重金属、持久性有机污染物或难降解有机污染物，大气沉降不会对周边土壤产生明显影响。</w:t>
            </w:r>
          </w:p>
        </w:tc>
      </w:tr>
      <w:tr w14:paraId="0DCE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7" w:hRule="atLeast"/>
          <w:jc w:val="center"/>
        </w:trPr>
        <w:tc>
          <w:tcPr>
            <w:tcW w:w="1332" w:type="dxa"/>
            <w:vAlign w:val="center"/>
          </w:tcPr>
          <w:p w14:paraId="06069B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w:t>
            </w:r>
          </w:p>
          <w:p w14:paraId="047608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措施</w:t>
            </w:r>
          </w:p>
        </w:tc>
        <w:tc>
          <w:tcPr>
            <w:tcW w:w="7666" w:type="dxa"/>
            <w:gridSpan w:val="4"/>
            <w:vAlign w:val="center"/>
          </w:tcPr>
          <w:p w14:paraId="5EB680A7">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本项目用地范围内不含生态保护目标。</w:t>
            </w:r>
          </w:p>
        </w:tc>
      </w:tr>
      <w:tr w14:paraId="3893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92" w:hRule="atLeast"/>
          <w:jc w:val="center"/>
        </w:trPr>
        <w:tc>
          <w:tcPr>
            <w:tcW w:w="1332" w:type="dxa"/>
            <w:vAlign w:val="center"/>
          </w:tcPr>
          <w:p w14:paraId="48E996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环境风险</w:t>
            </w:r>
          </w:p>
          <w:p w14:paraId="69DE9F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防范措施</w:t>
            </w:r>
          </w:p>
        </w:tc>
        <w:tc>
          <w:tcPr>
            <w:tcW w:w="7666" w:type="dxa"/>
            <w:gridSpan w:val="4"/>
            <w:vAlign w:val="center"/>
          </w:tcPr>
          <w:p w14:paraId="72C7B2A7">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（1）加强对危险废物的管理，制定相应的安全操作流程；</w:t>
            </w:r>
          </w:p>
          <w:p w14:paraId="64A87B95">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lang w:val="en-US" w:eastAsia="zh-CN"/>
              </w:rPr>
              <w:t>仓库必须防渗、防漏、防雨，应配备吸附剂等材料，防止发生事故时能对事故进行应急处理；</w:t>
            </w:r>
          </w:p>
          <w:p w14:paraId="011972C0">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eastAsia="宋体" w:cs="Times New Roman"/>
                <w:color w:val="auto"/>
                <w:sz w:val="21"/>
                <w:szCs w:val="21"/>
                <w:lang w:val="en-US" w:eastAsia="zh-CN"/>
              </w:rPr>
              <w:t>应加强火源的管理，各重点部位建议设置灭火器，并且对其</w:t>
            </w:r>
            <w:r>
              <w:rPr>
                <w:rFonts w:hint="eastAsia" w:cs="Times New Roman"/>
                <w:color w:val="auto"/>
                <w:sz w:val="21"/>
                <w:szCs w:val="21"/>
                <w:lang w:val="en-US" w:eastAsia="zh-CN"/>
              </w:rPr>
              <w:t>做</w:t>
            </w:r>
            <w:r>
              <w:rPr>
                <w:rFonts w:hint="default" w:ascii="Times New Roman" w:hAnsi="Times New Roman" w:eastAsia="宋体" w:cs="Times New Roman"/>
                <w:color w:val="auto"/>
                <w:sz w:val="21"/>
                <w:szCs w:val="21"/>
                <w:lang w:val="en-US" w:eastAsia="zh-CN"/>
              </w:rPr>
              <w:t>定期检查。</w:t>
            </w:r>
          </w:p>
        </w:tc>
      </w:tr>
      <w:tr w14:paraId="131D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002" w:hRule="atLeast"/>
          <w:jc w:val="center"/>
        </w:trPr>
        <w:tc>
          <w:tcPr>
            <w:tcW w:w="1332" w:type="dxa"/>
            <w:vAlign w:val="center"/>
          </w:tcPr>
          <w:p w14:paraId="7BFD03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其他环境</w:t>
            </w:r>
          </w:p>
          <w:p w14:paraId="26C9B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管理要求</w:t>
            </w:r>
          </w:p>
        </w:tc>
        <w:tc>
          <w:tcPr>
            <w:tcW w:w="7666" w:type="dxa"/>
            <w:gridSpan w:val="4"/>
            <w:vAlign w:val="center"/>
          </w:tcPr>
          <w:p w14:paraId="493C8563">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（1）保持与环境保护主</w:t>
            </w:r>
            <w:r>
              <w:rPr>
                <w:rFonts w:hint="default" w:ascii="Times New Roman" w:hAnsi="Times New Roman" w:eastAsia="宋体" w:cs="Times New Roman"/>
                <w:color w:val="auto"/>
                <w:sz w:val="21"/>
                <w:szCs w:val="21"/>
                <w:lang w:val="en-US" w:eastAsia="zh-CN"/>
              </w:rPr>
              <w:t>管机构的密切联系，及时了解国家、地方对本项目的有关环境保护的法律、法规和</w:t>
            </w:r>
            <w:r>
              <w:rPr>
                <w:rFonts w:hint="eastAsia" w:cs="Times New Roman"/>
                <w:color w:val="auto"/>
                <w:sz w:val="21"/>
                <w:szCs w:val="21"/>
                <w:lang w:val="en-US" w:eastAsia="zh-CN"/>
              </w:rPr>
              <w:t>其他</w:t>
            </w:r>
            <w:r>
              <w:rPr>
                <w:rFonts w:hint="default" w:ascii="Times New Roman" w:hAnsi="Times New Roman" w:eastAsia="宋体" w:cs="Times New Roman"/>
                <w:color w:val="auto"/>
                <w:sz w:val="21"/>
                <w:szCs w:val="21"/>
                <w:lang w:val="en-US" w:eastAsia="zh-CN"/>
              </w:rPr>
              <w:t>要求，及时向环境保护主管机构反映与项目有关的污染因素、存在的问题、采取的污染控制对策等环境保护方面的内容，听取环境保护主管机构的批示意见；</w:t>
            </w:r>
          </w:p>
          <w:p w14:paraId="2C0B660D">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（2）及时将国家、地方与本项目环境保护有关的法律、法规和</w:t>
            </w:r>
            <w:r>
              <w:rPr>
                <w:rFonts w:hint="eastAsia" w:cs="Times New Roman"/>
                <w:color w:val="auto"/>
                <w:sz w:val="21"/>
                <w:szCs w:val="21"/>
                <w:lang w:val="en-US" w:eastAsia="zh-CN"/>
              </w:rPr>
              <w:t>其他</w:t>
            </w:r>
            <w:r>
              <w:rPr>
                <w:rFonts w:hint="default" w:ascii="Times New Roman" w:hAnsi="Times New Roman" w:eastAsia="宋体" w:cs="Times New Roman"/>
                <w:color w:val="auto"/>
                <w:sz w:val="21"/>
                <w:szCs w:val="21"/>
                <w:lang w:val="en-US" w:eastAsia="zh-CN"/>
              </w:rPr>
              <w:t>要求向单位负责人汇报，及时向本单位有关机构、人员进行通报，组织职工进行环境保护方面的教育、培训，提高环保意识；</w:t>
            </w:r>
          </w:p>
          <w:p w14:paraId="2D675E8C">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（3）及时向单位负责人汇报与本项目有关的污染因素、存在问题、采取的污染控制对策、实施情况等，提出改进建议；</w:t>
            </w:r>
          </w:p>
          <w:p w14:paraId="44DA4EB8">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（4）负责制定、监督实施本单位的有关环境保护管理规章制度，负责实施污染控制措施、管理污染治理设施，并</w:t>
            </w:r>
            <w:r>
              <w:rPr>
                <w:rFonts w:hint="eastAsia" w:cs="Times New Roman"/>
                <w:color w:val="auto"/>
                <w:sz w:val="21"/>
                <w:szCs w:val="21"/>
                <w:lang w:val="en-US" w:eastAsia="zh-CN"/>
              </w:rPr>
              <w:t>进行详细的</w:t>
            </w:r>
            <w:r>
              <w:rPr>
                <w:rFonts w:hint="default" w:ascii="Times New Roman" w:hAnsi="Times New Roman" w:eastAsia="宋体" w:cs="Times New Roman"/>
                <w:color w:val="auto"/>
                <w:sz w:val="21"/>
                <w:szCs w:val="21"/>
                <w:lang w:val="en-US" w:eastAsia="zh-CN"/>
              </w:rPr>
              <w:t>记录、以备检查；</w:t>
            </w:r>
          </w:p>
          <w:p w14:paraId="3CDD6132">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按照本报告提出的各项环境保护措施，编制详细的环境保护措施落实计划，明确各污染源位置、环境影响、环境保护措施、落实责任机构（人）等，并将该环境保护计划以书面形式发放给相关人员，以便于各项措施的有效落实；</w:t>
            </w:r>
          </w:p>
          <w:p w14:paraId="01CB632A">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（6）按《江苏省排污口设置及规范化整治管理办法》（苏环控[97]122号）要求，对废气排口、固定噪声污染源、固废临时堆场进行规范化设置。</w:t>
            </w:r>
          </w:p>
          <w:p w14:paraId="66B77714">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（7）根据《关于印发排污许可证管理暂行规定的通知》（环水体[2016]186号）要求，向社会公开如下信息：</w:t>
            </w:r>
          </w:p>
          <w:p w14:paraId="5DFB8195">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①基础信息，包括单位名称、组织机构代码、法定代表人、生产地址、联系方式，以及生产经营和管理服务的主要内容、产品及规模；</w:t>
            </w:r>
          </w:p>
          <w:p w14:paraId="4BCF4247">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②排污信息，包括主要污染物</w:t>
            </w:r>
            <w:r>
              <w:rPr>
                <w:rFonts w:hint="default" w:ascii="Times New Roman" w:hAnsi="Times New Roman" w:cs="Times New Roman"/>
                <w:color w:val="auto"/>
                <w:sz w:val="21"/>
                <w:szCs w:val="21"/>
              </w:rPr>
              <w:t>及特征污染物的名称、排放方式、排放口数量和分布情况、排放浓度和总量、超标情况，以及执行的污染物排放标准、核定的排放总量；</w:t>
            </w:r>
          </w:p>
          <w:p w14:paraId="0F0E2496">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③防治污染设施的建设和运行情况；</w:t>
            </w:r>
          </w:p>
          <w:p w14:paraId="2D8DDCD9">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④建设项目环境影响</w:t>
            </w:r>
            <w:r>
              <w:rPr>
                <w:rFonts w:hint="default" w:ascii="Times New Roman" w:hAnsi="Times New Roman" w:eastAsia="宋体" w:cs="Times New Roman"/>
                <w:color w:val="auto"/>
                <w:sz w:val="21"/>
                <w:szCs w:val="21"/>
                <w:lang w:val="en-US" w:eastAsia="zh-CN"/>
              </w:rPr>
              <w:t>评价</w:t>
            </w:r>
            <w:r>
              <w:rPr>
                <w:rFonts w:hint="default" w:ascii="Times New Roman" w:hAnsi="Times New Roman" w:cs="Times New Roman"/>
                <w:color w:val="auto"/>
                <w:sz w:val="21"/>
                <w:szCs w:val="21"/>
              </w:rPr>
              <w:t>及其他环境保护行政许可情况；</w:t>
            </w:r>
          </w:p>
          <w:p w14:paraId="76702C5E">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⑤突发环境事件应急</w:t>
            </w:r>
            <w:r>
              <w:rPr>
                <w:rFonts w:hint="default" w:ascii="Times New Roman" w:hAnsi="Times New Roman" w:eastAsia="宋体" w:cs="Times New Roman"/>
                <w:color w:val="auto"/>
                <w:sz w:val="21"/>
                <w:szCs w:val="21"/>
                <w:lang w:val="en-US" w:eastAsia="zh-CN"/>
              </w:rPr>
              <w:t>预案</w:t>
            </w:r>
            <w:r>
              <w:rPr>
                <w:rFonts w:hint="default" w:ascii="Times New Roman" w:hAnsi="Times New Roman" w:cs="Times New Roman"/>
                <w:color w:val="auto"/>
                <w:sz w:val="21"/>
                <w:szCs w:val="21"/>
              </w:rPr>
              <w:t>。</w:t>
            </w:r>
          </w:p>
        </w:tc>
      </w:tr>
    </w:tbl>
    <w:p w14:paraId="5B9057D6">
      <w:pPr>
        <w:pStyle w:val="22"/>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8" w:name="_Toc28394"/>
      <w:r>
        <w:rPr>
          <w:rFonts w:hint="default" w:ascii="Times New Roman" w:hAnsi="Times New Roman" w:eastAsia="黑体" w:cs="Times New Roman"/>
          <w:snapToGrid w:val="0"/>
          <w:color w:val="auto"/>
          <w:sz w:val="30"/>
          <w:szCs w:val="30"/>
        </w:rPr>
        <w:t>六、结论</w:t>
      </w:r>
      <w:bookmarkEnd w:id="8"/>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95A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9" w:hRule="atLeast"/>
          <w:jc w:val="center"/>
        </w:trPr>
        <w:tc>
          <w:tcPr>
            <w:tcW w:w="8865" w:type="dxa"/>
          </w:tcPr>
          <w:p w14:paraId="3C03B4E4">
            <w:pPr>
              <w:adjustRightInd w:val="0"/>
              <w:snapToGrid w:val="0"/>
              <w:spacing w:line="500" w:lineRule="exact"/>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本项目符合国家、地方法律法规产业政策要求；符合相关规划，选址合理；项目产生的各项污染物采取合理有效的治理措施后均可得到有效处置，实现达标排放，对外环境的影响较小，不会造成区域环境质量下降；本项目建成后排放的各类污染物可以在区域内实现平衡；在做好各项风险防范及应急措施的前提下本项目的环境风险在可接受水平内。</w:t>
            </w:r>
          </w:p>
          <w:p w14:paraId="30B9B77D">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因此，建设单位在重视环保工作，落实本报告表提出的各项环保措施要求、严格执行环保“三同时”的前提下，从环保角度分析，本项目建设具有环境可行性。</w:t>
            </w:r>
          </w:p>
        </w:tc>
      </w:tr>
    </w:tbl>
    <w:p w14:paraId="62F2963E">
      <w:pPr>
        <w:rPr>
          <w:rFonts w:hint="default" w:ascii="Times New Roman" w:hAnsi="Times New Roman" w:cs="Times New Roman"/>
          <w:color w:val="auto"/>
        </w:rPr>
      </w:pPr>
    </w:p>
    <w:p w14:paraId="32AB21F1">
      <w:pPr>
        <w:rPr>
          <w:rFonts w:hint="default" w:ascii="Times New Roman" w:hAnsi="Times New Roman" w:cs="Times New Roman"/>
          <w:color w:val="auto"/>
        </w:rPr>
      </w:pPr>
    </w:p>
    <w:p w14:paraId="1889EF9D">
      <w:pPr>
        <w:rPr>
          <w:rFonts w:hint="default" w:ascii="Times New Roman" w:hAnsi="Times New Roman" w:cs="Times New Roman"/>
          <w:color w:val="auto"/>
        </w:rPr>
      </w:pPr>
    </w:p>
    <w:p w14:paraId="53ABB82C">
      <w:pPr>
        <w:adjustRightInd w:val="0"/>
        <w:snapToGrid w:val="0"/>
        <w:spacing w:line="48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注释</w:t>
      </w:r>
    </w:p>
    <w:p w14:paraId="0B7E8402">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本报告表附以下附件、附图：</w:t>
      </w:r>
    </w:p>
    <w:p w14:paraId="6A45F769">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sz w:val="24"/>
        </w:rPr>
        <w:t>附件</w:t>
      </w:r>
    </w:p>
    <w:p w14:paraId="447DD80B">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附件1</w:t>
      </w:r>
      <w:r>
        <w:rPr>
          <w:rFonts w:hint="eastAsia" w:cs="Times New Roman"/>
          <w:color w:val="auto"/>
          <w:sz w:val="24"/>
          <w:lang w:eastAsia="zh-CN"/>
        </w:rPr>
        <w:t>环评合同及</w:t>
      </w:r>
      <w:r>
        <w:rPr>
          <w:rFonts w:hint="default" w:ascii="Times New Roman" w:hAnsi="Times New Roman" w:cs="Times New Roman"/>
          <w:color w:val="auto"/>
          <w:sz w:val="24"/>
        </w:rPr>
        <w:t>委托书</w:t>
      </w:r>
    </w:p>
    <w:p w14:paraId="4EE3E3D9">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附件2项目备案通知书</w:t>
      </w:r>
    </w:p>
    <w:p w14:paraId="4719E02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附件3营业执照</w:t>
      </w:r>
    </w:p>
    <w:p w14:paraId="6E026313">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eastAsia" w:ascii="Times New Roman" w:hAnsi="Times New Roman" w:eastAsia="宋体" w:cs="Times New Roman"/>
          <w:color w:val="auto"/>
          <w:lang w:eastAsia="zh-CN"/>
        </w:rPr>
      </w:pPr>
      <w:r>
        <w:rPr>
          <w:rFonts w:hint="default" w:ascii="Times New Roman" w:hAnsi="Times New Roman" w:cs="Times New Roman"/>
          <w:color w:val="auto"/>
          <w:sz w:val="24"/>
        </w:rPr>
        <w:t>附件4</w:t>
      </w:r>
      <w:r>
        <w:rPr>
          <w:rFonts w:hint="eastAsia" w:cs="Times New Roman"/>
          <w:color w:val="auto"/>
          <w:sz w:val="24"/>
          <w:lang w:eastAsia="zh-CN"/>
        </w:rPr>
        <w:t>法人身份证</w:t>
      </w:r>
    </w:p>
    <w:p w14:paraId="639B650B">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附件5土地证</w:t>
      </w:r>
    </w:p>
    <w:p w14:paraId="7055816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附件6污水接管协议</w:t>
      </w:r>
    </w:p>
    <w:p w14:paraId="6987326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附件7环境监测报告</w:t>
      </w:r>
    </w:p>
    <w:p w14:paraId="616E39E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附件8</w:t>
      </w:r>
      <w:r>
        <w:rPr>
          <w:rFonts w:hint="eastAsia" w:cs="Times New Roman"/>
          <w:color w:val="auto"/>
          <w:sz w:val="24"/>
          <w:lang w:val="en-US" w:eastAsia="zh-CN"/>
        </w:rPr>
        <w:t>危废处置</w:t>
      </w:r>
      <w:r>
        <w:rPr>
          <w:rFonts w:hint="default" w:ascii="Times New Roman" w:hAnsi="Times New Roman" w:cs="Times New Roman"/>
          <w:color w:val="auto"/>
          <w:sz w:val="24"/>
        </w:rPr>
        <w:t>承诺书</w:t>
      </w:r>
    </w:p>
    <w:p w14:paraId="4A4C066D">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附件9建设单位承诺书</w:t>
      </w:r>
    </w:p>
    <w:p w14:paraId="6AB8BA75">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sz w:val="24"/>
        </w:rPr>
      </w:pPr>
    </w:p>
    <w:p w14:paraId="4B438A08">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b/>
          <w:bCs/>
          <w:color w:val="auto"/>
          <w:sz w:val="24"/>
        </w:rPr>
      </w:pPr>
    </w:p>
    <w:p w14:paraId="317D997C">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sz w:val="24"/>
        </w:rPr>
        <w:t>附图</w:t>
      </w:r>
    </w:p>
    <w:p w14:paraId="152F33E8">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附图1项目地理位置示意图</w:t>
      </w:r>
    </w:p>
    <w:p w14:paraId="24F2BA9A">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附图2项目周边环境状况示意图</w:t>
      </w:r>
    </w:p>
    <w:p w14:paraId="420FF67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color w:val="auto"/>
          <w:sz w:val="24"/>
          <w:szCs w:val="22"/>
        </w:rPr>
      </w:pPr>
      <w:r>
        <w:rPr>
          <w:rFonts w:hint="default" w:ascii="Times New Roman" w:hAnsi="Times New Roman" w:cs="Times New Roman"/>
          <w:color w:val="auto"/>
          <w:sz w:val="24"/>
        </w:rPr>
        <w:t>附图</w:t>
      </w:r>
      <w:r>
        <w:rPr>
          <w:rFonts w:hint="default" w:ascii="Times New Roman" w:hAnsi="Times New Roman" w:cs="Times New Roman"/>
          <w:color w:val="auto"/>
          <w:sz w:val="24"/>
          <w:szCs w:val="22"/>
        </w:rPr>
        <w:t>3厂区总平面布置图</w:t>
      </w:r>
    </w:p>
    <w:p w14:paraId="5498B48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附图</w:t>
      </w:r>
      <w:r>
        <w:rPr>
          <w:rFonts w:hint="eastAsia" w:cs="Times New Roman"/>
          <w:color w:val="auto"/>
          <w:sz w:val="24"/>
          <w:szCs w:val="22"/>
          <w:lang w:val="en-US" w:eastAsia="zh-CN"/>
        </w:rPr>
        <w:t>4</w:t>
      </w:r>
      <w:r>
        <w:rPr>
          <w:rFonts w:hint="default" w:ascii="Times New Roman" w:hAnsi="Times New Roman" w:cs="Times New Roman"/>
          <w:color w:val="auto"/>
          <w:sz w:val="24"/>
          <w:szCs w:val="22"/>
        </w:rPr>
        <w:t>生态红线图</w:t>
      </w:r>
    </w:p>
    <w:p w14:paraId="63A1487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附图</w:t>
      </w:r>
      <w:bookmarkStart w:id="9" w:name="_Toc6354"/>
      <w:r>
        <w:rPr>
          <w:rFonts w:hint="eastAsia" w:cs="Times New Roman"/>
          <w:color w:val="auto"/>
          <w:sz w:val="24"/>
          <w:szCs w:val="22"/>
          <w:lang w:val="en-US" w:eastAsia="zh-CN"/>
        </w:rPr>
        <w:t>5</w:t>
      </w:r>
      <w:r>
        <w:rPr>
          <w:rFonts w:hint="default" w:ascii="Times New Roman" w:hAnsi="Times New Roman" w:cs="Times New Roman"/>
          <w:color w:val="auto"/>
          <w:sz w:val="24"/>
          <w:szCs w:val="22"/>
        </w:rPr>
        <w:t>区域水系图</w:t>
      </w:r>
    </w:p>
    <w:p w14:paraId="147B8E1F">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szCs w:val="22"/>
        </w:rPr>
      </w:pPr>
      <w:r>
        <w:rPr>
          <w:rFonts w:hint="default" w:ascii="Times New Roman" w:hAnsi="Times New Roman" w:cs="Times New Roman"/>
          <w:color w:val="auto"/>
          <w:sz w:val="24"/>
          <w:szCs w:val="22"/>
        </w:rPr>
        <w:t>附图</w:t>
      </w:r>
      <w:bookmarkEnd w:id="9"/>
      <w:r>
        <w:rPr>
          <w:rFonts w:hint="eastAsia" w:cs="Times New Roman"/>
          <w:color w:val="auto"/>
          <w:sz w:val="24"/>
          <w:szCs w:val="22"/>
          <w:lang w:val="en-US" w:eastAsia="zh-CN"/>
        </w:rPr>
        <w:t>6</w:t>
      </w:r>
      <w:r>
        <w:rPr>
          <w:rFonts w:hint="default" w:ascii="Times New Roman" w:hAnsi="Times New Roman" w:cs="Times New Roman"/>
          <w:color w:val="auto"/>
          <w:sz w:val="24"/>
          <w:szCs w:val="22"/>
        </w:rPr>
        <w:t>金坛区金城科技产业园土地利用规划图</w:t>
      </w:r>
    </w:p>
    <w:p w14:paraId="18A761B1">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p>
    <w:p w14:paraId="336CB87E">
      <w:pPr>
        <w:rPr>
          <w:rFonts w:hint="default" w:ascii="Times New Roman" w:hAnsi="Times New Roman" w:cs="Times New Roman"/>
          <w:color w:val="auto"/>
        </w:rPr>
      </w:pPr>
    </w:p>
    <w:p w14:paraId="6DFE2CB1">
      <w:pPr>
        <w:rPr>
          <w:rFonts w:hint="default" w:ascii="Times New Roman" w:hAnsi="Times New Roman" w:cs="Times New Roman"/>
          <w:color w:val="auto"/>
        </w:rPr>
        <w:sectPr>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p w14:paraId="3409FE4C">
      <w:pPr>
        <w:pStyle w:val="22"/>
        <w:adjustRightInd w:val="0"/>
        <w:snapToGrid w:val="0"/>
        <w:spacing w:before="0" w:beforeAutospacing="0" w:after="0" w:afterAutospacing="0"/>
        <w:contextualSpacing/>
        <w:outlineLvl w:val="0"/>
        <w:rPr>
          <w:rFonts w:hint="default" w:ascii="Times New Roman" w:hAnsi="Times New Roman" w:eastAsia="黑体" w:cs="Times New Roman"/>
          <w:snapToGrid w:val="0"/>
          <w:color w:val="auto"/>
          <w:sz w:val="32"/>
          <w:szCs w:val="32"/>
        </w:rPr>
      </w:pPr>
      <w:bookmarkStart w:id="10" w:name="_Toc6584"/>
      <w:r>
        <w:rPr>
          <w:rFonts w:hint="default" w:ascii="Times New Roman" w:hAnsi="Times New Roman" w:eastAsia="黑体" w:cs="Times New Roman"/>
          <w:snapToGrid w:val="0"/>
          <w:color w:val="auto"/>
          <w:sz w:val="32"/>
          <w:szCs w:val="32"/>
        </w:rPr>
        <w:t>附表</w:t>
      </w:r>
      <w:bookmarkEnd w:id="10"/>
    </w:p>
    <w:p w14:paraId="1141C9BE">
      <w:pPr>
        <w:pStyle w:val="22"/>
        <w:adjustRightInd w:val="0"/>
        <w:snapToGrid w:val="0"/>
        <w:spacing w:before="0" w:beforeAutospacing="0" w:after="0" w:afterAutospacing="0"/>
        <w:contextualSpacing/>
        <w:jc w:val="center"/>
        <w:outlineLvl w:val="0"/>
        <w:rPr>
          <w:rFonts w:hint="default" w:ascii="Times New Roman" w:hAnsi="Times New Roman" w:eastAsia="方正小标宋_GBK" w:cs="Times New Roman"/>
          <w:snapToGrid w:val="0"/>
          <w:color w:val="auto"/>
          <w:sz w:val="38"/>
          <w:szCs w:val="38"/>
        </w:rPr>
      </w:pPr>
      <w:bookmarkStart w:id="11" w:name="_Toc169"/>
      <w:r>
        <w:rPr>
          <w:rFonts w:hint="default" w:ascii="Times New Roman" w:hAnsi="Times New Roman" w:eastAsia="方正小标宋_GBK" w:cs="Times New Roman"/>
          <w:snapToGrid w:val="0"/>
          <w:color w:val="auto"/>
          <w:sz w:val="38"/>
          <w:szCs w:val="38"/>
        </w:rPr>
        <w:t>建设项目污染物排放量汇总表</w:t>
      </w:r>
      <w:bookmarkEnd w:id="11"/>
    </w:p>
    <w:tbl>
      <w:tblPr>
        <w:tblStyle w:val="27"/>
        <w:tblW w:w="13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901"/>
        <w:gridCol w:w="1701"/>
        <w:gridCol w:w="1523"/>
        <w:gridCol w:w="1454"/>
        <w:gridCol w:w="1559"/>
        <w:gridCol w:w="1427"/>
        <w:gridCol w:w="1639"/>
        <w:gridCol w:w="1430"/>
      </w:tblGrid>
      <w:tr w14:paraId="061E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blHeader/>
          <w:jc w:val="center"/>
        </w:trPr>
        <w:tc>
          <w:tcPr>
            <w:tcW w:w="1104" w:type="dxa"/>
            <w:tcBorders>
              <w:tl2br w:val="single" w:color="auto" w:sz="4" w:space="0"/>
            </w:tcBorders>
            <w:tcMar>
              <w:left w:w="28" w:type="dxa"/>
              <w:right w:w="28" w:type="dxa"/>
            </w:tcMar>
            <w:vAlign w:val="center"/>
          </w:tcPr>
          <w:p w14:paraId="3BBD9421">
            <w:pPr>
              <w:pStyle w:val="44"/>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4A89AB33">
            <w:pPr>
              <w:pStyle w:val="44"/>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901" w:type="dxa"/>
            <w:tcMar>
              <w:left w:w="28" w:type="dxa"/>
              <w:right w:w="28" w:type="dxa"/>
            </w:tcMar>
            <w:vAlign w:val="center"/>
          </w:tcPr>
          <w:p w14:paraId="126A61E2">
            <w:pPr>
              <w:pStyle w:val="44"/>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701" w:type="dxa"/>
            <w:tcMar>
              <w:left w:w="28" w:type="dxa"/>
              <w:right w:w="28" w:type="dxa"/>
            </w:tcMar>
            <w:vAlign w:val="center"/>
          </w:tcPr>
          <w:p w14:paraId="2CC9EC54">
            <w:pPr>
              <w:pStyle w:val="44"/>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4F86C09B">
            <w:pPr>
              <w:pStyle w:val="44"/>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523" w:type="dxa"/>
            <w:tcMar>
              <w:left w:w="28" w:type="dxa"/>
              <w:right w:w="28" w:type="dxa"/>
            </w:tcMar>
            <w:vAlign w:val="center"/>
          </w:tcPr>
          <w:p w14:paraId="5930E253">
            <w:pPr>
              <w:pStyle w:val="44"/>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4B45640C">
            <w:pPr>
              <w:pStyle w:val="44"/>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14:paraId="7E808D8B">
            <w:pPr>
              <w:pStyle w:val="44"/>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454" w:type="dxa"/>
            <w:tcMar>
              <w:left w:w="28" w:type="dxa"/>
              <w:right w:w="28" w:type="dxa"/>
            </w:tcMar>
            <w:vAlign w:val="center"/>
          </w:tcPr>
          <w:p w14:paraId="3E1EE005">
            <w:pPr>
              <w:pStyle w:val="44"/>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14:paraId="58771087">
            <w:pPr>
              <w:pStyle w:val="44"/>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tcMar>
              <w:left w:w="28" w:type="dxa"/>
              <w:right w:w="28" w:type="dxa"/>
            </w:tcMar>
            <w:vAlign w:val="center"/>
          </w:tcPr>
          <w:p w14:paraId="57B70F81">
            <w:pPr>
              <w:pStyle w:val="44"/>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14:paraId="69FDFDDF">
            <w:pPr>
              <w:pStyle w:val="44"/>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427" w:type="dxa"/>
            <w:tcMar>
              <w:left w:w="28" w:type="dxa"/>
              <w:right w:w="28" w:type="dxa"/>
            </w:tcMar>
            <w:vAlign w:val="center"/>
          </w:tcPr>
          <w:p w14:paraId="00469206">
            <w:pPr>
              <w:pStyle w:val="44"/>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14:paraId="1A222D26">
            <w:pPr>
              <w:pStyle w:val="44"/>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639" w:type="dxa"/>
            <w:tcMar>
              <w:left w:w="28" w:type="dxa"/>
              <w:right w:w="28" w:type="dxa"/>
            </w:tcMar>
            <w:vAlign w:val="center"/>
          </w:tcPr>
          <w:p w14:paraId="6FF7558C">
            <w:pPr>
              <w:pStyle w:val="44"/>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14:paraId="2B4D3EF2">
            <w:pPr>
              <w:pStyle w:val="44"/>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430" w:type="dxa"/>
            <w:tcMar>
              <w:left w:w="28" w:type="dxa"/>
              <w:right w:w="28" w:type="dxa"/>
            </w:tcMar>
            <w:vAlign w:val="center"/>
          </w:tcPr>
          <w:p w14:paraId="590F0840">
            <w:pPr>
              <w:pStyle w:val="44"/>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14:paraId="10C73E73">
            <w:pPr>
              <w:pStyle w:val="44"/>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14:paraId="166A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Align w:val="center"/>
          </w:tcPr>
          <w:p w14:paraId="2A52BFCC">
            <w:pPr>
              <w:pStyle w:val="44"/>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901" w:type="dxa"/>
            <w:vAlign w:val="center"/>
          </w:tcPr>
          <w:p w14:paraId="749A51A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非甲烷总烃</w:t>
            </w:r>
          </w:p>
        </w:tc>
        <w:tc>
          <w:tcPr>
            <w:tcW w:w="1701" w:type="dxa"/>
            <w:vAlign w:val="center"/>
          </w:tcPr>
          <w:p w14:paraId="2ACEBA4F">
            <w:pPr>
              <w:widowControl/>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787908DB">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D7C0EDD">
            <w:pPr>
              <w:spacing w:beforeLines="0" w:afterLines="0" w:line="240" w:lineRule="auto"/>
              <w:jc w:val="center"/>
              <w:rPr>
                <w:rFonts w:hint="default" w:ascii="Times New Roman" w:hAnsi="Times New Roman" w:cs="Times New Roman"/>
                <w:snapToGrid w:val="0"/>
                <w:color w:val="auto"/>
                <w:kern w:val="21"/>
                <w:szCs w:val="21"/>
              </w:rPr>
            </w:pPr>
            <w:r>
              <w:rPr>
                <w:rFonts w:hint="eastAsia" w:cs="Times New Roman"/>
                <w:color w:val="auto"/>
                <w:kern w:val="0"/>
                <w:sz w:val="21"/>
                <w:szCs w:val="21"/>
                <w:lang w:val="en-US" w:eastAsia="zh-CN" w:bidi="ar-SA"/>
              </w:rPr>
              <w:t>0</w:t>
            </w:r>
          </w:p>
        </w:tc>
        <w:tc>
          <w:tcPr>
            <w:tcW w:w="1559" w:type="dxa"/>
            <w:vAlign w:val="center"/>
          </w:tcPr>
          <w:p w14:paraId="2100FFE5">
            <w:pPr>
              <w:pStyle w:val="21"/>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snapToGrid w:val="0"/>
                <w:color w:val="auto"/>
                <w:kern w:val="21"/>
                <w:sz w:val="21"/>
                <w:szCs w:val="21"/>
                <w:lang w:val="en-US" w:eastAsia="zh-CN" w:bidi="ar-SA"/>
              </w:rPr>
              <w:t>0.089</w:t>
            </w:r>
          </w:p>
        </w:tc>
        <w:tc>
          <w:tcPr>
            <w:tcW w:w="1427" w:type="dxa"/>
            <w:vAlign w:val="center"/>
          </w:tcPr>
          <w:p w14:paraId="58A20076">
            <w:pPr>
              <w:widowControl/>
              <w:adjustRightInd w:val="0"/>
              <w:snapToGrid w:val="0"/>
              <w:jc w:val="center"/>
              <w:rPr>
                <w:rFonts w:hint="default" w:ascii="Times New Roman" w:hAnsi="Times New Roman" w:cs="Times New Roman"/>
                <w:snapToGrid w:val="0"/>
                <w:color w:val="auto"/>
                <w:kern w:val="21"/>
                <w:szCs w:val="21"/>
              </w:rPr>
            </w:pPr>
            <w:r>
              <w:rPr>
                <w:rFonts w:hint="eastAsia" w:cs="Times New Roman"/>
                <w:color w:val="auto"/>
                <w:kern w:val="0"/>
                <w:sz w:val="21"/>
                <w:szCs w:val="21"/>
                <w:lang w:val="en-US" w:eastAsia="zh-CN" w:bidi="ar-SA"/>
              </w:rPr>
              <w:t>0</w:t>
            </w:r>
          </w:p>
        </w:tc>
        <w:tc>
          <w:tcPr>
            <w:tcW w:w="1639" w:type="dxa"/>
            <w:vAlign w:val="center"/>
          </w:tcPr>
          <w:p w14:paraId="5D9D741D">
            <w:pPr>
              <w:pStyle w:val="21"/>
              <w:spacing w:after="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 w:val="21"/>
                <w:szCs w:val="21"/>
                <w:lang w:val="en-US" w:eastAsia="zh-CN" w:bidi="ar-SA"/>
              </w:rPr>
              <w:t>0.089</w:t>
            </w:r>
          </w:p>
        </w:tc>
        <w:tc>
          <w:tcPr>
            <w:tcW w:w="1430" w:type="dxa"/>
            <w:vAlign w:val="center"/>
          </w:tcPr>
          <w:p w14:paraId="7ABD1927">
            <w:pPr>
              <w:pStyle w:val="21"/>
              <w:spacing w:after="0" w:line="240" w:lineRule="auto"/>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lang w:val="en-US" w:eastAsia="zh-CN"/>
              </w:rPr>
              <w:t>+</w:t>
            </w:r>
            <w:r>
              <w:rPr>
                <w:rFonts w:hint="eastAsia" w:cs="Times New Roman"/>
                <w:snapToGrid w:val="0"/>
                <w:color w:val="auto"/>
                <w:kern w:val="21"/>
                <w:sz w:val="21"/>
                <w:szCs w:val="21"/>
                <w:lang w:val="en-US" w:eastAsia="zh-CN" w:bidi="ar-SA"/>
              </w:rPr>
              <w:t>0.089</w:t>
            </w:r>
          </w:p>
        </w:tc>
      </w:tr>
      <w:tr w14:paraId="4468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7C83D87E">
            <w:pPr>
              <w:pStyle w:val="44"/>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901" w:type="dxa"/>
            <w:vAlign w:val="center"/>
          </w:tcPr>
          <w:p w14:paraId="1F224A3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水量</w:t>
            </w:r>
          </w:p>
        </w:tc>
        <w:tc>
          <w:tcPr>
            <w:tcW w:w="1701" w:type="dxa"/>
            <w:vAlign w:val="center"/>
          </w:tcPr>
          <w:p w14:paraId="79806C2F">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DE44FF6">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67D08B45">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F9832A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360</w:t>
            </w:r>
          </w:p>
        </w:tc>
        <w:tc>
          <w:tcPr>
            <w:tcW w:w="1427" w:type="dxa"/>
            <w:vAlign w:val="center"/>
          </w:tcPr>
          <w:p w14:paraId="1D6500EC">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ECB5E92">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360</w:t>
            </w:r>
          </w:p>
        </w:tc>
        <w:tc>
          <w:tcPr>
            <w:tcW w:w="1430" w:type="dxa"/>
            <w:vAlign w:val="center"/>
          </w:tcPr>
          <w:p w14:paraId="2D1EABA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color w:val="auto"/>
                <w:lang w:val="en-US" w:eastAsia="zh-CN"/>
              </w:rPr>
              <w:t>+</w:t>
            </w:r>
            <w:r>
              <w:rPr>
                <w:rFonts w:hint="eastAsia" w:cs="Times New Roman"/>
                <w:color w:val="auto"/>
                <w:sz w:val="21"/>
                <w:szCs w:val="21"/>
                <w:lang w:val="en-US" w:eastAsia="zh-CN"/>
              </w:rPr>
              <w:t>360</w:t>
            </w:r>
          </w:p>
        </w:tc>
      </w:tr>
      <w:tr w14:paraId="7CC6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C9A0707">
            <w:pPr>
              <w:pStyle w:val="44"/>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453E8AA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701" w:type="dxa"/>
            <w:vAlign w:val="center"/>
          </w:tcPr>
          <w:p w14:paraId="5CF5EB99">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18C0B2C8">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7587A9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1D346EF">
            <w:pPr>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lang w:val="en-US" w:eastAsia="zh-CN"/>
              </w:rPr>
              <w:t>0.144</w:t>
            </w:r>
          </w:p>
        </w:tc>
        <w:tc>
          <w:tcPr>
            <w:tcW w:w="1427" w:type="dxa"/>
            <w:vAlign w:val="center"/>
          </w:tcPr>
          <w:p w14:paraId="4E2E8512">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515AE7A">
            <w:pPr>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lang w:val="en-US" w:eastAsia="zh-CN"/>
              </w:rPr>
              <w:t>0.144</w:t>
            </w:r>
          </w:p>
        </w:tc>
        <w:tc>
          <w:tcPr>
            <w:tcW w:w="1430" w:type="dxa"/>
            <w:vAlign w:val="center"/>
          </w:tcPr>
          <w:p w14:paraId="5845E389">
            <w:pPr>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color w:val="auto"/>
                <w:lang w:val="en-US" w:eastAsia="zh-CN"/>
              </w:rPr>
              <w:t>+</w:t>
            </w:r>
            <w:r>
              <w:rPr>
                <w:rFonts w:hint="eastAsia"/>
                <w:color w:val="auto"/>
                <w:szCs w:val="21"/>
                <w:lang w:val="en-US" w:eastAsia="zh-CN"/>
              </w:rPr>
              <w:t>0.144</w:t>
            </w:r>
          </w:p>
        </w:tc>
      </w:tr>
      <w:tr w14:paraId="6AC7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5F23A4D">
            <w:pPr>
              <w:pStyle w:val="44"/>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0CA2AC8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1701" w:type="dxa"/>
            <w:vAlign w:val="center"/>
          </w:tcPr>
          <w:p w14:paraId="4C1C3B11">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5B8BCEBA">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015BF1F0">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C50A844">
            <w:pPr>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lang w:val="en-US" w:eastAsia="zh-CN"/>
              </w:rPr>
              <w:t>0.072</w:t>
            </w:r>
          </w:p>
        </w:tc>
        <w:tc>
          <w:tcPr>
            <w:tcW w:w="1427" w:type="dxa"/>
            <w:vAlign w:val="center"/>
          </w:tcPr>
          <w:p w14:paraId="5B46B023">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C765921">
            <w:pPr>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lang w:val="en-US" w:eastAsia="zh-CN"/>
              </w:rPr>
              <w:t>0.072</w:t>
            </w:r>
          </w:p>
        </w:tc>
        <w:tc>
          <w:tcPr>
            <w:tcW w:w="1430" w:type="dxa"/>
            <w:vAlign w:val="center"/>
          </w:tcPr>
          <w:p w14:paraId="25F62DF6">
            <w:pPr>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color w:val="auto"/>
                <w:lang w:val="en-US" w:eastAsia="zh-CN"/>
              </w:rPr>
              <w:t>+</w:t>
            </w:r>
            <w:r>
              <w:rPr>
                <w:rFonts w:hint="eastAsia"/>
                <w:color w:val="auto"/>
                <w:szCs w:val="21"/>
                <w:lang w:val="en-US" w:eastAsia="zh-CN"/>
              </w:rPr>
              <w:t>0.072</w:t>
            </w:r>
          </w:p>
        </w:tc>
      </w:tr>
      <w:tr w14:paraId="4A9E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034CC3C">
            <w:pPr>
              <w:pStyle w:val="44"/>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3FFDC40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701" w:type="dxa"/>
            <w:vAlign w:val="center"/>
          </w:tcPr>
          <w:p w14:paraId="5D8248B1">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BF71CF5">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77D047FA">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B9065C0">
            <w:pPr>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lang w:val="en-US" w:eastAsia="zh-CN"/>
              </w:rPr>
              <w:t>0.011</w:t>
            </w:r>
          </w:p>
        </w:tc>
        <w:tc>
          <w:tcPr>
            <w:tcW w:w="1427" w:type="dxa"/>
            <w:vAlign w:val="center"/>
          </w:tcPr>
          <w:p w14:paraId="1802F4D6">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2AE1C214">
            <w:pPr>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lang w:val="en-US" w:eastAsia="zh-CN"/>
              </w:rPr>
              <w:t>0.011</w:t>
            </w:r>
          </w:p>
        </w:tc>
        <w:tc>
          <w:tcPr>
            <w:tcW w:w="1430" w:type="dxa"/>
            <w:vAlign w:val="center"/>
          </w:tcPr>
          <w:p w14:paraId="28CE3805">
            <w:pPr>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color w:val="auto"/>
                <w:lang w:val="en-US" w:eastAsia="zh-CN"/>
              </w:rPr>
              <w:t>+</w:t>
            </w:r>
            <w:r>
              <w:rPr>
                <w:rFonts w:hint="eastAsia"/>
                <w:color w:val="auto"/>
                <w:szCs w:val="21"/>
                <w:lang w:val="en-US" w:eastAsia="zh-CN"/>
              </w:rPr>
              <w:t>0.011</w:t>
            </w:r>
          </w:p>
        </w:tc>
      </w:tr>
      <w:tr w14:paraId="52B9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011BAA6D">
            <w:pPr>
              <w:pStyle w:val="44"/>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66DD78E7">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kern w:val="2"/>
                <w:sz w:val="21"/>
                <w:szCs w:val="21"/>
                <w:highlight w:val="none"/>
                <w:lang w:val="en-US" w:eastAsia="zh-CN" w:bidi="ar-SA"/>
              </w:rPr>
              <w:t>TN</w:t>
            </w:r>
          </w:p>
        </w:tc>
        <w:tc>
          <w:tcPr>
            <w:tcW w:w="1701" w:type="dxa"/>
            <w:vAlign w:val="center"/>
          </w:tcPr>
          <w:p w14:paraId="07463706">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226F00B">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0318691C">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42A7099D">
            <w:pPr>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lang w:val="en-US" w:eastAsia="zh-CN"/>
              </w:rPr>
              <w:t>0.014</w:t>
            </w:r>
          </w:p>
        </w:tc>
        <w:tc>
          <w:tcPr>
            <w:tcW w:w="1427" w:type="dxa"/>
            <w:vAlign w:val="center"/>
          </w:tcPr>
          <w:p w14:paraId="15D9BACA">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3CDF0ABD">
            <w:pPr>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lang w:val="en-US" w:eastAsia="zh-CN"/>
              </w:rPr>
              <w:t>0.014</w:t>
            </w:r>
          </w:p>
        </w:tc>
        <w:tc>
          <w:tcPr>
            <w:tcW w:w="1430" w:type="dxa"/>
            <w:vAlign w:val="center"/>
          </w:tcPr>
          <w:p w14:paraId="3D7A9B9C">
            <w:pPr>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color w:val="auto"/>
                <w:lang w:val="en-US" w:eastAsia="zh-CN"/>
              </w:rPr>
              <w:t>+</w:t>
            </w:r>
            <w:r>
              <w:rPr>
                <w:rFonts w:hint="eastAsia"/>
                <w:color w:val="auto"/>
                <w:szCs w:val="21"/>
                <w:lang w:val="en-US" w:eastAsia="zh-CN"/>
              </w:rPr>
              <w:t>0.014</w:t>
            </w:r>
          </w:p>
        </w:tc>
      </w:tr>
      <w:tr w14:paraId="205C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08440A4">
            <w:pPr>
              <w:pStyle w:val="44"/>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2FFE962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TP</w:t>
            </w:r>
          </w:p>
        </w:tc>
        <w:tc>
          <w:tcPr>
            <w:tcW w:w="1701" w:type="dxa"/>
            <w:vAlign w:val="center"/>
          </w:tcPr>
          <w:p w14:paraId="366C4B93">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2F2B2739">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3D39DE41">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F0A8957">
            <w:pPr>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lang w:val="en-US" w:eastAsia="zh-CN"/>
              </w:rPr>
              <w:t>0.001</w:t>
            </w:r>
          </w:p>
        </w:tc>
        <w:tc>
          <w:tcPr>
            <w:tcW w:w="1427" w:type="dxa"/>
            <w:vAlign w:val="center"/>
          </w:tcPr>
          <w:p w14:paraId="5873C00A">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7ABC7356">
            <w:pPr>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lang w:val="en-US" w:eastAsia="zh-CN"/>
              </w:rPr>
              <w:t>0.001</w:t>
            </w:r>
          </w:p>
        </w:tc>
        <w:tc>
          <w:tcPr>
            <w:tcW w:w="1430" w:type="dxa"/>
            <w:vAlign w:val="center"/>
          </w:tcPr>
          <w:p w14:paraId="39A13238">
            <w:pPr>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color w:val="auto"/>
                <w:lang w:val="en-US" w:eastAsia="zh-CN"/>
              </w:rPr>
              <w:t>+</w:t>
            </w:r>
            <w:r>
              <w:rPr>
                <w:rFonts w:hint="eastAsia"/>
                <w:color w:val="auto"/>
                <w:szCs w:val="21"/>
                <w:lang w:val="en-US" w:eastAsia="zh-CN"/>
              </w:rPr>
              <w:t>0.001</w:t>
            </w:r>
          </w:p>
        </w:tc>
      </w:tr>
      <w:tr w14:paraId="508E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72A64B20">
            <w:pPr>
              <w:pStyle w:val="44"/>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14:paraId="0B2A3BBF">
            <w:pPr>
              <w:pStyle w:val="44"/>
              <w:spacing w:before="31" w:after="31"/>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901" w:type="dxa"/>
            <w:vAlign w:val="center"/>
          </w:tcPr>
          <w:p w14:paraId="271A0CF7">
            <w:pPr>
              <w:pStyle w:val="6"/>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边角料</w:t>
            </w:r>
          </w:p>
        </w:tc>
        <w:tc>
          <w:tcPr>
            <w:tcW w:w="1701" w:type="dxa"/>
            <w:vAlign w:val="center"/>
          </w:tcPr>
          <w:p w14:paraId="62DA4D7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33E71F8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61FCED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6B5AE72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3.44</w:t>
            </w:r>
          </w:p>
        </w:tc>
        <w:tc>
          <w:tcPr>
            <w:tcW w:w="1427" w:type="dxa"/>
            <w:vAlign w:val="center"/>
          </w:tcPr>
          <w:p w14:paraId="2DD6E43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11D2256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3.44</w:t>
            </w:r>
          </w:p>
        </w:tc>
        <w:tc>
          <w:tcPr>
            <w:tcW w:w="1430" w:type="dxa"/>
            <w:vAlign w:val="center"/>
          </w:tcPr>
          <w:p w14:paraId="40350DE5">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color w:val="auto"/>
                <w:lang w:val="en-US" w:eastAsia="zh-CN"/>
              </w:rPr>
              <w:t>+</w:t>
            </w:r>
            <w:r>
              <w:rPr>
                <w:rFonts w:hint="eastAsia" w:cs="Times New Roman"/>
                <w:b w:val="0"/>
                <w:bCs/>
                <w:color w:val="auto"/>
                <w:kern w:val="2"/>
                <w:sz w:val="21"/>
                <w:szCs w:val="21"/>
                <w:lang w:val="en-US" w:eastAsia="zh-CN" w:bidi="ar-SA"/>
              </w:rPr>
              <w:t>3.44</w:t>
            </w:r>
          </w:p>
        </w:tc>
      </w:tr>
      <w:tr w14:paraId="700D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F8B3A66">
            <w:pPr>
              <w:pStyle w:val="44"/>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533379A9">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次品</w:t>
            </w:r>
          </w:p>
        </w:tc>
        <w:tc>
          <w:tcPr>
            <w:tcW w:w="1701" w:type="dxa"/>
            <w:vAlign w:val="center"/>
          </w:tcPr>
          <w:p w14:paraId="0B14367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4B930C68">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C376871">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0B04450">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1.72</w:t>
            </w:r>
          </w:p>
        </w:tc>
        <w:tc>
          <w:tcPr>
            <w:tcW w:w="1427" w:type="dxa"/>
            <w:vAlign w:val="center"/>
          </w:tcPr>
          <w:p w14:paraId="1232EF9E">
            <w:pPr>
              <w:adjustRightInd w:val="0"/>
              <w:snapToGrid w:val="0"/>
              <w:spacing w:line="280" w:lineRule="exact"/>
              <w:jc w:val="center"/>
              <w:rPr>
                <w:rFonts w:hint="eastAsia"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30171FF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1.72</w:t>
            </w:r>
          </w:p>
        </w:tc>
        <w:tc>
          <w:tcPr>
            <w:tcW w:w="1430" w:type="dxa"/>
            <w:vAlign w:val="center"/>
          </w:tcPr>
          <w:p w14:paraId="24560634">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color w:val="auto"/>
                <w:lang w:val="en-US" w:eastAsia="zh-CN"/>
              </w:rPr>
              <w:t>+</w:t>
            </w:r>
            <w:r>
              <w:rPr>
                <w:rFonts w:hint="eastAsia" w:cs="Times New Roman"/>
                <w:b w:val="0"/>
                <w:bCs/>
                <w:color w:val="auto"/>
                <w:kern w:val="2"/>
                <w:sz w:val="21"/>
                <w:szCs w:val="21"/>
                <w:lang w:val="en-US" w:eastAsia="zh-CN" w:bidi="ar-SA"/>
              </w:rPr>
              <w:t>1.72</w:t>
            </w:r>
          </w:p>
        </w:tc>
      </w:tr>
      <w:tr w14:paraId="6A9B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9D5966B">
            <w:pPr>
              <w:pStyle w:val="44"/>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220E1C0A">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1701" w:type="dxa"/>
            <w:vAlign w:val="center"/>
          </w:tcPr>
          <w:p w14:paraId="793FB393">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19F18E50">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27FB2B3A">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6903194F">
            <w:pPr>
              <w:adjustRightInd w:val="0"/>
              <w:snapToGrid w:val="0"/>
              <w:jc w:val="center"/>
              <w:rPr>
                <w:rFonts w:hint="eastAsia" w:cs="Times New Roman"/>
                <w:bCs/>
                <w:color w:val="FF0000"/>
                <w:kern w:val="2"/>
                <w:sz w:val="21"/>
                <w:szCs w:val="21"/>
                <w:lang w:val="en-US" w:eastAsia="zh-CN" w:bidi="ar-SA"/>
              </w:rPr>
            </w:pPr>
            <w:r>
              <w:rPr>
                <w:rFonts w:hint="eastAsia" w:cs="Times New Roman"/>
                <w:b w:val="0"/>
                <w:bCs/>
                <w:color w:val="auto"/>
                <w:sz w:val="21"/>
                <w:szCs w:val="21"/>
                <w:lang w:val="en-US" w:eastAsia="zh-CN"/>
              </w:rPr>
              <w:t>0.688</w:t>
            </w:r>
          </w:p>
        </w:tc>
        <w:tc>
          <w:tcPr>
            <w:tcW w:w="1427" w:type="dxa"/>
            <w:vAlign w:val="center"/>
          </w:tcPr>
          <w:p w14:paraId="3390F45A">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F4E264C">
            <w:pPr>
              <w:adjustRightInd w:val="0"/>
              <w:snapToGrid w:val="0"/>
              <w:jc w:val="center"/>
              <w:rPr>
                <w:rFonts w:hint="eastAsia" w:cs="Times New Roman"/>
                <w:bCs/>
                <w:color w:val="FF0000"/>
                <w:kern w:val="2"/>
                <w:sz w:val="21"/>
                <w:szCs w:val="21"/>
                <w:lang w:val="en-US" w:eastAsia="zh-CN" w:bidi="ar-SA"/>
              </w:rPr>
            </w:pPr>
            <w:r>
              <w:rPr>
                <w:rFonts w:hint="eastAsia" w:cs="Times New Roman"/>
                <w:b w:val="0"/>
                <w:bCs/>
                <w:color w:val="auto"/>
                <w:sz w:val="21"/>
                <w:szCs w:val="21"/>
                <w:lang w:val="en-US" w:eastAsia="zh-CN"/>
              </w:rPr>
              <w:t>0.688</w:t>
            </w:r>
          </w:p>
        </w:tc>
        <w:tc>
          <w:tcPr>
            <w:tcW w:w="1430" w:type="dxa"/>
            <w:vAlign w:val="center"/>
          </w:tcPr>
          <w:p w14:paraId="5EF44AE0">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cs="Times New Roman"/>
                <w:b w:val="0"/>
                <w:bCs/>
                <w:color w:val="auto"/>
                <w:sz w:val="21"/>
                <w:szCs w:val="21"/>
                <w:lang w:val="en-US" w:eastAsia="zh-CN"/>
              </w:rPr>
              <w:t>0.688</w:t>
            </w:r>
          </w:p>
        </w:tc>
      </w:tr>
      <w:tr w14:paraId="2976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056A4C25">
            <w:pPr>
              <w:pStyle w:val="44"/>
              <w:spacing w:before="31" w:after="31"/>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901" w:type="dxa"/>
            <w:vAlign w:val="center"/>
          </w:tcPr>
          <w:p w14:paraId="7C80D31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1701" w:type="dxa"/>
            <w:vAlign w:val="center"/>
          </w:tcPr>
          <w:p w14:paraId="05CF8CBF">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3E5170BB">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9B22C0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889FFCB">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sz w:val="21"/>
                <w:szCs w:val="21"/>
                <w:lang w:val="en-US" w:eastAsia="zh-CN"/>
              </w:rPr>
              <w:t>2.656</w:t>
            </w:r>
          </w:p>
        </w:tc>
        <w:tc>
          <w:tcPr>
            <w:tcW w:w="1427" w:type="dxa"/>
            <w:vAlign w:val="center"/>
          </w:tcPr>
          <w:p w14:paraId="3F282F9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1E2C1512">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sz w:val="21"/>
                <w:szCs w:val="21"/>
                <w:lang w:val="en-US" w:eastAsia="zh-CN"/>
              </w:rPr>
              <w:t>2.656</w:t>
            </w:r>
          </w:p>
        </w:tc>
        <w:tc>
          <w:tcPr>
            <w:tcW w:w="1430" w:type="dxa"/>
            <w:vAlign w:val="center"/>
          </w:tcPr>
          <w:p w14:paraId="3554BB96">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color w:val="auto"/>
                <w:lang w:val="en-US" w:eastAsia="zh-CN"/>
              </w:rPr>
              <w:t>+</w:t>
            </w:r>
            <w:r>
              <w:rPr>
                <w:rFonts w:hint="eastAsia" w:cs="Times New Roman"/>
                <w:b w:val="0"/>
                <w:bCs/>
                <w:color w:val="auto"/>
                <w:sz w:val="21"/>
                <w:szCs w:val="21"/>
                <w:lang w:val="en-US" w:eastAsia="zh-CN"/>
              </w:rPr>
              <w:t>2.656</w:t>
            </w:r>
          </w:p>
        </w:tc>
      </w:tr>
      <w:tr w14:paraId="3619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49EAACE6">
            <w:pPr>
              <w:pStyle w:val="44"/>
              <w:spacing w:before="31" w:after="31"/>
              <w:rPr>
                <w:rFonts w:hint="default" w:ascii="Times New Roman" w:hAnsi="Times New Roman" w:cs="Times New Roman"/>
                <w:snapToGrid w:val="0"/>
                <w:color w:val="auto"/>
                <w:kern w:val="21"/>
                <w:szCs w:val="21"/>
              </w:rPr>
            </w:pPr>
          </w:p>
        </w:tc>
        <w:tc>
          <w:tcPr>
            <w:tcW w:w="1901" w:type="dxa"/>
            <w:vAlign w:val="center"/>
          </w:tcPr>
          <w:p w14:paraId="63D9210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废液压油</w:t>
            </w:r>
          </w:p>
        </w:tc>
        <w:tc>
          <w:tcPr>
            <w:tcW w:w="1701" w:type="dxa"/>
            <w:vAlign w:val="center"/>
          </w:tcPr>
          <w:p w14:paraId="0F349521">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FA7A69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E9DE2F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41D0488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 w:val="0"/>
                <w:bCs/>
                <w:color w:val="FF0000"/>
                <w:kern w:val="2"/>
                <w:sz w:val="21"/>
                <w:szCs w:val="21"/>
                <w:lang w:val="en-US" w:eastAsia="zh-CN" w:bidi="ar-SA"/>
              </w:rPr>
            </w:pPr>
            <w:r>
              <w:rPr>
                <w:rFonts w:hint="eastAsia" w:cs="Times New Roman"/>
                <w:b w:val="0"/>
                <w:bCs/>
                <w:color w:val="auto"/>
                <w:sz w:val="21"/>
                <w:szCs w:val="21"/>
                <w:lang w:val="en-US" w:eastAsia="zh-CN"/>
              </w:rPr>
              <w:t>0.72</w:t>
            </w:r>
          </w:p>
        </w:tc>
        <w:tc>
          <w:tcPr>
            <w:tcW w:w="1427" w:type="dxa"/>
            <w:vAlign w:val="center"/>
          </w:tcPr>
          <w:p w14:paraId="3EF57E00">
            <w:pPr>
              <w:adjustRightInd w:val="0"/>
              <w:snapToGrid w:val="0"/>
              <w:spacing w:line="280" w:lineRule="exact"/>
              <w:jc w:val="center"/>
              <w:rPr>
                <w:rFonts w:hint="default" w:ascii="Times New Roman" w:hAnsi="Times New Roman" w:eastAsia="仿宋" w:cs="Times New Roman"/>
                <w:b w:val="0"/>
                <w:bCs/>
                <w:color w:val="FF0000"/>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D95C34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 w:val="0"/>
                <w:bCs/>
                <w:color w:val="FF0000"/>
                <w:kern w:val="2"/>
                <w:sz w:val="21"/>
                <w:szCs w:val="21"/>
                <w:lang w:val="en-US" w:eastAsia="zh-CN" w:bidi="ar-SA"/>
              </w:rPr>
            </w:pPr>
            <w:r>
              <w:rPr>
                <w:rFonts w:hint="eastAsia" w:cs="Times New Roman"/>
                <w:b w:val="0"/>
                <w:bCs/>
                <w:color w:val="auto"/>
                <w:sz w:val="21"/>
                <w:szCs w:val="21"/>
                <w:lang w:val="en-US" w:eastAsia="zh-CN"/>
              </w:rPr>
              <w:t>0.72</w:t>
            </w:r>
          </w:p>
        </w:tc>
        <w:tc>
          <w:tcPr>
            <w:tcW w:w="1430" w:type="dxa"/>
            <w:vAlign w:val="center"/>
          </w:tcPr>
          <w:p w14:paraId="5B1CBE7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b w:val="0"/>
                <w:bCs/>
                <w:color w:val="FF0000"/>
                <w:kern w:val="2"/>
                <w:sz w:val="21"/>
                <w:szCs w:val="21"/>
                <w:lang w:val="en-US" w:eastAsia="zh-CN" w:bidi="ar-SA"/>
              </w:rPr>
            </w:pPr>
            <w:r>
              <w:rPr>
                <w:rFonts w:hint="default" w:ascii="Times New Roman" w:hAnsi="Times New Roman" w:eastAsia="宋体" w:cs="Times New Roman"/>
                <w:color w:val="auto"/>
                <w:lang w:val="en-US" w:eastAsia="zh-CN"/>
              </w:rPr>
              <w:t>+</w:t>
            </w:r>
            <w:r>
              <w:rPr>
                <w:rFonts w:hint="eastAsia" w:cs="Times New Roman"/>
                <w:b w:val="0"/>
                <w:bCs/>
                <w:color w:val="auto"/>
                <w:sz w:val="21"/>
                <w:szCs w:val="21"/>
                <w:lang w:val="en-US" w:eastAsia="zh-CN"/>
              </w:rPr>
              <w:t>0.72</w:t>
            </w:r>
          </w:p>
        </w:tc>
      </w:tr>
      <w:tr w14:paraId="48F7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4B393B42">
            <w:pPr>
              <w:pStyle w:val="44"/>
              <w:spacing w:before="31" w:after="31"/>
              <w:rPr>
                <w:rFonts w:hint="default" w:ascii="Times New Roman" w:hAnsi="Times New Roman" w:cs="Times New Roman"/>
                <w:snapToGrid w:val="0"/>
                <w:color w:val="auto"/>
                <w:kern w:val="21"/>
                <w:szCs w:val="21"/>
              </w:rPr>
            </w:pPr>
          </w:p>
        </w:tc>
        <w:tc>
          <w:tcPr>
            <w:tcW w:w="1901" w:type="dxa"/>
            <w:vAlign w:val="center"/>
          </w:tcPr>
          <w:p w14:paraId="7E5C024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废</w:t>
            </w:r>
            <w:r>
              <w:rPr>
                <w:rFonts w:hint="eastAsia" w:ascii="Times New Roman" w:hAnsi="Times New Roman" w:eastAsia="宋体" w:cs="Times New Roman"/>
                <w:color w:val="auto"/>
                <w:sz w:val="21"/>
                <w:szCs w:val="21"/>
                <w:lang w:val="en-US" w:eastAsia="zh-CN"/>
              </w:rPr>
              <w:t>油</w:t>
            </w:r>
            <w:r>
              <w:rPr>
                <w:rFonts w:hint="default" w:ascii="Times New Roman" w:hAnsi="Times New Roman" w:eastAsia="宋体" w:cs="Times New Roman"/>
                <w:color w:val="auto"/>
                <w:sz w:val="21"/>
                <w:szCs w:val="21"/>
                <w:lang w:val="en-US" w:eastAsia="zh-CN"/>
              </w:rPr>
              <w:t>桶</w:t>
            </w:r>
          </w:p>
        </w:tc>
        <w:tc>
          <w:tcPr>
            <w:tcW w:w="1701" w:type="dxa"/>
            <w:vAlign w:val="center"/>
          </w:tcPr>
          <w:p w14:paraId="7BF0768B">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717E52C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91EBF18">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A8655C4">
            <w:pPr>
              <w:keepNext w:val="0"/>
              <w:keepLines w:val="0"/>
              <w:suppressLineNumbers w:val="0"/>
              <w:adjustRightInd w:val="0"/>
              <w:snapToGrid w:val="0"/>
              <w:spacing w:before="0" w:beforeAutospacing="0" w:after="0" w:afterAutospacing="0"/>
              <w:ind w:left="0" w:leftChars="0" w:right="0" w:rightChars="0"/>
              <w:jc w:val="center"/>
              <w:rPr>
                <w:rFonts w:hint="eastAsia" w:cs="Times New Roman"/>
                <w:bCs/>
                <w:color w:val="FF0000"/>
                <w:sz w:val="21"/>
                <w:szCs w:val="21"/>
                <w:lang w:val="en-US" w:eastAsia="zh-CN"/>
              </w:rPr>
            </w:pPr>
            <w:r>
              <w:rPr>
                <w:rFonts w:hint="eastAsia" w:cs="Times New Roman"/>
                <w:b w:val="0"/>
                <w:bCs/>
                <w:color w:val="auto"/>
                <w:sz w:val="21"/>
                <w:szCs w:val="21"/>
                <w:lang w:val="en-US" w:eastAsia="zh-CN"/>
              </w:rPr>
              <w:t>0.05</w:t>
            </w:r>
          </w:p>
        </w:tc>
        <w:tc>
          <w:tcPr>
            <w:tcW w:w="1427" w:type="dxa"/>
            <w:vAlign w:val="center"/>
          </w:tcPr>
          <w:p w14:paraId="03F3DA24">
            <w:pPr>
              <w:adjustRightInd w:val="0"/>
              <w:snapToGrid w:val="0"/>
              <w:spacing w:line="280" w:lineRule="exact"/>
              <w:jc w:val="center"/>
              <w:rPr>
                <w:rFonts w:hint="eastAsia" w:cs="Times New Roman"/>
                <w:color w:val="FF0000"/>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A19D76B">
            <w:pPr>
              <w:keepNext w:val="0"/>
              <w:keepLines w:val="0"/>
              <w:suppressLineNumbers w:val="0"/>
              <w:adjustRightInd w:val="0"/>
              <w:snapToGrid w:val="0"/>
              <w:spacing w:before="0" w:beforeAutospacing="0" w:after="0" w:afterAutospacing="0"/>
              <w:ind w:left="0" w:leftChars="0" w:right="0" w:rightChars="0"/>
              <w:jc w:val="center"/>
              <w:rPr>
                <w:rFonts w:hint="eastAsia" w:cs="Times New Roman"/>
                <w:bCs/>
                <w:color w:val="FF0000"/>
                <w:sz w:val="21"/>
                <w:szCs w:val="21"/>
                <w:lang w:val="en-US" w:eastAsia="zh-CN"/>
              </w:rPr>
            </w:pPr>
            <w:r>
              <w:rPr>
                <w:rFonts w:hint="eastAsia" w:cs="Times New Roman"/>
                <w:b w:val="0"/>
                <w:bCs/>
                <w:color w:val="auto"/>
                <w:sz w:val="21"/>
                <w:szCs w:val="21"/>
                <w:lang w:val="en-US" w:eastAsia="zh-CN"/>
              </w:rPr>
              <w:t>0.05</w:t>
            </w:r>
          </w:p>
        </w:tc>
        <w:tc>
          <w:tcPr>
            <w:tcW w:w="1430" w:type="dxa"/>
            <w:vAlign w:val="center"/>
          </w:tcPr>
          <w:p w14:paraId="02905DE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auto"/>
                <w:lang w:val="en-US" w:eastAsia="zh-CN"/>
              </w:rPr>
              <w:t>+</w:t>
            </w:r>
            <w:r>
              <w:rPr>
                <w:rFonts w:hint="eastAsia" w:cs="Times New Roman"/>
                <w:b w:val="0"/>
                <w:bCs/>
                <w:color w:val="auto"/>
                <w:sz w:val="21"/>
                <w:szCs w:val="21"/>
                <w:lang w:val="en-US" w:eastAsia="zh-CN"/>
              </w:rPr>
              <w:t>0.05</w:t>
            </w:r>
          </w:p>
        </w:tc>
      </w:tr>
      <w:tr w14:paraId="5EF8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8217BC3">
            <w:pPr>
              <w:pStyle w:val="44"/>
              <w:spacing w:before="31" w:after="31"/>
              <w:rPr>
                <w:rFonts w:hint="default" w:ascii="Times New Roman" w:hAnsi="Times New Roman" w:cs="Times New Roman"/>
                <w:snapToGrid w:val="0"/>
                <w:color w:val="auto"/>
                <w:kern w:val="21"/>
                <w:szCs w:val="21"/>
              </w:rPr>
            </w:pPr>
          </w:p>
        </w:tc>
        <w:tc>
          <w:tcPr>
            <w:tcW w:w="1901" w:type="dxa"/>
            <w:vAlign w:val="center"/>
          </w:tcPr>
          <w:p w14:paraId="45EF789F">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 w:val="21"/>
                <w:szCs w:val="21"/>
                <w:lang w:val="en-US" w:eastAsia="zh-CN"/>
              </w:rPr>
              <w:t>含油废抹布手套</w:t>
            </w:r>
          </w:p>
        </w:tc>
        <w:tc>
          <w:tcPr>
            <w:tcW w:w="1701" w:type="dxa"/>
            <w:vAlign w:val="center"/>
          </w:tcPr>
          <w:p w14:paraId="294EF965">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76E69724">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6F61C26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2A9A23CD">
            <w:pPr>
              <w:adjustRightInd w:val="0"/>
              <w:snapToGrid w:val="0"/>
              <w:jc w:val="center"/>
              <w:rPr>
                <w:rFonts w:hint="eastAsia" w:cs="Times New Roman"/>
                <w:bCs/>
                <w:color w:val="FF0000"/>
                <w:sz w:val="21"/>
                <w:szCs w:val="21"/>
                <w:lang w:val="en-US" w:eastAsia="zh-CN"/>
              </w:rPr>
            </w:pPr>
            <w:r>
              <w:rPr>
                <w:rFonts w:hint="eastAsia" w:cs="Times New Roman"/>
                <w:b w:val="0"/>
                <w:bCs/>
                <w:color w:val="auto"/>
                <w:sz w:val="21"/>
                <w:szCs w:val="21"/>
                <w:lang w:val="en-US" w:eastAsia="zh-CN"/>
              </w:rPr>
              <w:t>0.05</w:t>
            </w:r>
          </w:p>
        </w:tc>
        <w:tc>
          <w:tcPr>
            <w:tcW w:w="1427" w:type="dxa"/>
            <w:vAlign w:val="center"/>
          </w:tcPr>
          <w:p w14:paraId="187F0C92">
            <w:pPr>
              <w:adjustRightInd w:val="0"/>
              <w:snapToGrid w:val="0"/>
              <w:spacing w:line="280" w:lineRule="exact"/>
              <w:jc w:val="center"/>
              <w:rPr>
                <w:rFonts w:hint="eastAsia" w:cs="Times New Roman"/>
                <w:color w:val="FF0000"/>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36003A86">
            <w:pPr>
              <w:adjustRightInd w:val="0"/>
              <w:snapToGrid w:val="0"/>
              <w:jc w:val="center"/>
              <w:rPr>
                <w:rFonts w:hint="eastAsia" w:cs="Times New Roman"/>
                <w:bCs/>
                <w:color w:val="FF0000"/>
                <w:sz w:val="21"/>
                <w:szCs w:val="21"/>
                <w:lang w:val="en-US" w:eastAsia="zh-CN"/>
              </w:rPr>
            </w:pPr>
            <w:r>
              <w:rPr>
                <w:rFonts w:hint="eastAsia" w:cs="Times New Roman"/>
                <w:b w:val="0"/>
                <w:bCs/>
                <w:color w:val="auto"/>
                <w:sz w:val="21"/>
                <w:szCs w:val="21"/>
                <w:lang w:val="en-US" w:eastAsia="zh-CN"/>
              </w:rPr>
              <w:t>0.05</w:t>
            </w:r>
          </w:p>
        </w:tc>
        <w:tc>
          <w:tcPr>
            <w:tcW w:w="1430" w:type="dxa"/>
            <w:vAlign w:val="center"/>
          </w:tcPr>
          <w:p w14:paraId="2B667E80">
            <w:pPr>
              <w:adjustRightInd w:val="0"/>
              <w:snapToGrid w:val="0"/>
              <w:jc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auto"/>
                <w:lang w:val="en-US" w:eastAsia="zh-CN"/>
              </w:rPr>
              <w:t>+</w:t>
            </w:r>
            <w:r>
              <w:rPr>
                <w:rFonts w:hint="eastAsia" w:cs="Times New Roman"/>
                <w:b w:val="0"/>
                <w:bCs/>
                <w:color w:val="auto"/>
                <w:sz w:val="21"/>
                <w:szCs w:val="21"/>
                <w:lang w:val="en-US" w:eastAsia="zh-CN"/>
              </w:rPr>
              <w:t>0.05</w:t>
            </w:r>
          </w:p>
        </w:tc>
      </w:tr>
      <w:tr w14:paraId="7C3A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005" w:type="dxa"/>
            <w:gridSpan w:val="2"/>
            <w:vAlign w:val="center"/>
          </w:tcPr>
          <w:p w14:paraId="7985EDD5">
            <w:pPr>
              <w:pStyle w:val="6"/>
              <w:adjustRightInd w:val="0"/>
              <w:snapToGrid w:val="0"/>
              <w:ind w:firstLine="0"/>
              <w:jc w:val="center"/>
              <w:rPr>
                <w:rFonts w:hint="default" w:ascii="Times New Roman" w:hAnsi="Times New Roman" w:cs="Times New Roman"/>
                <w:color w:val="auto"/>
                <w:szCs w:val="21"/>
              </w:rPr>
            </w:pPr>
            <w:r>
              <w:rPr>
                <w:rFonts w:hint="default" w:ascii="Times New Roman" w:hAnsi="Times New Roman" w:cs="Times New Roman"/>
                <w:snapToGrid w:val="0"/>
                <w:color w:val="auto"/>
                <w:kern w:val="21"/>
                <w:szCs w:val="21"/>
              </w:rPr>
              <w:t>生活垃圾</w:t>
            </w:r>
          </w:p>
        </w:tc>
        <w:tc>
          <w:tcPr>
            <w:tcW w:w="1701" w:type="dxa"/>
            <w:vAlign w:val="center"/>
          </w:tcPr>
          <w:p w14:paraId="33B2498B">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0385998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531F6D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5A4B553D">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4.5</w:t>
            </w:r>
          </w:p>
        </w:tc>
        <w:tc>
          <w:tcPr>
            <w:tcW w:w="1427" w:type="dxa"/>
            <w:vAlign w:val="center"/>
          </w:tcPr>
          <w:p w14:paraId="6C2FC0A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065037F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4.5</w:t>
            </w:r>
          </w:p>
        </w:tc>
        <w:tc>
          <w:tcPr>
            <w:tcW w:w="1430" w:type="dxa"/>
            <w:vAlign w:val="center"/>
          </w:tcPr>
          <w:p w14:paraId="39674DF5">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color w:val="auto"/>
                <w:lang w:val="en-US" w:eastAsia="zh-CN"/>
              </w:rPr>
              <w:t>+</w:t>
            </w:r>
            <w:r>
              <w:rPr>
                <w:rFonts w:hint="eastAsia" w:cs="Times New Roman"/>
                <w:color w:val="auto"/>
                <w:kern w:val="2"/>
                <w:sz w:val="21"/>
                <w:szCs w:val="21"/>
                <w:lang w:val="en-US" w:eastAsia="zh-CN" w:bidi="ar-SA"/>
              </w:rPr>
              <w:t>4.5</w:t>
            </w:r>
          </w:p>
        </w:tc>
      </w:tr>
    </w:tbl>
    <w:p w14:paraId="43A19614">
      <w:pPr>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14:paraId="62C6C6C8">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黑体" w:cs="Times New Roman"/>
          <w:color w:val="auto"/>
          <w:sz w:val="10"/>
          <w:szCs w:val="10"/>
        </w:rPr>
      </w:pPr>
    </w:p>
    <w:p w14:paraId="69D75DC7">
      <w:pPr>
        <w:rPr>
          <w:rFonts w:hint="default"/>
          <w:color w:val="auto"/>
        </w:rPr>
      </w:pPr>
    </w:p>
    <w:sectPr>
      <w:footerReference r:id="rId10"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文鼎CS中宋">
    <w:altName w:val="宋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ingLiU">
    <w:panose1 w:val="02020509000000000000"/>
    <w:charset w:val="88"/>
    <w:family w:val="modern"/>
    <w:pitch w:val="default"/>
    <w:sig w:usb0="A00002FF" w:usb1="28CFFCFA"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CIDFont">
    <w:altName w:val="Calibri"/>
    <w:panose1 w:val="00000000000000000000"/>
    <w:charset w:val="00"/>
    <w:family w:val="auto"/>
    <w:pitch w:val="default"/>
    <w:sig w:usb0="00000000" w:usb1="00000000" w:usb2="00000000" w:usb3="00000000" w:csb0="00000000" w:csb1="00000000"/>
  </w:font>
  <w:font w:name="方正小标宋_GBK">
    <w:panose1 w:val="03000509000000000000"/>
    <w:charset w:val="86"/>
    <w:family w:val="auto"/>
    <w:pitch w:val="default"/>
    <w:sig w:usb0="00000001" w:usb1="080E0000" w:usb2="0000000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A82A5">
    <w:pPr>
      <w:pStyle w:val="1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3326D5">
                          <w:pPr>
                            <w:pStyle w:val="17"/>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gOQeyQEAAJoDAAAOAAAAAAAAAAEAIAAAAB4BAABkcnMvZTJvRG9j&#10;LnhtbFBLBQYAAAAABgAGAFkBAABZBQAAAAA=&#10;">
              <v:fill on="f" focussize="0,0"/>
              <v:stroke on="f"/>
              <v:imagedata o:title=""/>
              <o:lock v:ext="edit" aspectratio="f"/>
              <v:textbox inset="0mm,0mm,0mm,0mm" style="mso-fit-shape-to-text:t;">
                <w:txbxContent>
                  <w:p w14:paraId="673326D5">
                    <w:pPr>
                      <w:pStyle w:val="1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7DF09">
    <w:pPr>
      <w:pStyle w:val="1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C010D5">
                          <w:pPr>
                            <w:pStyle w:val="17"/>
                          </w:pPr>
                          <w:r>
                            <w:fldChar w:fldCharType="begin"/>
                          </w:r>
                          <w:r>
                            <w:instrText xml:space="preserve"> PAGE  \* MERGEFORMAT </w:instrText>
                          </w:r>
                          <w:r>
                            <w:fldChar w:fldCharType="separate"/>
                          </w:r>
                          <w:r>
                            <w:t>17</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s9RskBAACa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2SEsctTvzy/dvlx6/Lz69k&#10;l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YKz1GyQEAAJoDAAAOAAAAAAAAAAEAIAAAAB4BAABkcnMvZTJvRG9j&#10;LnhtbFBLBQYAAAAABgAGAFkBAABZBQAAAAA=&#10;">
              <v:fill on="f" focussize="0,0"/>
              <v:stroke on="f"/>
              <v:imagedata o:title=""/>
              <o:lock v:ext="edit" aspectratio="f"/>
              <v:textbox inset="0mm,0mm,0mm,0mm" style="mso-fit-shape-to-text:t;">
                <w:txbxContent>
                  <w:p w14:paraId="44C010D5">
                    <w:pPr>
                      <w:pStyle w:val="17"/>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7ECF7">
    <w:pPr>
      <w:pStyle w:val="1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84E86E">
                          <w:pPr>
                            <w:pStyle w:val="17"/>
                          </w:pPr>
                          <w:r>
                            <w:fldChar w:fldCharType="begin"/>
                          </w:r>
                          <w:r>
                            <w:instrText xml:space="preserve"> PAGE  \* MERGEFORMAT </w:instrText>
                          </w:r>
                          <w:r>
                            <w:fldChar w:fldCharType="separate"/>
                          </w:r>
                          <w:r>
                            <w:t>18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2484E86E">
                    <w:pPr>
                      <w:pStyle w:val="1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B2339">
    <w:pPr>
      <w:pStyle w:val="17"/>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C246A">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38D2A">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6819A">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445AA">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E9AB2"/>
    <w:multiLevelType w:val="singleLevel"/>
    <w:tmpl w:val="9EFE9AB2"/>
    <w:lvl w:ilvl="0" w:tentative="0">
      <w:start w:val="2"/>
      <w:numFmt w:val="decimal"/>
      <w:suff w:val="nothing"/>
      <w:lvlText w:val="%1、"/>
      <w:lvlJc w:val="left"/>
    </w:lvl>
  </w:abstractNum>
  <w:abstractNum w:abstractNumId="1">
    <w:nsid w:val="BF0578C4"/>
    <w:multiLevelType w:val="singleLevel"/>
    <w:tmpl w:val="BF0578C4"/>
    <w:lvl w:ilvl="0" w:tentative="0">
      <w:start w:val="1"/>
      <w:numFmt w:val="decimal"/>
      <w:suff w:val="nothing"/>
      <w:lvlText w:val="（%1）"/>
      <w:lvlJc w:val="left"/>
    </w:lvl>
  </w:abstractNum>
  <w:abstractNum w:abstractNumId="2">
    <w:nsid w:val="167C3218"/>
    <w:multiLevelType w:val="singleLevel"/>
    <w:tmpl w:val="167C3218"/>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3">
    <w:nsid w:val="73469145"/>
    <w:multiLevelType w:val="singleLevel"/>
    <w:tmpl w:val="73469145"/>
    <w:lvl w:ilvl="0" w:tentative="0">
      <w:start w:val="6"/>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attachedTemplate r:id="rId1"/>
  <w:documentProtection w:edit="trackedChanges" w:enforcement="0"/>
  <w:defaultTabStop w:val="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1YmIwNDc0YTU1M2NmYWNmNjNkYjdhMTFmZjNlNTIifQ=="/>
    <w:docVar w:name="KSO_WPS_MARK_KEY" w:val="3ccef7d2-cd31-4280-99fd-d8110a6b49bf"/>
  </w:docVars>
  <w:rsids>
    <w:rsidRoot w:val="00A14947"/>
    <w:rsid w:val="0000034B"/>
    <w:rsid w:val="00000F89"/>
    <w:rsid w:val="0000195E"/>
    <w:rsid w:val="0000268B"/>
    <w:rsid w:val="00002F74"/>
    <w:rsid w:val="00004081"/>
    <w:rsid w:val="0000439F"/>
    <w:rsid w:val="00004C06"/>
    <w:rsid w:val="00005877"/>
    <w:rsid w:val="000060B3"/>
    <w:rsid w:val="00006D0C"/>
    <w:rsid w:val="00007145"/>
    <w:rsid w:val="00007298"/>
    <w:rsid w:val="00010B61"/>
    <w:rsid w:val="0001177B"/>
    <w:rsid w:val="0001192C"/>
    <w:rsid w:val="00011EC4"/>
    <w:rsid w:val="00011FE8"/>
    <w:rsid w:val="00012F7D"/>
    <w:rsid w:val="00013D11"/>
    <w:rsid w:val="00016DA4"/>
    <w:rsid w:val="000228D0"/>
    <w:rsid w:val="000236F7"/>
    <w:rsid w:val="000248A8"/>
    <w:rsid w:val="00024A44"/>
    <w:rsid w:val="00024AA9"/>
    <w:rsid w:val="000269F1"/>
    <w:rsid w:val="00026C80"/>
    <w:rsid w:val="00030596"/>
    <w:rsid w:val="00031900"/>
    <w:rsid w:val="00033C77"/>
    <w:rsid w:val="00034B66"/>
    <w:rsid w:val="000367AA"/>
    <w:rsid w:val="00036A24"/>
    <w:rsid w:val="000373FF"/>
    <w:rsid w:val="0004052F"/>
    <w:rsid w:val="00040CB6"/>
    <w:rsid w:val="00041FB3"/>
    <w:rsid w:val="00042ED1"/>
    <w:rsid w:val="000432F0"/>
    <w:rsid w:val="0004364B"/>
    <w:rsid w:val="000451BD"/>
    <w:rsid w:val="0004783A"/>
    <w:rsid w:val="000500CB"/>
    <w:rsid w:val="000517AB"/>
    <w:rsid w:val="00055D9C"/>
    <w:rsid w:val="0005771C"/>
    <w:rsid w:val="00057D30"/>
    <w:rsid w:val="00060301"/>
    <w:rsid w:val="000618CC"/>
    <w:rsid w:val="00061B1F"/>
    <w:rsid w:val="00061F18"/>
    <w:rsid w:val="00067834"/>
    <w:rsid w:val="00067A10"/>
    <w:rsid w:val="00070718"/>
    <w:rsid w:val="000711DF"/>
    <w:rsid w:val="00071FA4"/>
    <w:rsid w:val="0007233B"/>
    <w:rsid w:val="000729FF"/>
    <w:rsid w:val="000731FF"/>
    <w:rsid w:val="000733C4"/>
    <w:rsid w:val="00073A0F"/>
    <w:rsid w:val="00073EB0"/>
    <w:rsid w:val="000740A5"/>
    <w:rsid w:val="00074327"/>
    <w:rsid w:val="00074783"/>
    <w:rsid w:val="00074BE1"/>
    <w:rsid w:val="0008070B"/>
    <w:rsid w:val="000810AC"/>
    <w:rsid w:val="00081A02"/>
    <w:rsid w:val="00081A56"/>
    <w:rsid w:val="00082231"/>
    <w:rsid w:val="000829EA"/>
    <w:rsid w:val="00083F6A"/>
    <w:rsid w:val="000848AE"/>
    <w:rsid w:val="000861C3"/>
    <w:rsid w:val="00086B4F"/>
    <w:rsid w:val="00087FF7"/>
    <w:rsid w:val="00092465"/>
    <w:rsid w:val="00092D38"/>
    <w:rsid w:val="0009377B"/>
    <w:rsid w:val="00097DE5"/>
    <w:rsid w:val="000A0BDF"/>
    <w:rsid w:val="000A20C9"/>
    <w:rsid w:val="000A21DA"/>
    <w:rsid w:val="000A33B4"/>
    <w:rsid w:val="000A448E"/>
    <w:rsid w:val="000A5522"/>
    <w:rsid w:val="000A78EB"/>
    <w:rsid w:val="000B058F"/>
    <w:rsid w:val="000B0DF8"/>
    <w:rsid w:val="000B0F0F"/>
    <w:rsid w:val="000B1846"/>
    <w:rsid w:val="000B4467"/>
    <w:rsid w:val="000B4DB9"/>
    <w:rsid w:val="000B4EFB"/>
    <w:rsid w:val="000B60BB"/>
    <w:rsid w:val="000B680E"/>
    <w:rsid w:val="000B725F"/>
    <w:rsid w:val="000C09AC"/>
    <w:rsid w:val="000C0B38"/>
    <w:rsid w:val="000C135E"/>
    <w:rsid w:val="000C186F"/>
    <w:rsid w:val="000C2889"/>
    <w:rsid w:val="000C3166"/>
    <w:rsid w:val="000C62DF"/>
    <w:rsid w:val="000C6A5E"/>
    <w:rsid w:val="000C767F"/>
    <w:rsid w:val="000D49C1"/>
    <w:rsid w:val="000D5A44"/>
    <w:rsid w:val="000D69C4"/>
    <w:rsid w:val="000D7477"/>
    <w:rsid w:val="000E1579"/>
    <w:rsid w:val="000E3EA0"/>
    <w:rsid w:val="000E3ED2"/>
    <w:rsid w:val="000E4F24"/>
    <w:rsid w:val="000E583E"/>
    <w:rsid w:val="000F436F"/>
    <w:rsid w:val="000F49AD"/>
    <w:rsid w:val="000F7862"/>
    <w:rsid w:val="00101F8C"/>
    <w:rsid w:val="00102053"/>
    <w:rsid w:val="00102259"/>
    <w:rsid w:val="00103BC6"/>
    <w:rsid w:val="00103D67"/>
    <w:rsid w:val="001043F6"/>
    <w:rsid w:val="00104C71"/>
    <w:rsid w:val="00107BF2"/>
    <w:rsid w:val="001101C3"/>
    <w:rsid w:val="00110CDB"/>
    <w:rsid w:val="00112CEA"/>
    <w:rsid w:val="00113C81"/>
    <w:rsid w:val="00114D9F"/>
    <w:rsid w:val="00115DD2"/>
    <w:rsid w:val="00116A5D"/>
    <w:rsid w:val="00117241"/>
    <w:rsid w:val="00117921"/>
    <w:rsid w:val="0012080D"/>
    <w:rsid w:val="00123D68"/>
    <w:rsid w:val="00123E26"/>
    <w:rsid w:val="001249D0"/>
    <w:rsid w:val="00127570"/>
    <w:rsid w:val="001276EF"/>
    <w:rsid w:val="00131F42"/>
    <w:rsid w:val="00132086"/>
    <w:rsid w:val="00132234"/>
    <w:rsid w:val="001341F0"/>
    <w:rsid w:val="001342D4"/>
    <w:rsid w:val="00134410"/>
    <w:rsid w:val="001357F1"/>
    <w:rsid w:val="00137A11"/>
    <w:rsid w:val="001405B7"/>
    <w:rsid w:val="00140FA8"/>
    <w:rsid w:val="00142DF7"/>
    <w:rsid w:val="00142FEB"/>
    <w:rsid w:val="00143A2D"/>
    <w:rsid w:val="00143CF4"/>
    <w:rsid w:val="00144DE7"/>
    <w:rsid w:val="00145A41"/>
    <w:rsid w:val="00145AF5"/>
    <w:rsid w:val="0014652C"/>
    <w:rsid w:val="00147147"/>
    <w:rsid w:val="001479C9"/>
    <w:rsid w:val="001515D1"/>
    <w:rsid w:val="001515DE"/>
    <w:rsid w:val="00151675"/>
    <w:rsid w:val="00151887"/>
    <w:rsid w:val="00154276"/>
    <w:rsid w:val="0015618C"/>
    <w:rsid w:val="00157435"/>
    <w:rsid w:val="00157492"/>
    <w:rsid w:val="00160902"/>
    <w:rsid w:val="00160F30"/>
    <w:rsid w:val="00163DC0"/>
    <w:rsid w:val="00164A9E"/>
    <w:rsid w:val="00170A8E"/>
    <w:rsid w:val="00170E88"/>
    <w:rsid w:val="00172500"/>
    <w:rsid w:val="001745B8"/>
    <w:rsid w:val="00174D25"/>
    <w:rsid w:val="00174DF1"/>
    <w:rsid w:val="0017504D"/>
    <w:rsid w:val="00175305"/>
    <w:rsid w:val="0017671A"/>
    <w:rsid w:val="00177422"/>
    <w:rsid w:val="00181003"/>
    <w:rsid w:val="001818D6"/>
    <w:rsid w:val="00182DBB"/>
    <w:rsid w:val="00184590"/>
    <w:rsid w:val="001851A7"/>
    <w:rsid w:val="001870D1"/>
    <w:rsid w:val="0018781E"/>
    <w:rsid w:val="001879AE"/>
    <w:rsid w:val="00187BCB"/>
    <w:rsid w:val="001903A5"/>
    <w:rsid w:val="001920BE"/>
    <w:rsid w:val="0019262D"/>
    <w:rsid w:val="0019264F"/>
    <w:rsid w:val="00193B3A"/>
    <w:rsid w:val="00194F70"/>
    <w:rsid w:val="00195453"/>
    <w:rsid w:val="00195FA9"/>
    <w:rsid w:val="001A0EAA"/>
    <w:rsid w:val="001A1B35"/>
    <w:rsid w:val="001A48A2"/>
    <w:rsid w:val="001A4D05"/>
    <w:rsid w:val="001A63F2"/>
    <w:rsid w:val="001A6F61"/>
    <w:rsid w:val="001A760E"/>
    <w:rsid w:val="001A7B9F"/>
    <w:rsid w:val="001B0939"/>
    <w:rsid w:val="001B222B"/>
    <w:rsid w:val="001B3457"/>
    <w:rsid w:val="001B4F72"/>
    <w:rsid w:val="001B4FC3"/>
    <w:rsid w:val="001B5197"/>
    <w:rsid w:val="001B6106"/>
    <w:rsid w:val="001B72B8"/>
    <w:rsid w:val="001C29D0"/>
    <w:rsid w:val="001C3F36"/>
    <w:rsid w:val="001C43A6"/>
    <w:rsid w:val="001C4F09"/>
    <w:rsid w:val="001C5320"/>
    <w:rsid w:val="001C69B3"/>
    <w:rsid w:val="001C711E"/>
    <w:rsid w:val="001D064B"/>
    <w:rsid w:val="001D0DDF"/>
    <w:rsid w:val="001D4418"/>
    <w:rsid w:val="001D5595"/>
    <w:rsid w:val="001D717D"/>
    <w:rsid w:val="001D7428"/>
    <w:rsid w:val="001D7874"/>
    <w:rsid w:val="001D7D37"/>
    <w:rsid w:val="001D7F22"/>
    <w:rsid w:val="001E0E44"/>
    <w:rsid w:val="001E248B"/>
    <w:rsid w:val="001E3EC1"/>
    <w:rsid w:val="001E4CA0"/>
    <w:rsid w:val="001E514B"/>
    <w:rsid w:val="001E677D"/>
    <w:rsid w:val="001F0187"/>
    <w:rsid w:val="001F0F17"/>
    <w:rsid w:val="001F1424"/>
    <w:rsid w:val="001F2EEA"/>
    <w:rsid w:val="001F3347"/>
    <w:rsid w:val="001F4785"/>
    <w:rsid w:val="001F4C1F"/>
    <w:rsid w:val="001F5065"/>
    <w:rsid w:val="001F53E1"/>
    <w:rsid w:val="001F69E4"/>
    <w:rsid w:val="001F73B2"/>
    <w:rsid w:val="00200669"/>
    <w:rsid w:val="00200685"/>
    <w:rsid w:val="00200D40"/>
    <w:rsid w:val="0020185D"/>
    <w:rsid w:val="00202228"/>
    <w:rsid w:val="00202287"/>
    <w:rsid w:val="00202983"/>
    <w:rsid w:val="00203B3F"/>
    <w:rsid w:val="00203B5F"/>
    <w:rsid w:val="00207C06"/>
    <w:rsid w:val="00210D3C"/>
    <w:rsid w:val="002119E3"/>
    <w:rsid w:val="002125B4"/>
    <w:rsid w:val="00212EE0"/>
    <w:rsid w:val="002131B6"/>
    <w:rsid w:val="002134DD"/>
    <w:rsid w:val="00214550"/>
    <w:rsid w:val="002149D4"/>
    <w:rsid w:val="00214A9A"/>
    <w:rsid w:val="002155B8"/>
    <w:rsid w:val="00217CD1"/>
    <w:rsid w:val="00220359"/>
    <w:rsid w:val="00220746"/>
    <w:rsid w:val="00221431"/>
    <w:rsid w:val="00224839"/>
    <w:rsid w:val="002249B2"/>
    <w:rsid w:val="00226574"/>
    <w:rsid w:val="0022696D"/>
    <w:rsid w:val="00227522"/>
    <w:rsid w:val="002278EC"/>
    <w:rsid w:val="00227BE5"/>
    <w:rsid w:val="0023280E"/>
    <w:rsid w:val="002334BB"/>
    <w:rsid w:val="00233FE7"/>
    <w:rsid w:val="00234486"/>
    <w:rsid w:val="00234A0E"/>
    <w:rsid w:val="0023630E"/>
    <w:rsid w:val="00237177"/>
    <w:rsid w:val="002377D1"/>
    <w:rsid w:val="002409D1"/>
    <w:rsid w:val="00240A34"/>
    <w:rsid w:val="002420B7"/>
    <w:rsid w:val="0024225D"/>
    <w:rsid w:val="0024345F"/>
    <w:rsid w:val="002469D7"/>
    <w:rsid w:val="0024788E"/>
    <w:rsid w:val="00247F98"/>
    <w:rsid w:val="002506BC"/>
    <w:rsid w:val="002506BD"/>
    <w:rsid w:val="00250965"/>
    <w:rsid w:val="002522FA"/>
    <w:rsid w:val="00252B54"/>
    <w:rsid w:val="00254345"/>
    <w:rsid w:val="00254A8E"/>
    <w:rsid w:val="00254DFF"/>
    <w:rsid w:val="0025518D"/>
    <w:rsid w:val="002552F9"/>
    <w:rsid w:val="00260390"/>
    <w:rsid w:val="00260426"/>
    <w:rsid w:val="00261836"/>
    <w:rsid w:val="002618D7"/>
    <w:rsid w:val="00262AC9"/>
    <w:rsid w:val="00264557"/>
    <w:rsid w:val="00264715"/>
    <w:rsid w:val="00266FB8"/>
    <w:rsid w:val="00267152"/>
    <w:rsid w:val="00267DC1"/>
    <w:rsid w:val="00267FE6"/>
    <w:rsid w:val="002701DA"/>
    <w:rsid w:val="00271AD3"/>
    <w:rsid w:val="00271F7D"/>
    <w:rsid w:val="00272EA9"/>
    <w:rsid w:val="00273250"/>
    <w:rsid w:val="002745F6"/>
    <w:rsid w:val="00274DD9"/>
    <w:rsid w:val="002752F0"/>
    <w:rsid w:val="0027587D"/>
    <w:rsid w:val="00277187"/>
    <w:rsid w:val="002805AB"/>
    <w:rsid w:val="0028111D"/>
    <w:rsid w:val="002828BF"/>
    <w:rsid w:val="002829A6"/>
    <w:rsid w:val="0028313E"/>
    <w:rsid w:val="00283C96"/>
    <w:rsid w:val="00283E08"/>
    <w:rsid w:val="00284204"/>
    <w:rsid w:val="002847DB"/>
    <w:rsid w:val="002863DC"/>
    <w:rsid w:val="002872A7"/>
    <w:rsid w:val="00291405"/>
    <w:rsid w:val="00291514"/>
    <w:rsid w:val="00291773"/>
    <w:rsid w:val="00291B0E"/>
    <w:rsid w:val="0029349F"/>
    <w:rsid w:val="002963CA"/>
    <w:rsid w:val="00296974"/>
    <w:rsid w:val="002A02A7"/>
    <w:rsid w:val="002A168C"/>
    <w:rsid w:val="002A181B"/>
    <w:rsid w:val="002A1B1A"/>
    <w:rsid w:val="002A3DC7"/>
    <w:rsid w:val="002A6614"/>
    <w:rsid w:val="002A6DCF"/>
    <w:rsid w:val="002B0D0E"/>
    <w:rsid w:val="002B1939"/>
    <w:rsid w:val="002B3C16"/>
    <w:rsid w:val="002B4825"/>
    <w:rsid w:val="002B49E2"/>
    <w:rsid w:val="002B5223"/>
    <w:rsid w:val="002B7B00"/>
    <w:rsid w:val="002B7C44"/>
    <w:rsid w:val="002C06CD"/>
    <w:rsid w:val="002C1748"/>
    <w:rsid w:val="002C1991"/>
    <w:rsid w:val="002C1E9C"/>
    <w:rsid w:val="002C2B17"/>
    <w:rsid w:val="002C4987"/>
    <w:rsid w:val="002C4EA5"/>
    <w:rsid w:val="002C75B9"/>
    <w:rsid w:val="002D22D2"/>
    <w:rsid w:val="002D238E"/>
    <w:rsid w:val="002D3DD0"/>
    <w:rsid w:val="002D3ECC"/>
    <w:rsid w:val="002D51DB"/>
    <w:rsid w:val="002D5331"/>
    <w:rsid w:val="002D5FB3"/>
    <w:rsid w:val="002D68DE"/>
    <w:rsid w:val="002E02B0"/>
    <w:rsid w:val="002E1F3A"/>
    <w:rsid w:val="002E28C5"/>
    <w:rsid w:val="002E298A"/>
    <w:rsid w:val="002E2A1B"/>
    <w:rsid w:val="002E2C9F"/>
    <w:rsid w:val="002E3332"/>
    <w:rsid w:val="002E42AC"/>
    <w:rsid w:val="002E6022"/>
    <w:rsid w:val="002E6CA1"/>
    <w:rsid w:val="002E71A2"/>
    <w:rsid w:val="002E7287"/>
    <w:rsid w:val="002F1082"/>
    <w:rsid w:val="002F12C7"/>
    <w:rsid w:val="002F163E"/>
    <w:rsid w:val="002F45D4"/>
    <w:rsid w:val="002F4745"/>
    <w:rsid w:val="002F6857"/>
    <w:rsid w:val="002F6EF7"/>
    <w:rsid w:val="002F7A66"/>
    <w:rsid w:val="003007C0"/>
    <w:rsid w:val="00301978"/>
    <w:rsid w:val="00301F09"/>
    <w:rsid w:val="003021D5"/>
    <w:rsid w:val="0030332C"/>
    <w:rsid w:val="003051C2"/>
    <w:rsid w:val="0030526D"/>
    <w:rsid w:val="00305AB9"/>
    <w:rsid w:val="00306299"/>
    <w:rsid w:val="00306319"/>
    <w:rsid w:val="00306F2A"/>
    <w:rsid w:val="00307792"/>
    <w:rsid w:val="00307D88"/>
    <w:rsid w:val="0031090E"/>
    <w:rsid w:val="00311E66"/>
    <w:rsid w:val="00312296"/>
    <w:rsid w:val="00312D1C"/>
    <w:rsid w:val="0031351D"/>
    <w:rsid w:val="00314C4B"/>
    <w:rsid w:val="00314F0E"/>
    <w:rsid w:val="003206C8"/>
    <w:rsid w:val="00321D8E"/>
    <w:rsid w:val="003237AF"/>
    <w:rsid w:val="00325928"/>
    <w:rsid w:val="00326537"/>
    <w:rsid w:val="00326732"/>
    <w:rsid w:val="00326BD3"/>
    <w:rsid w:val="00326DB7"/>
    <w:rsid w:val="00327186"/>
    <w:rsid w:val="00330C2D"/>
    <w:rsid w:val="00330F75"/>
    <w:rsid w:val="003314D9"/>
    <w:rsid w:val="003316DF"/>
    <w:rsid w:val="003319D4"/>
    <w:rsid w:val="00332863"/>
    <w:rsid w:val="003353DF"/>
    <w:rsid w:val="0033684D"/>
    <w:rsid w:val="003368D4"/>
    <w:rsid w:val="0033699A"/>
    <w:rsid w:val="00337B42"/>
    <w:rsid w:val="00340383"/>
    <w:rsid w:val="00341B42"/>
    <w:rsid w:val="00342407"/>
    <w:rsid w:val="003425D6"/>
    <w:rsid w:val="00342728"/>
    <w:rsid w:val="0034348F"/>
    <w:rsid w:val="00345A19"/>
    <w:rsid w:val="0035106C"/>
    <w:rsid w:val="00351784"/>
    <w:rsid w:val="00352129"/>
    <w:rsid w:val="0035240D"/>
    <w:rsid w:val="00352892"/>
    <w:rsid w:val="00353062"/>
    <w:rsid w:val="0035333D"/>
    <w:rsid w:val="0035560E"/>
    <w:rsid w:val="00356653"/>
    <w:rsid w:val="003570FA"/>
    <w:rsid w:val="0035743F"/>
    <w:rsid w:val="00357BE2"/>
    <w:rsid w:val="00357DFF"/>
    <w:rsid w:val="00360320"/>
    <w:rsid w:val="003605EF"/>
    <w:rsid w:val="0036064A"/>
    <w:rsid w:val="003616BD"/>
    <w:rsid w:val="0036170C"/>
    <w:rsid w:val="0036244E"/>
    <w:rsid w:val="00363429"/>
    <w:rsid w:val="00366520"/>
    <w:rsid w:val="003669A0"/>
    <w:rsid w:val="00366E0F"/>
    <w:rsid w:val="003670D6"/>
    <w:rsid w:val="0037112D"/>
    <w:rsid w:val="003712E8"/>
    <w:rsid w:val="0037182F"/>
    <w:rsid w:val="00371BAB"/>
    <w:rsid w:val="003733BB"/>
    <w:rsid w:val="00374676"/>
    <w:rsid w:val="00374FB4"/>
    <w:rsid w:val="0038119C"/>
    <w:rsid w:val="003813E1"/>
    <w:rsid w:val="00381A72"/>
    <w:rsid w:val="0038212D"/>
    <w:rsid w:val="0038312B"/>
    <w:rsid w:val="00383151"/>
    <w:rsid w:val="00383586"/>
    <w:rsid w:val="00383D47"/>
    <w:rsid w:val="00384676"/>
    <w:rsid w:val="003853D5"/>
    <w:rsid w:val="003863C1"/>
    <w:rsid w:val="003868BF"/>
    <w:rsid w:val="00386B5D"/>
    <w:rsid w:val="00390857"/>
    <w:rsid w:val="00391EC1"/>
    <w:rsid w:val="00391F84"/>
    <w:rsid w:val="00391FF9"/>
    <w:rsid w:val="00392EA2"/>
    <w:rsid w:val="003940E3"/>
    <w:rsid w:val="003972A8"/>
    <w:rsid w:val="003A3F30"/>
    <w:rsid w:val="003A449B"/>
    <w:rsid w:val="003A4BF3"/>
    <w:rsid w:val="003A6FCB"/>
    <w:rsid w:val="003B1CCA"/>
    <w:rsid w:val="003B2A9F"/>
    <w:rsid w:val="003B3160"/>
    <w:rsid w:val="003B3758"/>
    <w:rsid w:val="003B420D"/>
    <w:rsid w:val="003C0112"/>
    <w:rsid w:val="003C058C"/>
    <w:rsid w:val="003C36AF"/>
    <w:rsid w:val="003C4290"/>
    <w:rsid w:val="003C48B2"/>
    <w:rsid w:val="003C6518"/>
    <w:rsid w:val="003C6C16"/>
    <w:rsid w:val="003C6F81"/>
    <w:rsid w:val="003D21B2"/>
    <w:rsid w:val="003D35D8"/>
    <w:rsid w:val="003D3D4A"/>
    <w:rsid w:val="003D46B1"/>
    <w:rsid w:val="003D77D4"/>
    <w:rsid w:val="003D794D"/>
    <w:rsid w:val="003E2980"/>
    <w:rsid w:val="003E3058"/>
    <w:rsid w:val="003E3780"/>
    <w:rsid w:val="003E59FF"/>
    <w:rsid w:val="003E5BC6"/>
    <w:rsid w:val="003E5C44"/>
    <w:rsid w:val="003E5CD7"/>
    <w:rsid w:val="003E76A9"/>
    <w:rsid w:val="003E7C6E"/>
    <w:rsid w:val="003F0809"/>
    <w:rsid w:val="003F1BF2"/>
    <w:rsid w:val="003F2F99"/>
    <w:rsid w:val="003F43B4"/>
    <w:rsid w:val="003F6A8C"/>
    <w:rsid w:val="003F6D15"/>
    <w:rsid w:val="003F6F87"/>
    <w:rsid w:val="003F73A9"/>
    <w:rsid w:val="003F755C"/>
    <w:rsid w:val="00400B6E"/>
    <w:rsid w:val="00401C2F"/>
    <w:rsid w:val="004032DF"/>
    <w:rsid w:val="004062DD"/>
    <w:rsid w:val="0040644A"/>
    <w:rsid w:val="00406F01"/>
    <w:rsid w:val="00407CB8"/>
    <w:rsid w:val="00411C3F"/>
    <w:rsid w:val="00416150"/>
    <w:rsid w:val="0041646D"/>
    <w:rsid w:val="004166D2"/>
    <w:rsid w:val="00416D50"/>
    <w:rsid w:val="00416FD5"/>
    <w:rsid w:val="00417772"/>
    <w:rsid w:val="004209E5"/>
    <w:rsid w:val="00420E6A"/>
    <w:rsid w:val="00420F54"/>
    <w:rsid w:val="00421084"/>
    <w:rsid w:val="00421E96"/>
    <w:rsid w:val="0042254D"/>
    <w:rsid w:val="00422BD0"/>
    <w:rsid w:val="00424B1F"/>
    <w:rsid w:val="00425A9E"/>
    <w:rsid w:val="00426B1D"/>
    <w:rsid w:val="00426C90"/>
    <w:rsid w:val="00426D6B"/>
    <w:rsid w:val="00426F16"/>
    <w:rsid w:val="004275E1"/>
    <w:rsid w:val="00427E0B"/>
    <w:rsid w:val="00430774"/>
    <w:rsid w:val="00430FA6"/>
    <w:rsid w:val="00431E6C"/>
    <w:rsid w:val="00433CE7"/>
    <w:rsid w:val="0043587E"/>
    <w:rsid w:val="004403EE"/>
    <w:rsid w:val="0044060B"/>
    <w:rsid w:val="00440B39"/>
    <w:rsid w:val="00441C05"/>
    <w:rsid w:val="0044277B"/>
    <w:rsid w:val="00442E0E"/>
    <w:rsid w:val="004444B3"/>
    <w:rsid w:val="00444F41"/>
    <w:rsid w:val="004450D3"/>
    <w:rsid w:val="004466F7"/>
    <w:rsid w:val="004468E0"/>
    <w:rsid w:val="004509C7"/>
    <w:rsid w:val="004512DB"/>
    <w:rsid w:val="00452738"/>
    <w:rsid w:val="00454284"/>
    <w:rsid w:val="004547CD"/>
    <w:rsid w:val="00455F02"/>
    <w:rsid w:val="00456091"/>
    <w:rsid w:val="004565BC"/>
    <w:rsid w:val="0045744F"/>
    <w:rsid w:val="0046074D"/>
    <w:rsid w:val="004625FA"/>
    <w:rsid w:val="00462E86"/>
    <w:rsid w:val="004643B9"/>
    <w:rsid w:val="00466321"/>
    <w:rsid w:val="00466FC0"/>
    <w:rsid w:val="004677CA"/>
    <w:rsid w:val="00470A4E"/>
    <w:rsid w:val="00470D0B"/>
    <w:rsid w:val="00470E7A"/>
    <w:rsid w:val="00471426"/>
    <w:rsid w:val="00472BFA"/>
    <w:rsid w:val="00472D4B"/>
    <w:rsid w:val="00472EF2"/>
    <w:rsid w:val="00475EB6"/>
    <w:rsid w:val="00481CE7"/>
    <w:rsid w:val="00484AE7"/>
    <w:rsid w:val="00484B9B"/>
    <w:rsid w:val="00484CED"/>
    <w:rsid w:val="0048525A"/>
    <w:rsid w:val="004855F6"/>
    <w:rsid w:val="0048661E"/>
    <w:rsid w:val="004908C4"/>
    <w:rsid w:val="004913BD"/>
    <w:rsid w:val="0049204E"/>
    <w:rsid w:val="00493C64"/>
    <w:rsid w:val="00494258"/>
    <w:rsid w:val="00494670"/>
    <w:rsid w:val="004A15D5"/>
    <w:rsid w:val="004A1EA6"/>
    <w:rsid w:val="004A3743"/>
    <w:rsid w:val="004A3823"/>
    <w:rsid w:val="004A3DE8"/>
    <w:rsid w:val="004A44F1"/>
    <w:rsid w:val="004A4861"/>
    <w:rsid w:val="004A4B4C"/>
    <w:rsid w:val="004A51AC"/>
    <w:rsid w:val="004A75D9"/>
    <w:rsid w:val="004B01F0"/>
    <w:rsid w:val="004B065C"/>
    <w:rsid w:val="004B1540"/>
    <w:rsid w:val="004B34A1"/>
    <w:rsid w:val="004B44BE"/>
    <w:rsid w:val="004B4AFD"/>
    <w:rsid w:val="004B66DE"/>
    <w:rsid w:val="004B7468"/>
    <w:rsid w:val="004B74A5"/>
    <w:rsid w:val="004B7E4C"/>
    <w:rsid w:val="004B7E97"/>
    <w:rsid w:val="004C08B5"/>
    <w:rsid w:val="004C0B99"/>
    <w:rsid w:val="004C42BA"/>
    <w:rsid w:val="004C492E"/>
    <w:rsid w:val="004D0AE7"/>
    <w:rsid w:val="004D2940"/>
    <w:rsid w:val="004D2C3F"/>
    <w:rsid w:val="004D60EE"/>
    <w:rsid w:val="004D704C"/>
    <w:rsid w:val="004D75FA"/>
    <w:rsid w:val="004E195E"/>
    <w:rsid w:val="004E256E"/>
    <w:rsid w:val="004E41BC"/>
    <w:rsid w:val="004E53ED"/>
    <w:rsid w:val="004E6946"/>
    <w:rsid w:val="004E75D0"/>
    <w:rsid w:val="004F1AD8"/>
    <w:rsid w:val="004F1C38"/>
    <w:rsid w:val="004F4937"/>
    <w:rsid w:val="004F64EB"/>
    <w:rsid w:val="005017B4"/>
    <w:rsid w:val="005026BB"/>
    <w:rsid w:val="00503411"/>
    <w:rsid w:val="005037E1"/>
    <w:rsid w:val="00503959"/>
    <w:rsid w:val="005039CB"/>
    <w:rsid w:val="0050558F"/>
    <w:rsid w:val="00505644"/>
    <w:rsid w:val="005056D8"/>
    <w:rsid w:val="00505B2D"/>
    <w:rsid w:val="00506286"/>
    <w:rsid w:val="00506F8D"/>
    <w:rsid w:val="0050714C"/>
    <w:rsid w:val="00507F11"/>
    <w:rsid w:val="00510813"/>
    <w:rsid w:val="00511990"/>
    <w:rsid w:val="00511DE0"/>
    <w:rsid w:val="0051211B"/>
    <w:rsid w:val="00514590"/>
    <w:rsid w:val="00514870"/>
    <w:rsid w:val="00514B9B"/>
    <w:rsid w:val="00514F93"/>
    <w:rsid w:val="00515414"/>
    <w:rsid w:val="00516193"/>
    <w:rsid w:val="00517F02"/>
    <w:rsid w:val="00520820"/>
    <w:rsid w:val="00521189"/>
    <w:rsid w:val="00523437"/>
    <w:rsid w:val="00523BBF"/>
    <w:rsid w:val="00523C03"/>
    <w:rsid w:val="00523F04"/>
    <w:rsid w:val="00524303"/>
    <w:rsid w:val="00524C3B"/>
    <w:rsid w:val="0052528B"/>
    <w:rsid w:val="005258A2"/>
    <w:rsid w:val="00526DAD"/>
    <w:rsid w:val="0052772A"/>
    <w:rsid w:val="00527F82"/>
    <w:rsid w:val="005303E9"/>
    <w:rsid w:val="00530768"/>
    <w:rsid w:val="00532953"/>
    <w:rsid w:val="00537A03"/>
    <w:rsid w:val="00537AD7"/>
    <w:rsid w:val="005401AE"/>
    <w:rsid w:val="00540A3F"/>
    <w:rsid w:val="00540F0A"/>
    <w:rsid w:val="0054100E"/>
    <w:rsid w:val="005428A4"/>
    <w:rsid w:val="00542DD4"/>
    <w:rsid w:val="00542E07"/>
    <w:rsid w:val="00543730"/>
    <w:rsid w:val="00544CB7"/>
    <w:rsid w:val="00545424"/>
    <w:rsid w:val="0054548B"/>
    <w:rsid w:val="00545A07"/>
    <w:rsid w:val="005470A0"/>
    <w:rsid w:val="0055043B"/>
    <w:rsid w:val="005520D7"/>
    <w:rsid w:val="005538A3"/>
    <w:rsid w:val="00553AF5"/>
    <w:rsid w:val="00554A7B"/>
    <w:rsid w:val="0055572C"/>
    <w:rsid w:val="00555982"/>
    <w:rsid w:val="00556C9F"/>
    <w:rsid w:val="005602F6"/>
    <w:rsid w:val="0056106A"/>
    <w:rsid w:val="00563088"/>
    <w:rsid w:val="005640F8"/>
    <w:rsid w:val="005643D4"/>
    <w:rsid w:val="00566634"/>
    <w:rsid w:val="005707FA"/>
    <w:rsid w:val="005720AE"/>
    <w:rsid w:val="005739A3"/>
    <w:rsid w:val="00573E38"/>
    <w:rsid w:val="00574557"/>
    <w:rsid w:val="0057657A"/>
    <w:rsid w:val="00577ADD"/>
    <w:rsid w:val="005802D9"/>
    <w:rsid w:val="005812C9"/>
    <w:rsid w:val="00583720"/>
    <w:rsid w:val="0058386E"/>
    <w:rsid w:val="00584ED8"/>
    <w:rsid w:val="005856EA"/>
    <w:rsid w:val="00585AEF"/>
    <w:rsid w:val="005861E1"/>
    <w:rsid w:val="00586F3F"/>
    <w:rsid w:val="005901F9"/>
    <w:rsid w:val="005948F3"/>
    <w:rsid w:val="00594CDD"/>
    <w:rsid w:val="00594D77"/>
    <w:rsid w:val="005951FE"/>
    <w:rsid w:val="00595534"/>
    <w:rsid w:val="00595DC3"/>
    <w:rsid w:val="0059628F"/>
    <w:rsid w:val="0059668A"/>
    <w:rsid w:val="005969E4"/>
    <w:rsid w:val="00597B66"/>
    <w:rsid w:val="005A0380"/>
    <w:rsid w:val="005A06B7"/>
    <w:rsid w:val="005A0DB8"/>
    <w:rsid w:val="005A1759"/>
    <w:rsid w:val="005A2625"/>
    <w:rsid w:val="005A3274"/>
    <w:rsid w:val="005A3BDF"/>
    <w:rsid w:val="005A49CD"/>
    <w:rsid w:val="005A4E5B"/>
    <w:rsid w:val="005A68A7"/>
    <w:rsid w:val="005A6D14"/>
    <w:rsid w:val="005B0373"/>
    <w:rsid w:val="005B1268"/>
    <w:rsid w:val="005B17ED"/>
    <w:rsid w:val="005B2607"/>
    <w:rsid w:val="005B28A9"/>
    <w:rsid w:val="005B32B0"/>
    <w:rsid w:val="005B7648"/>
    <w:rsid w:val="005B7879"/>
    <w:rsid w:val="005B7D71"/>
    <w:rsid w:val="005C1927"/>
    <w:rsid w:val="005C1967"/>
    <w:rsid w:val="005C2593"/>
    <w:rsid w:val="005C4A4B"/>
    <w:rsid w:val="005D104B"/>
    <w:rsid w:val="005D1E82"/>
    <w:rsid w:val="005D36AB"/>
    <w:rsid w:val="005D45AE"/>
    <w:rsid w:val="005D55D2"/>
    <w:rsid w:val="005D5B22"/>
    <w:rsid w:val="005D7253"/>
    <w:rsid w:val="005E012F"/>
    <w:rsid w:val="005E0449"/>
    <w:rsid w:val="005E090F"/>
    <w:rsid w:val="005E0BD9"/>
    <w:rsid w:val="005E2728"/>
    <w:rsid w:val="005E2CFD"/>
    <w:rsid w:val="005E2E2A"/>
    <w:rsid w:val="005E424B"/>
    <w:rsid w:val="005E4909"/>
    <w:rsid w:val="005E548E"/>
    <w:rsid w:val="005E6C51"/>
    <w:rsid w:val="005E6FE8"/>
    <w:rsid w:val="005F0951"/>
    <w:rsid w:val="005F0DA1"/>
    <w:rsid w:val="005F262D"/>
    <w:rsid w:val="005F5866"/>
    <w:rsid w:val="005F598F"/>
    <w:rsid w:val="006013C1"/>
    <w:rsid w:val="00601C2A"/>
    <w:rsid w:val="00603584"/>
    <w:rsid w:val="006039A3"/>
    <w:rsid w:val="006040FC"/>
    <w:rsid w:val="006046A4"/>
    <w:rsid w:val="0060483A"/>
    <w:rsid w:val="0060535F"/>
    <w:rsid w:val="00607631"/>
    <w:rsid w:val="00607832"/>
    <w:rsid w:val="0060792A"/>
    <w:rsid w:val="0061030F"/>
    <w:rsid w:val="00610583"/>
    <w:rsid w:val="00610634"/>
    <w:rsid w:val="00610EEC"/>
    <w:rsid w:val="00612637"/>
    <w:rsid w:val="00613C88"/>
    <w:rsid w:val="00613F33"/>
    <w:rsid w:val="00614E1B"/>
    <w:rsid w:val="00617B89"/>
    <w:rsid w:val="00617CC3"/>
    <w:rsid w:val="00620561"/>
    <w:rsid w:val="0062197C"/>
    <w:rsid w:val="006241B1"/>
    <w:rsid w:val="00624543"/>
    <w:rsid w:val="00625B57"/>
    <w:rsid w:val="00626193"/>
    <w:rsid w:val="006311B2"/>
    <w:rsid w:val="00634E42"/>
    <w:rsid w:val="00634FDA"/>
    <w:rsid w:val="00635074"/>
    <w:rsid w:val="00635864"/>
    <w:rsid w:val="00635E8B"/>
    <w:rsid w:val="00636AC0"/>
    <w:rsid w:val="006377A6"/>
    <w:rsid w:val="00637A2B"/>
    <w:rsid w:val="00637A3D"/>
    <w:rsid w:val="00640426"/>
    <w:rsid w:val="00640FD7"/>
    <w:rsid w:val="006410A3"/>
    <w:rsid w:val="006411EF"/>
    <w:rsid w:val="0064167F"/>
    <w:rsid w:val="00642583"/>
    <w:rsid w:val="006425CB"/>
    <w:rsid w:val="0064270B"/>
    <w:rsid w:val="00645170"/>
    <w:rsid w:val="00645B68"/>
    <w:rsid w:val="00645CBA"/>
    <w:rsid w:val="00645FCE"/>
    <w:rsid w:val="006504D0"/>
    <w:rsid w:val="00650F3B"/>
    <w:rsid w:val="0065117C"/>
    <w:rsid w:val="00652D25"/>
    <w:rsid w:val="0065420A"/>
    <w:rsid w:val="0065522F"/>
    <w:rsid w:val="0065585F"/>
    <w:rsid w:val="00656274"/>
    <w:rsid w:val="00656392"/>
    <w:rsid w:val="00656A33"/>
    <w:rsid w:val="00660F9E"/>
    <w:rsid w:val="006624CB"/>
    <w:rsid w:val="00662C61"/>
    <w:rsid w:val="00664CBA"/>
    <w:rsid w:val="00666324"/>
    <w:rsid w:val="0066744D"/>
    <w:rsid w:val="00667781"/>
    <w:rsid w:val="00667C05"/>
    <w:rsid w:val="0067357F"/>
    <w:rsid w:val="00674695"/>
    <w:rsid w:val="006748B8"/>
    <w:rsid w:val="00675989"/>
    <w:rsid w:val="00676370"/>
    <w:rsid w:val="00676557"/>
    <w:rsid w:val="006775C3"/>
    <w:rsid w:val="006823B4"/>
    <w:rsid w:val="00682B08"/>
    <w:rsid w:val="00683BDB"/>
    <w:rsid w:val="006848E6"/>
    <w:rsid w:val="00684BC1"/>
    <w:rsid w:val="006856C5"/>
    <w:rsid w:val="00685AD8"/>
    <w:rsid w:val="00685CE5"/>
    <w:rsid w:val="00685E48"/>
    <w:rsid w:val="00686ADB"/>
    <w:rsid w:val="00690D23"/>
    <w:rsid w:val="00691727"/>
    <w:rsid w:val="0069290A"/>
    <w:rsid w:val="00692BCE"/>
    <w:rsid w:val="00696B13"/>
    <w:rsid w:val="0069775A"/>
    <w:rsid w:val="00697813"/>
    <w:rsid w:val="00697DB6"/>
    <w:rsid w:val="006A0F12"/>
    <w:rsid w:val="006A1083"/>
    <w:rsid w:val="006A15EB"/>
    <w:rsid w:val="006A1BF2"/>
    <w:rsid w:val="006A2C60"/>
    <w:rsid w:val="006A2CBC"/>
    <w:rsid w:val="006A3EE8"/>
    <w:rsid w:val="006A3EFB"/>
    <w:rsid w:val="006A407A"/>
    <w:rsid w:val="006A48A9"/>
    <w:rsid w:val="006A6142"/>
    <w:rsid w:val="006A6FB9"/>
    <w:rsid w:val="006A72BF"/>
    <w:rsid w:val="006A7FC6"/>
    <w:rsid w:val="006B03F2"/>
    <w:rsid w:val="006B06D0"/>
    <w:rsid w:val="006B0F06"/>
    <w:rsid w:val="006B14F9"/>
    <w:rsid w:val="006B27B1"/>
    <w:rsid w:val="006B37DC"/>
    <w:rsid w:val="006B4DD0"/>
    <w:rsid w:val="006B4F68"/>
    <w:rsid w:val="006B50FF"/>
    <w:rsid w:val="006B5F90"/>
    <w:rsid w:val="006B7FAA"/>
    <w:rsid w:val="006C0592"/>
    <w:rsid w:val="006C1549"/>
    <w:rsid w:val="006C272E"/>
    <w:rsid w:val="006C3E3D"/>
    <w:rsid w:val="006C5479"/>
    <w:rsid w:val="006C69E6"/>
    <w:rsid w:val="006D0B35"/>
    <w:rsid w:val="006D13B5"/>
    <w:rsid w:val="006D3C38"/>
    <w:rsid w:val="006D4A35"/>
    <w:rsid w:val="006D4C7A"/>
    <w:rsid w:val="006D6F1B"/>
    <w:rsid w:val="006E0C11"/>
    <w:rsid w:val="006E12FF"/>
    <w:rsid w:val="006E21FD"/>
    <w:rsid w:val="006E2352"/>
    <w:rsid w:val="006E36E1"/>
    <w:rsid w:val="006E3D40"/>
    <w:rsid w:val="006E5BC7"/>
    <w:rsid w:val="006E5ECE"/>
    <w:rsid w:val="006E607E"/>
    <w:rsid w:val="006E7EBD"/>
    <w:rsid w:val="006F1571"/>
    <w:rsid w:val="006F2CD0"/>
    <w:rsid w:val="006F2D71"/>
    <w:rsid w:val="006F4250"/>
    <w:rsid w:val="006F44B1"/>
    <w:rsid w:val="006F5500"/>
    <w:rsid w:val="006F6A8C"/>
    <w:rsid w:val="006F6DA3"/>
    <w:rsid w:val="007009C3"/>
    <w:rsid w:val="00700D1E"/>
    <w:rsid w:val="007024ED"/>
    <w:rsid w:val="007037F7"/>
    <w:rsid w:val="00703A0C"/>
    <w:rsid w:val="00703CFC"/>
    <w:rsid w:val="007043F2"/>
    <w:rsid w:val="00706AC9"/>
    <w:rsid w:val="00706ADE"/>
    <w:rsid w:val="00706C5D"/>
    <w:rsid w:val="00707961"/>
    <w:rsid w:val="00711D44"/>
    <w:rsid w:val="00711DE7"/>
    <w:rsid w:val="00713388"/>
    <w:rsid w:val="007158A1"/>
    <w:rsid w:val="00715CAE"/>
    <w:rsid w:val="00716D09"/>
    <w:rsid w:val="0072396D"/>
    <w:rsid w:val="007243D3"/>
    <w:rsid w:val="0072624E"/>
    <w:rsid w:val="00726A03"/>
    <w:rsid w:val="00726BFC"/>
    <w:rsid w:val="00731210"/>
    <w:rsid w:val="00731419"/>
    <w:rsid w:val="00732922"/>
    <w:rsid w:val="00734BC0"/>
    <w:rsid w:val="00735062"/>
    <w:rsid w:val="00737F51"/>
    <w:rsid w:val="007411E7"/>
    <w:rsid w:val="007418DF"/>
    <w:rsid w:val="007422F0"/>
    <w:rsid w:val="00742E68"/>
    <w:rsid w:val="00742EFA"/>
    <w:rsid w:val="007451A5"/>
    <w:rsid w:val="007456CF"/>
    <w:rsid w:val="00746096"/>
    <w:rsid w:val="00747CDE"/>
    <w:rsid w:val="00751384"/>
    <w:rsid w:val="0075162E"/>
    <w:rsid w:val="00753DA2"/>
    <w:rsid w:val="00754034"/>
    <w:rsid w:val="00755694"/>
    <w:rsid w:val="00755AAD"/>
    <w:rsid w:val="0075600B"/>
    <w:rsid w:val="00756071"/>
    <w:rsid w:val="007560F8"/>
    <w:rsid w:val="00756556"/>
    <w:rsid w:val="007566AC"/>
    <w:rsid w:val="00756F96"/>
    <w:rsid w:val="00757F68"/>
    <w:rsid w:val="00757FA1"/>
    <w:rsid w:val="007618C4"/>
    <w:rsid w:val="0076191B"/>
    <w:rsid w:val="0076221B"/>
    <w:rsid w:val="007627EF"/>
    <w:rsid w:val="00763814"/>
    <w:rsid w:val="007640A0"/>
    <w:rsid w:val="00764824"/>
    <w:rsid w:val="00765B8E"/>
    <w:rsid w:val="00765D01"/>
    <w:rsid w:val="007673BB"/>
    <w:rsid w:val="00767980"/>
    <w:rsid w:val="007707EE"/>
    <w:rsid w:val="00770B19"/>
    <w:rsid w:val="00774187"/>
    <w:rsid w:val="00774625"/>
    <w:rsid w:val="0077463F"/>
    <w:rsid w:val="007769D2"/>
    <w:rsid w:val="00780F6D"/>
    <w:rsid w:val="007836EA"/>
    <w:rsid w:val="00783EF2"/>
    <w:rsid w:val="00784CDA"/>
    <w:rsid w:val="00786B74"/>
    <w:rsid w:val="00786CF0"/>
    <w:rsid w:val="007870C6"/>
    <w:rsid w:val="007870E9"/>
    <w:rsid w:val="007879C9"/>
    <w:rsid w:val="007906C4"/>
    <w:rsid w:val="00790C79"/>
    <w:rsid w:val="00792DAF"/>
    <w:rsid w:val="007940EA"/>
    <w:rsid w:val="007958B0"/>
    <w:rsid w:val="007961CD"/>
    <w:rsid w:val="007967E8"/>
    <w:rsid w:val="00796928"/>
    <w:rsid w:val="007A0190"/>
    <w:rsid w:val="007A09FD"/>
    <w:rsid w:val="007A2170"/>
    <w:rsid w:val="007A22BF"/>
    <w:rsid w:val="007A3323"/>
    <w:rsid w:val="007A5837"/>
    <w:rsid w:val="007A5C25"/>
    <w:rsid w:val="007A749E"/>
    <w:rsid w:val="007B173F"/>
    <w:rsid w:val="007B2E60"/>
    <w:rsid w:val="007B4C33"/>
    <w:rsid w:val="007B5CE3"/>
    <w:rsid w:val="007B72B8"/>
    <w:rsid w:val="007B7A58"/>
    <w:rsid w:val="007C0629"/>
    <w:rsid w:val="007C11C2"/>
    <w:rsid w:val="007C21B5"/>
    <w:rsid w:val="007C2772"/>
    <w:rsid w:val="007C3522"/>
    <w:rsid w:val="007C5788"/>
    <w:rsid w:val="007C6AFD"/>
    <w:rsid w:val="007C6DF4"/>
    <w:rsid w:val="007D019A"/>
    <w:rsid w:val="007D04A0"/>
    <w:rsid w:val="007D190D"/>
    <w:rsid w:val="007D2BC2"/>
    <w:rsid w:val="007D3AE5"/>
    <w:rsid w:val="007D4C4F"/>
    <w:rsid w:val="007D768B"/>
    <w:rsid w:val="007D7DD5"/>
    <w:rsid w:val="007E03E1"/>
    <w:rsid w:val="007E1F30"/>
    <w:rsid w:val="007E46B0"/>
    <w:rsid w:val="007E4BD2"/>
    <w:rsid w:val="007E6F57"/>
    <w:rsid w:val="007E7386"/>
    <w:rsid w:val="007F0502"/>
    <w:rsid w:val="007F0B6A"/>
    <w:rsid w:val="007F2E1F"/>
    <w:rsid w:val="007F3712"/>
    <w:rsid w:val="007F4266"/>
    <w:rsid w:val="007F58BB"/>
    <w:rsid w:val="007F626D"/>
    <w:rsid w:val="007F74D9"/>
    <w:rsid w:val="008012E5"/>
    <w:rsid w:val="00801393"/>
    <w:rsid w:val="00801AE7"/>
    <w:rsid w:val="00801BE8"/>
    <w:rsid w:val="00802F88"/>
    <w:rsid w:val="00803254"/>
    <w:rsid w:val="008036D5"/>
    <w:rsid w:val="00803CC6"/>
    <w:rsid w:val="008053DB"/>
    <w:rsid w:val="00805547"/>
    <w:rsid w:val="00805949"/>
    <w:rsid w:val="00805F76"/>
    <w:rsid w:val="00806413"/>
    <w:rsid w:val="008077DE"/>
    <w:rsid w:val="0081293B"/>
    <w:rsid w:val="0081293E"/>
    <w:rsid w:val="00813CFF"/>
    <w:rsid w:val="00814693"/>
    <w:rsid w:val="00815465"/>
    <w:rsid w:val="00817314"/>
    <w:rsid w:val="00817A1D"/>
    <w:rsid w:val="00817E9A"/>
    <w:rsid w:val="00820197"/>
    <w:rsid w:val="0082044F"/>
    <w:rsid w:val="00823A1D"/>
    <w:rsid w:val="00824A4B"/>
    <w:rsid w:val="00824C19"/>
    <w:rsid w:val="00826032"/>
    <w:rsid w:val="008271B0"/>
    <w:rsid w:val="00827AEA"/>
    <w:rsid w:val="008306BD"/>
    <w:rsid w:val="00831A80"/>
    <w:rsid w:val="00833743"/>
    <w:rsid w:val="00833B57"/>
    <w:rsid w:val="00834099"/>
    <w:rsid w:val="008340A4"/>
    <w:rsid w:val="0083799C"/>
    <w:rsid w:val="0084296F"/>
    <w:rsid w:val="00842BAB"/>
    <w:rsid w:val="008435BF"/>
    <w:rsid w:val="00843D3C"/>
    <w:rsid w:val="00844C86"/>
    <w:rsid w:val="0084563D"/>
    <w:rsid w:val="00845C72"/>
    <w:rsid w:val="008476D4"/>
    <w:rsid w:val="00851F2D"/>
    <w:rsid w:val="008539DB"/>
    <w:rsid w:val="008543B4"/>
    <w:rsid w:val="00854A8B"/>
    <w:rsid w:val="00856D23"/>
    <w:rsid w:val="0086193A"/>
    <w:rsid w:val="00865A1A"/>
    <w:rsid w:val="00866712"/>
    <w:rsid w:val="008703CD"/>
    <w:rsid w:val="0087135F"/>
    <w:rsid w:val="00872D94"/>
    <w:rsid w:val="00874F0E"/>
    <w:rsid w:val="0087700F"/>
    <w:rsid w:val="00877EF2"/>
    <w:rsid w:val="00880106"/>
    <w:rsid w:val="0088018F"/>
    <w:rsid w:val="00880364"/>
    <w:rsid w:val="0088047C"/>
    <w:rsid w:val="00880A8B"/>
    <w:rsid w:val="00881208"/>
    <w:rsid w:val="00884476"/>
    <w:rsid w:val="0088621F"/>
    <w:rsid w:val="00886A11"/>
    <w:rsid w:val="00887880"/>
    <w:rsid w:val="00891592"/>
    <w:rsid w:val="00891E9E"/>
    <w:rsid w:val="008921F0"/>
    <w:rsid w:val="008928FC"/>
    <w:rsid w:val="00893DA9"/>
    <w:rsid w:val="00894C3F"/>
    <w:rsid w:val="00894D7A"/>
    <w:rsid w:val="008975F2"/>
    <w:rsid w:val="00897DB4"/>
    <w:rsid w:val="008A1D41"/>
    <w:rsid w:val="008A239E"/>
    <w:rsid w:val="008A2F68"/>
    <w:rsid w:val="008A3B2F"/>
    <w:rsid w:val="008A541A"/>
    <w:rsid w:val="008A58C7"/>
    <w:rsid w:val="008A6197"/>
    <w:rsid w:val="008A68A7"/>
    <w:rsid w:val="008A6FA3"/>
    <w:rsid w:val="008A73A5"/>
    <w:rsid w:val="008B45C2"/>
    <w:rsid w:val="008B4FA6"/>
    <w:rsid w:val="008B5282"/>
    <w:rsid w:val="008B6DD4"/>
    <w:rsid w:val="008B711D"/>
    <w:rsid w:val="008B7C17"/>
    <w:rsid w:val="008C0ED1"/>
    <w:rsid w:val="008C0FFC"/>
    <w:rsid w:val="008C2C95"/>
    <w:rsid w:val="008C2D01"/>
    <w:rsid w:val="008C2D42"/>
    <w:rsid w:val="008C40E6"/>
    <w:rsid w:val="008C4DA1"/>
    <w:rsid w:val="008C5C10"/>
    <w:rsid w:val="008C5DB0"/>
    <w:rsid w:val="008C6348"/>
    <w:rsid w:val="008C7706"/>
    <w:rsid w:val="008D0098"/>
    <w:rsid w:val="008D0F7A"/>
    <w:rsid w:val="008D1DDB"/>
    <w:rsid w:val="008D24B4"/>
    <w:rsid w:val="008D2669"/>
    <w:rsid w:val="008D305C"/>
    <w:rsid w:val="008D3522"/>
    <w:rsid w:val="008D47FB"/>
    <w:rsid w:val="008D50B6"/>
    <w:rsid w:val="008D5EE1"/>
    <w:rsid w:val="008D6887"/>
    <w:rsid w:val="008D68E4"/>
    <w:rsid w:val="008E0506"/>
    <w:rsid w:val="008E0CFF"/>
    <w:rsid w:val="008E4897"/>
    <w:rsid w:val="008E58F5"/>
    <w:rsid w:val="008E5D6B"/>
    <w:rsid w:val="008E7206"/>
    <w:rsid w:val="008E76F0"/>
    <w:rsid w:val="008F15FE"/>
    <w:rsid w:val="008F1974"/>
    <w:rsid w:val="008F2D29"/>
    <w:rsid w:val="008F3ED7"/>
    <w:rsid w:val="008F4E79"/>
    <w:rsid w:val="008F5187"/>
    <w:rsid w:val="008F5E0B"/>
    <w:rsid w:val="008F60D8"/>
    <w:rsid w:val="009012ED"/>
    <w:rsid w:val="009015DE"/>
    <w:rsid w:val="00902727"/>
    <w:rsid w:val="00902E83"/>
    <w:rsid w:val="0090312B"/>
    <w:rsid w:val="00906848"/>
    <w:rsid w:val="00912DF7"/>
    <w:rsid w:val="009154A1"/>
    <w:rsid w:val="0091722A"/>
    <w:rsid w:val="0091736D"/>
    <w:rsid w:val="00917D82"/>
    <w:rsid w:val="00917EB3"/>
    <w:rsid w:val="00920750"/>
    <w:rsid w:val="009213E2"/>
    <w:rsid w:val="00923901"/>
    <w:rsid w:val="009250B5"/>
    <w:rsid w:val="009259F7"/>
    <w:rsid w:val="00925E57"/>
    <w:rsid w:val="00926021"/>
    <w:rsid w:val="009300AE"/>
    <w:rsid w:val="0093037A"/>
    <w:rsid w:val="00930B33"/>
    <w:rsid w:val="009326A2"/>
    <w:rsid w:val="0093359B"/>
    <w:rsid w:val="00936D35"/>
    <w:rsid w:val="00937FE4"/>
    <w:rsid w:val="009402B3"/>
    <w:rsid w:val="00940368"/>
    <w:rsid w:val="009405BC"/>
    <w:rsid w:val="00940A22"/>
    <w:rsid w:val="0094154D"/>
    <w:rsid w:val="00941587"/>
    <w:rsid w:val="00942B0B"/>
    <w:rsid w:val="009440EC"/>
    <w:rsid w:val="00946ECA"/>
    <w:rsid w:val="00947E4E"/>
    <w:rsid w:val="009501E1"/>
    <w:rsid w:val="0095155F"/>
    <w:rsid w:val="00951DEF"/>
    <w:rsid w:val="009526E1"/>
    <w:rsid w:val="0095279C"/>
    <w:rsid w:val="00952CAA"/>
    <w:rsid w:val="00953344"/>
    <w:rsid w:val="00953D74"/>
    <w:rsid w:val="00954022"/>
    <w:rsid w:val="00954429"/>
    <w:rsid w:val="00954CFC"/>
    <w:rsid w:val="00954E56"/>
    <w:rsid w:val="009563CE"/>
    <w:rsid w:val="0095729C"/>
    <w:rsid w:val="00964877"/>
    <w:rsid w:val="00964C10"/>
    <w:rsid w:val="00965F27"/>
    <w:rsid w:val="009665C6"/>
    <w:rsid w:val="00967378"/>
    <w:rsid w:val="009679C6"/>
    <w:rsid w:val="009736B1"/>
    <w:rsid w:val="0097399F"/>
    <w:rsid w:val="0097547C"/>
    <w:rsid w:val="009754EC"/>
    <w:rsid w:val="00976328"/>
    <w:rsid w:val="0097680D"/>
    <w:rsid w:val="00977B78"/>
    <w:rsid w:val="00977F15"/>
    <w:rsid w:val="009800D3"/>
    <w:rsid w:val="00980F9C"/>
    <w:rsid w:val="00981A2D"/>
    <w:rsid w:val="009821C3"/>
    <w:rsid w:val="00982438"/>
    <w:rsid w:val="00982682"/>
    <w:rsid w:val="00982E2D"/>
    <w:rsid w:val="009830C6"/>
    <w:rsid w:val="009833E2"/>
    <w:rsid w:val="009836EE"/>
    <w:rsid w:val="0098404C"/>
    <w:rsid w:val="009841E8"/>
    <w:rsid w:val="00984B0C"/>
    <w:rsid w:val="00984D24"/>
    <w:rsid w:val="0098518D"/>
    <w:rsid w:val="00985283"/>
    <w:rsid w:val="009857AF"/>
    <w:rsid w:val="00985E34"/>
    <w:rsid w:val="0098728A"/>
    <w:rsid w:val="009872BC"/>
    <w:rsid w:val="009879E9"/>
    <w:rsid w:val="00990F82"/>
    <w:rsid w:val="00991B24"/>
    <w:rsid w:val="00992572"/>
    <w:rsid w:val="009957A6"/>
    <w:rsid w:val="00995992"/>
    <w:rsid w:val="00997107"/>
    <w:rsid w:val="009A01C0"/>
    <w:rsid w:val="009A03E5"/>
    <w:rsid w:val="009A0F3B"/>
    <w:rsid w:val="009A19AE"/>
    <w:rsid w:val="009A1BB4"/>
    <w:rsid w:val="009A2036"/>
    <w:rsid w:val="009A21D0"/>
    <w:rsid w:val="009A2551"/>
    <w:rsid w:val="009A2628"/>
    <w:rsid w:val="009A3200"/>
    <w:rsid w:val="009A333B"/>
    <w:rsid w:val="009A35BD"/>
    <w:rsid w:val="009A5287"/>
    <w:rsid w:val="009A74C5"/>
    <w:rsid w:val="009A7E54"/>
    <w:rsid w:val="009B000A"/>
    <w:rsid w:val="009B0897"/>
    <w:rsid w:val="009B0AA2"/>
    <w:rsid w:val="009B2DFA"/>
    <w:rsid w:val="009B4782"/>
    <w:rsid w:val="009B745E"/>
    <w:rsid w:val="009B745F"/>
    <w:rsid w:val="009B7BD9"/>
    <w:rsid w:val="009B7F29"/>
    <w:rsid w:val="009C031A"/>
    <w:rsid w:val="009C05A4"/>
    <w:rsid w:val="009C39A2"/>
    <w:rsid w:val="009C3C24"/>
    <w:rsid w:val="009C3D72"/>
    <w:rsid w:val="009C48E4"/>
    <w:rsid w:val="009C4E8B"/>
    <w:rsid w:val="009C5ADA"/>
    <w:rsid w:val="009C62BA"/>
    <w:rsid w:val="009C630D"/>
    <w:rsid w:val="009C6736"/>
    <w:rsid w:val="009C6AE9"/>
    <w:rsid w:val="009C7DD5"/>
    <w:rsid w:val="009D1990"/>
    <w:rsid w:val="009D246B"/>
    <w:rsid w:val="009E195B"/>
    <w:rsid w:val="009E1CCC"/>
    <w:rsid w:val="009E227D"/>
    <w:rsid w:val="009E492B"/>
    <w:rsid w:val="009E5019"/>
    <w:rsid w:val="009E780F"/>
    <w:rsid w:val="009F052D"/>
    <w:rsid w:val="009F0A5A"/>
    <w:rsid w:val="009F2C4A"/>
    <w:rsid w:val="009F33F7"/>
    <w:rsid w:val="009F547D"/>
    <w:rsid w:val="009F5603"/>
    <w:rsid w:val="009F6E69"/>
    <w:rsid w:val="00A02621"/>
    <w:rsid w:val="00A0359F"/>
    <w:rsid w:val="00A03E3B"/>
    <w:rsid w:val="00A03F8E"/>
    <w:rsid w:val="00A04F1B"/>
    <w:rsid w:val="00A0501B"/>
    <w:rsid w:val="00A0792F"/>
    <w:rsid w:val="00A07F02"/>
    <w:rsid w:val="00A07F19"/>
    <w:rsid w:val="00A111E6"/>
    <w:rsid w:val="00A1231F"/>
    <w:rsid w:val="00A13E5C"/>
    <w:rsid w:val="00A14848"/>
    <w:rsid w:val="00A14947"/>
    <w:rsid w:val="00A15357"/>
    <w:rsid w:val="00A156E2"/>
    <w:rsid w:val="00A162F0"/>
    <w:rsid w:val="00A16759"/>
    <w:rsid w:val="00A2051C"/>
    <w:rsid w:val="00A22880"/>
    <w:rsid w:val="00A24C60"/>
    <w:rsid w:val="00A24CF3"/>
    <w:rsid w:val="00A30517"/>
    <w:rsid w:val="00A30EC8"/>
    <w:rsid w:val="00A31CEA"/>
    <w:rsid w:val="00A31D19"/>
    <w:rsid w:val="00A32A83"/>
    <w:rsid w:val="00A32FBE"/>
    <w:rsid w:val="00A3492A"/>
    <w:rsid w:val="00A368AD"/>
    <w:rsid w:val="00A368DB"/>
    <w:rsid w:val="00A37C62"/>
    <w:rsid w:val="00A42048"/>
    <w:rsid w:val="00A421EE"/>
    <w:rsid w:val="00A423AA"/>
    <w:rsid w:val="00A43375"/>
    <w:rsid w:val="00A44325"/>
    <w:rsid w:val="00A4463D"/>
    <w:rsid w:val="00A4564D"/>
    <w:rsid w:val="00A45DA6"/>
    <w:rsid w:val="00A519F6"/>
    <w:rsid w:val="00A51B04"/>
    <w:rsid w:val="00A52391"/>
    <w:rsid w:val="00A53EC6"/>
    <w:rsid w:val="00A555A3"/>
    <w:rsid w:val="00A55C0F"/>
    <w:rsid w:val="00A57F10"/>
    <w:rsid w:val="00A607E6"/>
    <w:rsid w:val="00A60A3E"/>
    <w:rsid w:val="00A612B7"/>
    <w:rsid w:val="00A62212"/>
    <w:rsid w:val="00A63198"/>
    <w:rsid w:val="00A64D02"/>
    <w:rsid w:val="00A655DA"/>
    <w:rsid w:val="00A65C8B"/>
    <w:rsid w:val="00A65EDD"/>
    <w:rsid w:val="00A6629C"/>
    <w:rsid w:val="00A66E99"/>
    <w:rsid w:val="00A67E7A"/>
    <w:rsid w:val="00A72DFD"/>
    <w:rsid w:val="00A73411"/>
    <w:rsid w:val="00A734E5"/>
    <w:rsid w:val="00A7382C"/>
    <w:rsid w:val="00A73B0B"/>
    <w:rsid w:val="00A740C7"/>
    <w:rsid w:val="00A74483"/>
    <w:rsid w:val="00A7486F"/>
    <w:rsid w:val="00A749BA"/>
    <w:rsid w:val="00A74A68"/>
    <w:rsid w:val="00A75846"/>
    <w:rsid w:val="00A7646D"/>
    <w:rsid w:val="00A77E2D"/>
    <w:rsid w:val="00A80042"/>
    <w:rsid w:val="00A80F0E"/>
    <w:rsid w:val="00A818FA"/>
    <w:rsid w:val="00A836B2"/>
    <w:rsid w:val="00A843FE"/>
    <w:rsid w:val="00A84E00"/>
    <w:rsid w:val="00A86318"/>
    <w:rsid w:val="00A870A2"/>
    <w:rsid w:val="00A8713F"/>
    <w:rsid w:val="00A87389"/>
    <w:rsid w:val="00A90BA1"/>
    <w:rsid w:val="00A91538"/>
    <w:rsid w:val="00A9249C"/>
    <w:rsid w:val="00A9251C"/>
    <w:rsid w:val="00A92DE6"/>
    <w:rsid w:val="00A932EF"/>
    <w:rsid w:val="00A9378D"/>
    <w:rsid w:val="00A9429F"/>
    <w:rsid w:val="00A95A3E"/>
    <w:rsid w:val="00A968E2"/>
    <w:rsid w:val="00A97A9A"/>
    <w:rsid w:val="00AA0671"/>
    <w:rsid w:val="00AA0AE8"/>
    <w:rsid w:val="00AA0D46"/>
    <w:rsid w:val="00AA2531"/>
    <w:rsid w:val="00AA2635"/>
    <w:rsid w:val="00AA623D"/>
    <w:rsid w:val="00AA664B"/>
    <w:rsid w:val="00AA7163"/>
    <w:rsid w:val="00AB060F"/>
    <w:rsid w:val="00AB137B"/>
    <w:rsid w:val="00AB1484"/>
    <w:rsid w:val="00AB1786"/>
    <w:rsid w:val="00AB1E09"/>
    <w:rsid w:val="00AB2467"/>
    <w:rsid w:val="00AB5124"/>
    <w:rsid w:val="00AB5330"/>
    <w:rsid w:val="00AB5C00"/>
    <w:rsid w:val="00AB71B9"/>
    <w:rsid w:val="00AB7747"/>
    <w:rsid w:val="00AB7777"/>
    <w:rsid w:val="00AC074A"/>
    <w:rsid w:val="00AC0F68"/>
    <w:rsid w:val="00AC128C"/>
    <w:rsid w:val="00AC14CE"/>
    <w:rsid w:val="00AC2A56"/>
    <w:rsid w:val="00AC2AB1"/>
    <w:rsid w:val="00AC2C1D"/>
    <w:rsid w:val="00AC3A14"/>
    <w:rsid w:val="00AC466C"/>
    <w:rsid w:val="00AD055E"/>
    <w:rsid w:val="00AD06E1"/>
    <w:rsid w:val="00AD0BCC"/>
    <w:rsid w:val="00AD147D"/>
    <w:rsid w:val="00AD47A7"/>
    <w:rsid w:val="00AD5416"/>
    <w:rsid w:val="00AE0296"/>
    <w:rsid w:val="00AE1787"/>
    <w:rsid w:val="00AE2BA5"/>
    <w:rsid w:val="00AE32B5"/>
    <w:rsid w:val="00AE3E2B"/>
    <w:rsid w:val="00AE4094"/>
    <w:rsid w:val="00AE5C4B"/>
    <w:rsid w:val="00AF0CBF"/>
    <w:rsid w:val="00AF0EFD"/>
    <w:rsid w:val="00AF257F"/>
    <w:rsid w:val="00AF27A1"/>
    <w:rsid w:val="00AF33CF"/>
    <w:rsid w:val="00AF3F2F"/>
    <w:rsid w:val="00AF4C39"/>
    <w:rsid w:val="00AF4CC2"/>
    <w:rsid w:val="00AF4D50"/>
    <w:rsid w:val="00AF4DB0"/>
    <w:rsid w:val="00AF569A"/>
    <w:rsid w:val="00AF5FAD"/>
    <w:rsid w:val="00AF6179"/>
    <w:rsid w:val="00AF7E42"/>
    <w:rsid w:val="00B00DA5"/>
    <w:rsid w:val="00B00DCF"/>
    <w:rsid w:val="00B013B9"/>
    <w:rsid w:val="00B03918"/>
    <w:rsid w:val="00B06CCE"/>
    <w:rsid w:val="00B11038"/>
    <w:rsid w:val="00B115D3"/>
    <w:rsid w:val="00B117BD"/>
    <w:rsid w:val="00B11CC4"/>
    <w:rsid w:val="00B123A7"/>
    <w:rsid w:val="00B1295A"/>
    <w:rsid w:val="00B12B1A"/>
    <w:rsid w:val="00B13992"/>
    <w:rsid w:val="00B14BAA"/>
    <w:rsid w:val="00B16E46"/>
    <w:rsid w:val="00B171A6"/>
    <w:rsid w:val="00B20A45"/>
    <w:rsid w:val="00B20BDD"/>
    <w:rsid w:val="00B221AE"/>
    <w:rsid w:val="00B22C5C"/>
    <w:rsid w:val="00B23D0A"/>
    <w:rsid w:val="00B24F30"/>
    <w:rsid w:val="00B266A9"/>
    <w:rsid w:val="00B26B9E"/>
    <w:rsid w:val="00B272A2"/>
    <w:rsid w:val="00B31ABF"/>
    <w:rsid w:val="00B33022"/>
    <w:rsid w:val="00B330AC"/>
    <w:rsid w:val="00B33BE3"/>
    <w:rsid w:val="00B33F86"/>
    <w:rsid w:val="00B341D0"/>
    <w:rsid w:val="00B353EC"/>
    <w:rsid w:val="00B35EB2"/>
    <w:rsid w:val="00B36168"/>
    <w:rsid w:val="00B367B3"/>
    <w:rsid w:val="00B40FDD"/>
    <w:rsid w:val="00B4340E"/>
    <w:rsid w:val="00B43598"/>
    <w:rsid w:val="00B445F1"/>
    <w:rsid w:val="00B45249"/>
    <w:rsid w:val="00B45861"/>
    <w:rsid w:val="00B45CF8"/>
    <w:rsid w:val="00B4684C"/>
    <w:rsid w:val="00B46D06"/>
    <w:rsid w:val="00B475CA"/>
    <w:rsid w:val="00B50818"/>
    <w:rsid w:val="00B50DA9"/>
    <w:rsid w:val="00B53B5D"/>
    <w:rsid w:val="00B54D34"/>
    <w:rsid w:val="00B55242"/>
    <w:rsid w:val="00B561C4"/>
    <w:rsid w:val="00B6037C"/>
    <w:rsid w:val="00B60498"/>
    <w:rsid w:val="00B6055E"/>
    <w:rsid w:val="00B60B22"/>
    <w:rsid w:val="00B612BD"/>
    <w:rsid w:val="00B623F0"/>
    <w:rsid w:val="00B6317D"/>
    <w:rsid w:val="00B63699"/>
    <w:rsid w:val="00B63F3A"/>
    <w:rsid w:val="00B64EEB"/>
    <w:rsid w:val="00B6504C"/>
    <w:rsid w:val="00B6550D"/>
    <w:rsid w:val="00B66CDF"/>
    <w:rsid w:val="00B67D01"/>
    <w:rsid w:val="00B734F3"/>
    <w:rsid w:val="00B73552"/>
    <w:rsid w:val="00B75955"/>
    <w:rsid w:val="00B76490"/>
    <w:rsid w:val="00B76E9C"/>
    <w:rsid w:val="00B7723F"/>
    <w:rsid w:val="00B80534"/>
    <w:rsid w:val="00B80743"/>
    <w:rsid w:val="00B81B22"/>
    <w:rsid w:val="00B81C6C"/>
    <w:rsid w:val="00B826CD"/>
    <w:rsid w:val="00B8433C"/>
    <w:rsid w:val="00B843BB"/>
    <w:rsid w:val="00B84A7A"/>
    <w:rsid w:val="00B85584"/>
    <w:rsid w:val="00B8626F"/>
    <w:rsid w:val="00B87491"/>
    <w:rsid w:val="00B91F6D"/>
    <w:rsid w:val="00B93E04"/>
    <w:rsid w:val="00B969C9"/>
    <w:rsid w:val="00B97CA7"/>
    <w:rsid w:val="00B97FB0"/>
    <w:rsid w:val="00BA117A"/>
    <w:rsid w:val="00BA29E9"/>
    <w:rsid w:val="00BA4DB9"/>
    <w:rsid w:val="00BA5798"/>
    <w:rsid w:val="00BA599C"/>
    <w:rsid w:val="00BA7142"/>
    <w:rsid w:val="00BB1EC2"/>
    <w:rsid w:val="00BB22C4"/>
    <w:rsid w:val="00BB237C"/>
    <w:rsid w:val="00BB272C"/>
    <w:rsid w:val="00BB3A25"/>
    <w:rsid w:val="00BB41A3"/>
    <w:rsid w:val="00BB4628"/>
    <w:rsid w:val="00BB5123"/>
    <w:rsid w:val="00BB5E4F"/>
    <w:rsid w:val="00BB61CF"/>
    <w:rsid w:val="00BB62A0"/>
    <w:rsid w:val="00BB63A5"/>
    <w:rsid w:val="00BB63DF"/>
    <w:rsid w:val="00BB7647"/>
    <w:rsid w:val="00BC01D0"/>
    <w:rsid w:val="00BC1871"/>
    <w:rsid w:val="00BC2B21"/>
    <w:rsid w:val="00BC32DC"/>
    <w:rsid w:val="00BC35B6"/>
    <w:rsid w:val="00BC3A08"/>
    <w:rsid w:val="00BC4D2F"/>
    <w:rsid w:val="00BC7CC8"/>
    <w:rsid w:val="00BD082E"/>
    <w:rsid w:val="00BD16EF"/>
    <w:rsid w:val="00BD1B51"/>
    <w:rsid w:val="00BD3730"/>
    <w:rsid w:val="00BD3985"/>
    <w:rsid w:val="00BD4596"/>
    <w:rsid w:val="00BD7133"/>
    <w:rsid w:val="00BE003D"/>
    <w:rsid w:val="00BE0859"/>
    <w:rsid w:val="00BE1405"/>
    <w:rsid w:val="00BE1743"/>
    <w:rsid w:val="00BE18EF"/>
    <w:rsid w:val="00BE2A4D"/>
    <w:rsid w:val="00BE2A85"/>
    <w:rsid w:val="00BE312D"/>
    <w:rsid w:val="00BE3262"/>
    <w:rsid w:val="00BE5414"/>
    <w:rsid w:val="00BE6421"/>
    <w:rsid w:val="00BE7250"/>
    <w:rsid w:val="00BF0042"/>
    <w:rsid w:val="00BF12C6"/>
    <w:rsid w:val="00BF1C20"/>
    <w:rsid w:val="00BF1D99"/>
    <w:rsid w:val="00BF282B"/>
    <w:rsid w:val="00BF528E"/>
    <w:rsid w:val="00BF53E1"/>
    <w:rsid w:val="00BF5B71"/>
    <w:rsid w:val="00BF6DAD"/>
    <w:rsid w:val="00BF7035"/>
    <w:rsid w:val="00C009DC"/>
    <w:rsid w:val="00C00DD4"/>
    <w:rsid w:val="00C03783"/>
    <w:rsid w:val="00C03982"/>
    <w:rsid w:val="00C039B6"/>
    <w:rsid w:val="00C0743D"/>
    <w:rsid w:val="00C07448"/>
    <w:rsid w:val="00C07982"/>
    <w:rsid w:val="00C10203"/>
    <w:rsid w:val="00C10446"/>
    <w:rsid w:val="00C10578"/>
    <w:rsid w:val="00C128C2"/>
    <w:rsid w:val="00C135BC"/>
    <w:rsid w:val="00C14226"/>
    <w:rsid w:val="00C146D8"/>
    <w:rsid w:val="00C14C2B"/>
    <w:rsid w:val="00C1539D"/>
    <w:rsid w:val="00C15468"/>
    <w:rsid w:val="00C15C95"/>
    <w:rsid w:val="00C164BF"/>
    <w:rsid w:val="00C173F5"/>
    <w:rsid w:val="00C2003F"/>
    <w:rsid w:val="00C22426"/>
    <w:rsid w:val="00C2549E"/>
    <w:rsid w:val="00C2596A"/>
    <w:rsid w:val="00C2725E"/>
    <w:rsid w:val="00C27537"/>
    <w:rsid w:val="00C301B8"/>
    <w:rsid w:val="00C3206B"/>
    <w:rsid w:val="00C328FE"/>
    <w:rsid w:val="00C33507"/>
    <w:rsid w:val="00C33A8B"/>
    <w:rsid w:val="00C34D02"/>
    <w:rsid w:val="00C364BA"/>
    <w:rsid w:val="00C40789"/>
    <w:rsid w:val="00C4108D"/>
    <w:rsid w:val="00C412C9"/>
    <w:rsid w:val="00C41732"/>
    <w:rsid w:val="00C429C8"/>
    <w:rsid w:val="00C43966"/>
    <w:rsid w:val="00C43E01"/>
    <w:rsid w:val="00C4409D"/>
    <w:rsid w:val="00C44DA1"/>
    <w:rsid w:val="00C44E72"/>
    <w:rsid w:val="00C45A06"/>
    <w:rsid w:val="00C45FF4"/>
    <w:rsid w:val="00C47E5B"/>
    <w:rsid w:val="00C5077F"/>
    <w:rsid w:val="00C51720"/>
    <w:rsid w:val="00C5217B"/>
    <w:rsid w:val="00C52E3B"/>
    <w:rsid w:val="00C540B3"/>
    <w:rsid w:val="00C56327"/>
    <w:rsid w:val="00C565A0"/>
    <w:rsid w:val="00C56B84"/>
    <w:rsid w:val="00C60A03"/>
    <w:rsid w:val="00C60D5B"/>
    <w:rsid w:val="00C61E4B"/>
    <w:rsid w:val="00C6457F"/>
    <w:rsid w:val="00C64BFF"/>
    <w:rsid w:val="00C64EEE"/>
    <w:rsid w:val="00C65FCD"/>
    <w:rsid w:val="00C67FEA"/>
    <w:rsid w:val="00C7041B"/>
    <w:rsid w:val="00C704E9"/>
    <w:rsid w:val="00C71221"/>
    <w:rsid w:val="00C725EF"/>
    <w:rsid w:val="00C728D2"/>
    <w:rsid w:val="00C72C79"/>
    <w:rsid w:val="00C73419"/>
    <w:rsid w:val="00C763C9"/>
    <w:rsid w:val="00C7643E"/>
    <w:rsid w:val="00C77AE4"/>
    <w:rsid w:val="00C80057"/>
    <w:rsid w:val="00C80D3A"/>
    <w:rsid w:val="00C80DE6"/>
    <w:rsid w:val="00C814D8"/>
    <w:rsid w:val="00C82232"/>
    <w:rsid w:val="00C82913"/>
    <w:rsid w:val="00C82F2D"/>
    <w:rsid w:val="00C83229"/>
    <w:rsid w:val="00C83D3E"/>
    <w:rsid w:val="00C8693F"/>
    <w:rsid w:val="00C86EBD"/>
    <w:rsid w:val="00C86FA7"/>
    <w:rsid w:val="00C87D2A"/>
    <w:rsid w:val="00C90AAE"/>
    <w:rsid w:val="00C91540"/>
    <w:rsid w:val="00C96C32"/>
    <w:rsid w:val="00C972B1"/>
    <w:rsid w:val="00C97E5C"/>
    <w:rsid w:val="00CA191E"/>
    <w:rsid w:val="00CA2CCE"/>
    <w:rsid w:val="00CA3B90"/>
    <w:rsid w:val="00CA3FC0"/>
    <w:rsid w:val="00CA43FD"/>
    <w:rsid w:val="00CA45EF"/>
    <w:rsid w:val="00CA49B9"/>
    <w:rsid w:val="00CA610D"/>
    <w:rsid w:val="00CA6BCB"/>
    <w:rsid w:val="00CA7CFF"/>
    <w:rsid w:val="00CA7EF8"/>
    <w:rsid w:val="00CB141A"/>
    <w:rsid w:val="00CB38A4"/>
    <w:rsid w:val="00CB4AE4"/>
    <w:rsid w:val="00CB62D3"/>
    <w:rsid w:val="00CC0E22"/>
    <w:rsid w:val="00CC4270"/>
    <w:rsid w:val="00CC489B"/>
    <w:rsid w:val="00CC58E0"/>
    <w:rsid w:val="00CC60BE"/>
    <w:rsid w:val="00CC69FF"/>
    <w:rsid w:val="00CC7648"/>
    <w:rsid w:val="00CC7D42"/>
    <w:rsid w:val="00CD1AD8"/>
    <w:rsid w:val="00CD2605"/>
    <w:rsid w:val="00CD2763"/>
    <w:rsid w:val="00CD2767"/>
    <w:rsid w:val="00CD2BCD"/>
    <w:rsid w:val="00CD38B1"/>
    <w:rsid w:val="00CD3A4C"/>
    <w:rsid w:val="00CD3C7E"/>
    <w:rsid w:val="00CD4170"/>
    <w:rsid w:val="00CD41AD"/>
    <w:rsid w:val="00CD5C7A"/>
    <w:rsid w:val="00CD77B7"/>
    <w:rsid w:val="00CE08EC"/>
    <w:rsid w:val="00CE0CB5"/>
    <w:rsid w:val="00CE0DFD"/>
    <w:rsid w:val="00CE10E9"/>
    <w:rsid w:val="00CE14EF"/>
    <w:rsid w:val="00CE194C"/>
    <w:rsid w:val="00CE1F76"/>
    <w:rsid w:val="00CE2910"/>
    <w:rsid w:val="00CE2CFC"/>
    <w:rsid w:val="00CE3482"/>
    <w:rsid w:val="00CE3CC3"/>
    <w:rsid w:val="00CE5393"/>
    <w:rsid w:val="00CE5FB4"/>
    <w:rsid w:val="00CE6B53"/>
    <w:rsid w:val="00CE774D"/>
    <w:rsid w:val="00CE7F12"/>
    <w:rsid w:val="00CF05F8"/>
    <w:rsid w:val="00CF079F"/>
    <w:rsid w:val="00CF1093"/>
    <w:rsid w:val="00CF16C1"/>
    <w:rsid w:val="00CF327A"/>
    <w:rsid w:val="00CF36BE"/>
    <w:rsid w:val="00CF37FD"/>
    <w:rsid w:val="00CF3B17"/>
    <w:rsid w:val="00CF42E1"/>
    <w:rsid w:val="00CF46E8"/>
    <w:rsid w:val="00CF4D60"/>
    <w:rsid w:val="00CF6000"/>
    <w:rsid w:val="00CF7A86"/>
    <w:rsid w:val="00D003F3"/>
    <w:rsid w:val="00D016C3"/>
    <w:rsid w:val="00D01969"/>
    <w:rsid w:val="00D0364F"/>
    <w:rsid w:val="00D0365E"/>
    <w:rsid w:val="00D038E0"/>
    <w:rsid w:val="00D04ED5"/>
    <w:rsid w:val="00D06834"/>
    <w:rsid w:val="00D07800"/>
    <w:rsid w:val="00D107F2"/>
    <w:rsid w:val="00D1457D"/>
    <w:rsid w:val="00D149AD"/>
    <w:rsid w:val="00D178B0"/>
    <w:rsid w:val="00D23293"/>
    <w:rsid w:val="00D23ABE"/>
    <w:rsid w:val="00D249F2"/>
    <w:rsid w:val="00D25381"/>
    <w:rsid w:val="00D27C1C"/>
    <w:rsid w:val="00D308ED"/>
    <w:rsid w:val="00D32A25"/>
    <w:rsid w:val="00D32D58"/>
    <w:rsid w:val="00D3374E"/>
    <w:rsid w:val="00D33FCC"/>
    <w:rsid w:val="00D34640"/>
    <w:rsid w:val="00D34F0F"/>
    <w:rsid w:val="00D354E2"/>
    <w:rsid w:val="00D358F9"/>
    <w:rsid w:val="00D36C9E"/>
    <w:rsid w:val="00D36D86"/>
    <w:rsid w:val="00D373F3"/>
    <w:rsid w:val="00D4276A"/>
    <w:rsid w:val="00D428AA"/>
    <w:rsid w:val="00D473F2"/>
    <w:rsid w:val="00D47C85"/>
    <w:rsid w:val="00D50A34"/>
    <w:rsid w:val="00D51252"/>
    <w:rsid w:val="00D51EC0"/>
    <w:rsid w:val="00D5392C"/>
    <w:rsid w:val="00D53EFA"/>
    <w:rsid w:val="00D54465"/>
    <w:rsid w:val="00D569E1"/>
    <w:rsid w:val="00D5714C"/>
    <w:rsid w:val="00D61FF1"/>
    <w:rsid w:val="00D62AF0"/>
    <w:rsid w:val="00D643DD"/>
    <w:rsid w:val="00D650F4"/>
    <w:rsid w:val="00D6688D"/>
    <w:rsid w:val="00D6755F"/>
    <w:rsid w:val="00D70615"/>
    <w:rsid w:val="00D70647"/>
    <w:rsid w:val="00D71076"/>
    <w:rsid w:val="00D72D0B"/>
    <w:rsid w:val="00D75A4B"/>
    <w:rsid w:val="00D75B6E"/>
    <w:rsid w:val="00D75D98"/>
    <w:rsid w:val="00D76B69"/>
    <w:rsid w:val="00D80488"/>
    <w:rsid w:val="00D81D53"/>
    <w:rsid w:val="00D81EE9"/>
    <w:rsid w:val="00D82255"/>
    <w:rsid w:val="00D8260D"/>
    <w:rsid w:val="00D82D9E"/>
    <w:rsid w:val="00D83624"/>
    <w:rsid w:val="00D83A95"/>
    <w:rsid w:val="00D83AF0"/>
    <w:rsid w:val="00D83D78"/>
    <w:rsid w:val="00D84941"/>
    <w:rsid w:val="00D90547"/>
    <w:rsid w:val="00D91598"/>
    <w:rsid w:val="00D93087"/>
    <w:rsid w:val="00D93932"/>
    <w:rsid w:val="00D93F94"/>
    <w:rsid w:val="00D9418E"/>
    <w:rsid w:val="00D94A7C"/>
    <w:rsid w:val="00D95896"/>
    <w:rsid w:val="00D960FC"/>
    <w:rsid w:val="00D9623C"/>
    <w:rsid w:val="00D96C1B"/>
    <w:rsid w:val="00DA1810"/>
    <w:rsid w:val="00DA20BC"/>
    <w:rsid w:val="00DA2ABF"/>
    <w:rsid w:val="00DA2B1E"/>
    <w:rsid w:val="00DA4A8F"/>
    <w:rsid w:val="00DA4AF4"/>
    <w:rsid w:val="00DA60D4"/>
    <w:rsid w:val="00DB1271"/>
    <w:rsid w:val="00DB176D"/>
    <w:rsid w:val="00DB2983"/>
    <w:rsid w:val="00DB5BF9"/>
    <w:rsid w:val="00DC1257"/>
    <w:rsid w:val="00DC1CC5"/>
    <w:rsid w:val="00DC1FB4"/>
    <w:rsid w:val="00DC3346"/>
    <w:rsid w:val="00DC3DC0"/>
    <w:rsid w:val="00DC5B2B"/>
    <w:rsid w:val="00DC65E7"/>
    <w:rsid w:val="00DC67CB"/>
    <w:rsid w:val="00DD318D"/>
    <w:rsid w:val="00DD6BE2"/>
    <w:rsid w:val="00DE3A70"/>
    <w:rsid w:val="00DE721F"/>
    <w:rsid w:val="00DE75C2"/>
    <w:rsid w:val="00DE76CF"/>
    <w:rsid w:val="00DF0023"/>
    <w:rsid w:val="00DF0E68"/>
    <w:rsid w:val="00DF113B"/>
    <w:rsid w:val="00DF2E12"/>
    <w:rsid w:val="00DF3D8E"/>
    <w:rsid w:val="00DF514A"/>
    <w:rsid w:val="00DF5AEA"/>
    <w:rsid w:val="00DF619A"/>
    <w:rsid w:val="00DF6690"/>
    <w:rsid w:val="00DF6804"/>
    <w:rsid w:val="00DF7390"/>
    <w:rsid w:val="00DF7BF1"/>
    <w:rsid w:val="00DF7E73"/>
    <w:rsid w:val="00E024F4"/>
    <w:rsid w:val="00E0358D"/>
    <w:rsid w:val="00E04323"/>
    <w:rsid w:val="00E04611"/>
    <w:rsid w:val="00E06403"/>
    <w:rsid w:val="00E06432"/>
    <w:rsid w:val="00E070A2"/>
    <w:rsid w:val="00E103F0"/>
    <w:rsid w:val="00E1083A"/>
    <w:rsid w:val="00E10A2F"/>
    <w:rsid w:val="00E10C44"/>
    <w:rsid w:val="00E119A9"/>
    <w:rsid w:val="00E14320"/>
    <w:rsid w:val="00E151B7"/>
    <w:rsid w:val="00E15676"/>
    <w:rsid w:val="00E1675F"/>
    <w:rsid w:val="00E17AB6"/>
    <w:rsid w:val="00E204DD"/>
    <w:rsid w:val="00E216C3"/>
    <w:rsid w:val="00E2227B"/>
    <w:rsid w:val="00E228D6"/>
    <w:rsid w:val="00E23F33"/>
    <w:rsid w:val="00E25556"/>
    <w:rsid w:val="00E26444"/>
    <w:rsid w:val="00E2656A"/>
    <w:rsid w:val="00E26616"/>
    <w:rsid w:val="00E27FFC"/>
    <w:rsid w:val="00E30FB1"/>
    <w:rsid w:val="00E319CF"/>
    <w:rsid w:val="00E32D47"/>
    <w:rsid w:val="00E3315E"/>
    <w:rsid w:val="00E3349C"/>
    <w:rsid w:val="00E33B6E"/>
    <w:rsid w:val="00E37B96"/>
    <w:rsid w:val="00E412D0"/>
    <w:rsid w:val="00E418E9"/>
    <w:rsid w:val="00E447CF"/>
    <w:rsid w:val="00E44FE2"/>
    <w:rsid w:val="00E45DB7"/>
    <w:rsid w:val="00E5061D"/>
    <w:rsid w:val="00E5214B"/>
    <w:rsid w:val="00E526CF"/>
    <w:rsid w:val="00E54928"/>
    <w:rsid w:val="00E54978"/>
    <w:rsid w:val="00E557AE"/>
    <w:rsid w:val="00E56322"/>
    <w:rsid w:val="00E575C4"/>
    <w:rsid w:val="00E57C6D"/>
    <w:rsid w:val="00E602DB"/>
    <w:rsid w:val="00E60982"/>
    <w:rsid w:val="00E60AB0"/>
    <w:rsid w:val="00E61DC4"/>
    <w:rsid w:val="00E62C62"/>
    <w:rsid w:val="00E639A9"/>
    <w:rsid w:val="00E63F60"/>
    <w:rsid w:val="00E654A7"/>
    <w:rsid w:val="00E654C1"/>
    <w:rsid w:val="00E65D97"/>
    <w:rsid w:val="00E71421"/>
    <w:rsid w:val="00E71756"/>
    <w:rsid w:val="00E71FF8"/>
    <w:rsid w:val="00E72881"/>
    <w:rsid w:val="00E72A5A"/>
    <w:rsid w:val="00E73354"/>
    <w:rsid w:val="00E73BED"/>
    <w:rsid w:val="00E73C23"/>
    <w:rsid w:val="00E73F47"/>
    <w:rsid w:val="00E763F9"/>
    <w:rsid w:val="00E806C4"/>
    <w:rsid w:val="00E80A44"/>
    <w:rsid w:val="00E8253A"/>
    <w:rsid w:val="00E825F5"/>
    <w:rsid w:val="00E82A1C"/>
    <w:rsid w:val="00E8394D"/>
    <w:rsid w:val="00E85664"/>
    <w:rsid w:val="00E909E5"/>
    <w:rsid w:val="00E9242D"/>
    <w:rsid w:val="00E94128"/>
    <w:rsid w:val="00E958D9"/>
    <w:rsid w:val="00E96E36"/>
    <w:rsid w:val="00EA1561"/>
    <w:rsid w:val="00EA1A54"/>
    <w:rsid w:val="00EA3393"/>
    <w:rsid w:val="00EA6575"/>
    <w:rsid w:val="00EA6F48"/>
    <w:rsid w:val="00EA761B"/>
    <w:rsid w:val="00EB0A98"/>
    <w:rsid w:val="00EB0FC0"/>
    <w:rsid w:val="00EB1F36"/>
    <w:rsid w:val="00EB5255"/>
    <w:rsid w:val="00EB5380"/>
    <w:rsid w:val="00EB5793"/>
    <w:rsid w:val="00EB5C47"/>
    <w:rsid w:val="00EB64C1"/>
    <w:rsid w:val="00EB7BD3"/>
    <w:rsid w:val="00EC2799"/>
    <w:rsid w:val="00EC4BC8"/>
    <w:rsid w:val="00EC56B2"/>
    <w:rsid w:val="00EC75B1"/>
    <w:rsid w:val="00EC76DF"/>
    <w:rsid w:val="00ED029C"/>
    <w:rsid w:val="00ED02E3"/>
    <w:rsid w:val="00ED047A"/>
    <w:rsid w:val="00ED0639"/>
    <w:rsid w:val="00ED17CF"/>
    <w:rsid w:val="00ED18C9"/>
    <w:rsid w:val="00ED2906"/>
    <w:rsid w:val="00ED798F"/>
    <w:rsid w:val="00EE2B98"/>
    <w:rsid w:val="00EE412E"/>
    <w:rsid w:val="00EE493D"/>
    <w:rsid w:val="00EE4E17"/>
    <w:rsid w:val="00EE5DD5"/>
    <w:rsid w:val="00EE66FC"/>
    <w:rsid w:val="00EF16A4"/>
    <w:rsid w:val="00EF253B"/>
    <w:rsid w:val="00EF2D42"/>
    <w:rsid w:val="00EF39B1"/>
    <w:rsid w:val="00EF4426"/>
    <w:rsid w:val="00EF4755"/>
    <w:rsid w:val="00EF4B3D"/>
    <w:rsid w:val="00EF61DB"/>
    <w:rsid w:val="00EF7135"/>
    <w:rsid w:val="00EF78C7"/>
    <w:rsid w:val="00F00650"/>
    <w:rsid w:val="00F023FF"/>
    <w:rsid w:val="00F027DB"/>
    <w:rsid w:val="00F054A1"/>
    <w:rsid w:val="00F05B96"/>
    <w:rsid w:val="00F05D8E"/>
    <w:rsid w:val="00F06394"/>
    <w:rsid w:val="00F06EC9"/>
    <w:rsid w:val="00F075C1"/>
    <w:rsid w:val="00F100BE"/>
    <w:rsid w:val="00F105E4"/>
    <w:rsid w:val="00F1090F"/>
    <w:rsid w:val="00F11FD0"/>
    <w:rsid w:val="00F12921"/>
    <w:rsid w:val="00F12E17"/>
    <w:rsid w:val="00F13089"/>
    <w:rsid w:val="00F1316D"/>
    <w:rsid w:val="00F1481B"/>
    <w:rsid w:val="00F1495A"/>
    <w:rsid w:val="00F14A7A"/>
    <w:rsid w:val="00F150EA"/>
    <w:rsid w:val="00F16EC2"/>
    <w:rsid w:val="00F1706E"/>
    <w:rsid w:val="00F20C92"/>
    <w:rsid w:val="00F22023"/>
    <w:rsid w:val="00F223C9"/>
    <w:rsid w:val="00F22779"/>
    <w:rsid w:val="00F22985"/>
    <w:rsid w:val="00F23562"/>
    <w:rsid w:val="00F246AB"/>
    <w:rsid w:val="00F25827"/>
    <w:rsid w:val="00F25A6B"/>
    <w:rsid w:val="00F27D59"/>
    <w:rsid w:val="00F321B7"/>
    <w:rsid w:val="00F3250D"/>
    <w:rsid w:val="00F3337D"/>
    <w:rsid w:val="00F33527"/>
    <w:rsid w:val="00F3383E"/>
    <w:rsid w:val="00F34525"/>
    <w:rsid w:val="00F35FB4"/>
    <w:rsid w:val="00F360A3"/>
    <w:rsid w:val="00F372C1"/>
    <w:rsid w:val="00F4464D"/>
    <w:rsid w:val="00F4630D"/>
    <w:rsid w:val="00F463F9"/>
    <w:rsid w:val="00F465A7"/>
    <w:rsid w:val="00F466D6"/>
    <w:rsid w:val="00F471ED"/>
    <w:rsid w:val="00F476AD"/>
    <w:rsid w:val="00F50B7C"/>
    <w:rsid w:val="00F52A9B"/>
    <w:rsid w:val="00F54EEA"/>
    <w:rsid w:val="00F550E6"/>
    <w:rsid w:val="00F567CA"/>
    <w:rsid w:val="00F56C72"/>
    <w:rsid w:val="00F61F72"/>
    <w:rsid w:val="00F61FED"/>
    <w:rsid w:val="00F62921"/>
    <w:rsid w:val="00F62B4E"/>
    <w:rsid w:val="00F64077"/>
    <w:rsid w:val="00F641DD"/>
    <w:rsid w:val="00F64E3E"/>
    <w:rsid w:val="00F65838"/>
    <w:rsid w:val="00F66CBB"/>
    <w:rsid w:val="00F67244"/>
    <w:rsid w:val="00F705B3"/>
    <w:rsid w:val="00F71B2C"/>
    <w:rsid w:val="00F739B5"/>
    <w:rsid w:val="00F73FB1"/>
    <w:rsid w:val="00F74345"/>
    <w:rsid w:val="00F74BC3"/>
    <w:rsid w:val="00F76CF8"/>
    <w:rsid w:val="00F77856"/>
    <w:rsid w:val="00F779DD"/>
    <w:rsid w:val="00F80A0A"/>
    <w:rsid w:val="00F81A46"/>
    <w:rsid w:val="00F82505"/>
    <w:rsid w:val="00F82B19"/>
    <w:rsid w:val="00F830A4"/>
    <w:rsid w:val="00F83C69"/>
    <w:rsid w:val="00F849F0"/>
    <w:rsid w:val="00F85D61"/>
    <w:rsid w:val="00F86BA0"/>
    <w:rsid w:val="00F87974"/>
    <w:rsid w:val="00F87A33"/>
    <w:rsid w:val="00F87B29"/>
    <w:rsid w:val="00F900B6"/>
    <w:rsid w:val="00F90DEB"/>
    <w:rsid w:val="00F9212D"/>
    <w:rsid w:val="00F9503C"/>
    <w:rsid w:val="00F965DA"/>
    <w:rsid w:val="00F97A6D"/>
    <w:rsid w:val="00FA1B75"/>
    <w:rsid w:val="00FA1F57"/>
    <w:rsid w:val="00FA350F"/>
    <w:rsid w:val="00FA3F3E"/>
    <w:rsid w:val="00FA406A"/>
    <w:rsid w:val="00FA4ADF"/>
    <w:rsid w:val="00FA4FD5"/>
    <w:rsid w:val="00FA7DF1"/>
    <w:rsid w:val="00FB0A97"/>
    <w:rsid w:val="00FB10C0"/>
    <w:rsid w:val="00FB11AF"/>
    <w:rsid w:val="00FB503A"/>
    <w:rsid w:val="00FB516C"/>
    <w:rsid w:val="00FB5A63"/>
    <w:rsid w:val="00FC0C46"/>
    <w:rsid w:val="00FC303E"/>
    <w:rsid w:val="00FC3CB2"/>
    <w:rsid w:val="00FC4226"/>
    <w:rsid w:val="00FC6491"/>
    <w:rsid w:val="00FC6917"/>
    <w:rsid w:val="00FC6C83"/>
    <w:rsid w:val="00FC7DAA"/>
    <w:rsid w:val="00FD0236"/>
    <w:rsid w:val="00FD1059"/>
    <w:rsid w:val="00FD18F4"/>
    <w:rsid w:val="00FD2F67"/>
    <w:rsid w:val="00FD4A68"/>
    <w:rsid w:val="00FD54DB"/>
    <w:rsid w:val="00FD5A0F"/>
    <w:rsid w:val="00FD5B13"/>
    <w:rsid w:val="00FD619F"/>
    <w:rsid w:val="00FD654C"/>
    <w:rsid w:val="00FD7DFA"/>
    <w:rsid w:val="00FD7E16"/>
    <w:rsid w:val="00FE233F"/>
    <w:rsid w:val="00FE3728"/>
    <w:rsid w:val="00FE4F56"/>
    <w:rsid w:val="00FE66E2"/>
    <w:rsid w:val="00FE79CD"/>
    <w:rsid w:val="00FF0B53"/>
    <w:rsid w:val="00FF0B77"/>
    <w:rsid w:val="00FF2676"/>
    <w:rsid w:val="00FF37BE"/>
    <w:rsid w:val="00FF60D7"/>
    <w:rsid w:val="010B5592"/>
    <w:rsid w:val="01117A34"/>
    <w:rsid w:val="01290F7E"/>
    <w:rsid w:val="012A4E2C"/>
    <w:rsid w:val="01385D77"/>
    <w:rsid w:val="015D1E09"/>
    <w:rsid w:val="016C090A"/>
    <w:rsid w:val="018A73B0"/>
    <w:rsid w:val="018D1931"/>
    <w:rsid w:val="019D759C"/>
    <w:rsid w:val="01E4322D"/>
    <w:rsid w:val="01EE04AE"/>
    <w:rsid w:val="0204742C"/>
    <w:rsid w:val="02146517"/>
    <w:rsid w:val="022641C2"/>
    <w:rsid w:val="022E3E2F"/>
    <w:rsid w:val="02532D0C"/>
    <w:rsid w:val="025C30E2"/>
    <w:rsid w:val="02630935"/>
    <w:rsid w:val="02697903"/>
    <w:rsid w:val="026D3223"/>
    <w:rsid w:val="028A2D40"/>
    <w:rsid w:val="02931E56"/>
    <w:rsid w:val="0298594A"/>
    <w:rsid w:val="02A46519"/>
    <w:rsid w:val="02B60FA7"/>
    <w:rsid w:val="02F96569"/>
    <w:rsid w:val="030C7685"/>
    <w:rsid w:val="03155B55"/>
    <w:rsid w:val="031C67B3"/>
    <w:rsid w:val="03407427"/>
    <w:rsid w:val="03451FBF"/>
    <w:rsid w:val="034C1790"/>
    <w:rsid w:val="035B1DDE"/>
    <w:rsid w:val="036964FC"/>
    <w:rsid w:val="03843986"/>
    <w:rsid w:val="038E07EA"/>
    <w:rsid w:val="039960EC"/>
    <w:rsid w:val="03A8129D"/>
    <w:rsid w:val="03B20EA7"/>
    <w:rsid w:val="03B73B02"/>
    <w:rsid w:val="03BE3AD0"/>
    <w:rsid w:val="03D8291E"/>
    <w:rsid w:val="03EA7B21"/>
    <w:rsid w:val="03EC1FC7"/>
    <w:rsid w:val="04015589"/>
    <w:rsid w:val="04461F09"/>
    <w:rsid w:val="04536D05"/>
    <w:rsid w:val="04554A98"/>
    <w:rsid w:val="04B97507"/>
    <w:rsid w:val="04C82992"/>
    <w:rsid w:val="04D46F81"/>
    <w:rsid w:val="04E82021"/>
    <w:rsid w:val="050B3749"/>
    <w:rsid w:val="05431265"/>
    <w:rsid w:val="057523EE"/>
    <w:rsid w:val="05790131"/>
    <w:rsid w:val="057B0CF5"/>
    <w:rsid w:val="05865D5D"/>
    <w:rsid w:val="05D9472B"/>
    <w:rsid w:val="05EC4085"/>
    <w:rsid w:val="05F83EAE"/>
    <w:rsid w:val="060A0903"/>
    <w:rsid w:val="06127C3D"/>
    <w:rsid w:val="063E7D85"/>
    <w:rsid w:val="06532730"/>
    <w:rsid w:val="067712B3"/>
    <w:rsid w:val="067B63A1"/>
    <w:rsid w:val="0685789D"/>
    <w:rsid w:val="06A62BA9"/>
    <w:rsid w:val="06C2658B"/>
    <w:rsid w:val="06D65BE8"/>
    <w:rsid w:val="06EE1A11"/>
    <w:rsid w:val="0706063A"/>
    <w:rsid w:val="071255C4"/>
    <w:rsid w:val="07293586"/>
    <w:rsid w:val="07295285"/>
    <w:rsid w:val="0753364C"/>
    <w:rsid w:val="07571D9E"/>
    <w:rsid w:val="07636392"/>
    <w:rsid w:val="076F7ED3"/>
    <w:rsid w:val="07770C56"/>
    <w:rsid w:val="07DD49A7"/>
    <w:rsid w:val="07EA02AB"/>
    <w:rsid w:val="07F804B6"/>
    <w:rsid w:val="084120E9"/>
    <w:rsid w:val="08514A4D"/>
    <w:rsid w:val="08571D21"/>
    <w:rsid w:val="08616C16"/>
    <w:rsid w:val="086334B4"/>
    <w:rsid w:val="0865674A"/>
    <w:rsid w:val="086E1AA3"/>
    <w:rsid w:val="08780E2D"/>
    <w:rsid w:val="087B5F6E"/>
    <w:rsid w:val="08856DEC"/>
    <w:rsid w:val="08865476"/>
    <w:rsid w:val="08900CB2"/>
    <w:rsid w:val="089164A2"/>
    <w:rsid w:val="089B6044"/>
    <w:rsid w:val="08BF68A7"/>
    <w:rsid w:val="08D32B0B"/>
    <w:rsid w:val="08FD6A61"/>
    <w:rsid w:val="090E6DE2"/>
    <w:rsid w:val="092217DD"/>
    <w:rsid w:val="093078A1"/>
    <w:rsid w:val="093A7294"/>
    <w:rsid w:val="093F045B"/>
    <w:rsid w:val="09410EA9"/>
    <w:rsid w:val="094D16F1"/>
    <w:rsid w:val="09633E19"/>
    <w:rsid w:val="097314F5"/>
    <w:rsid w:val="09756E61"/>
    <w:rsid w:val="09797DD4"/>
    <w:rsid w:val="099472E7"/>
    <w:rsid w:val="09A81073"/>
    <w:rsid w:val="09EF539F"/>
    <w:rsid w:val="09FC0C0E"/>
    <w:rsid w:val="0A263993"/>
    <w:rsid w:val="0A2D3AC2"/>
    <w:rsid w:val="0A4C7BC2"/>
    <w:rsid w:val="0A617D3D"/>
    <w:rsid w:val="0AA2474B"/>
    <w:rsid w:val="0AA755DF"/>
    <w:rsid w:val="0AC0235E"/>
    <w:rsid w:val="0ACC239D"/>
    <w:rsid w:val="0AF67C54"/>
    <w:rsid w:val="0AFF46F4"/>
    <w:rsid w:val="0AFF4C34"/>
    <w:rsid w:val="0B120D44"/>
    <w:rsid w:val="0B1B7A70"/>
    <w:rsid w:val="0B311469"/>
    <w:rsid w:val="0B54466A"/>
    <w:rsid w:val="0B6269AF"/>
    <w:rsid w:val="0B68658B"/>
    <w:rsid w:val="0B8F23A3"/>
    <w:rsid w:val="0B9F2076"/>
    <w:rsid w:val="0BAC19CD"/>
    <w:rsid w:val="0BCA3494"/>
    <w:rsid w:val="0BD27BF6"/>
    <w:rsid w:val="0BDA3FD4"/>
    <w:rsid w:val="0BF4069F"/>
    <w:rsid w:val="0C036D14"/>
    <w:rsid w:val="0C381612"/>
    <w:rsid w:val="0C3B3C7D"/>
    <w:rsid w:val="0C547201"/>
    <w:rsid w:val="0C59200B"/>
    <w:rsid w:val="0C5E5EFE"/>
    <w:rsid w:val="0C6C350D"/>
    <w:rsid w:val="0CAB2EAE"/>
    <w:rsid w:val="0CF32EA4"/>
    <w:rsid w:val="0D1D3CF3"/>
    <w:rsid w:val="0D2B61B4"/>
    <w:rsid w:val="0D2F50B7"/>
    <w:rsid w:val="0D305579"/>
    <w:rsid w:val="0D4373D3"/>
    <w:rsid w:val="0D47341C"/>
    <w:rsid w:val="0D621C7D"/>
    <w:rsid w:val="0D9E11E4"/>
    <w:rsid w:val="0DBF7CD2"/>
    <w:rsid w:val="0DED16BC"/>
    <w:rsid w:val="0DF76096"/>
    <w:rsid w:val="0DFD3997"/>
    <w:rsid w:val="0E526F19"/>
    <w:rsid w:val="0E5D6EA0"/>
    <w:rsid w:val="0E5F13EE"/>
    <w:rsid w:val="0E6C5F86"/>
    <w:rsid w:val="0E73034D"/>
    <w:rsid w:val="0E80608C"/>
    <w:rsid w:val="0EB42DE4"/>
    <w:rsid w:val="0EB75395"/>
    <w:rsid w:val="0F083607"/>
    <w:rsid w:val="0F13775A"/>
    <w:rsid w:val="0F1517C2"/>
    <w:rsid w:val="0F3B1FB3"/>
    <w:rsid w:val="0F4B4695"/>
    <w:rsid w:val="0F5F45FE"/>
    <w:rsid w:val="0F9A112B"/>
    <w:rsid w:val="0F9C1A87"/>
    <w:rsid w:val="0FB54AE7"/>
    <w:rsid w:val="0FC10487"/>
    <w:rsid w:val="0FD50659"/>
    <w:rsid w:val="0FF24D67"/>
    <w:rsid w:val="0FF860F6"/>
    <w:rsid w:val="0FFF56D6"/>
    <w:rsid w:val="100A5921"/>
    <w:rsid w:val="1017513A"/>
    <w:rsid w:val="1039189F"/>
    <w:rsid w:val="104D60AB"/>
    <w:rsid w:val="10563295"/>
    <w:rsid w:val="106D2F64"/>
    <w:rsid w:val="10726ACE"/>
    <w:rsid w:val="10880C6B"/>
    <w:rsid w:val="10964C08"/>
    <w:rsid w:val="10987EED"/>
    <w:rsid w:val="10B262A5"/>
    <w:rsid w:val="10B60B86"/>
    <w:rsid w:val="10B63710"/>
    <w:rsid w:val="10BC7123"/>
    <w:rsid w:val="10C20F6D"/>
    <w:rsid w:val="10D76532"/>
    <w:rsid w:val="10E85D69"/>
    <w:rsid w:val="10F10820"/>
    <w:rsid w:val="11071A15"/>
    <w:rsid w:val="111C2F7A"/>
    <w:rsid w:val="11501512"/>
    <w:rsid w:val="115D4462"/>
    <w:rsid w:val="11665CA1"/>
    <w:rsid w:val="1169441B"/>
    <w:rsid w:val="11967974"/>
    <w:rsid w:val="11CE0C2B"/>
    <w:rsid w:val="11D0732A"/>
    <w:rsid w:val="1209283C"/>
    <w:rsid w:val="121028B6"/>
    <w:rsid w:val="12317D70"/>
    <w:rsid w:val="123959CD"/>
    <w:rsid w:val="12421618"/>
    <w:rsid w:val="12706417"/>
    <w:rsid w:val="12802AFE"/>
    <w:rsid w:val="128402E9"/>
    <w:rsid w:val="12840907"/>
    <w:rsid w:val="12975FD1"/>
    <w:rsid w:val="12AB5A1E"/>
    <w:rsid w:val="12B51DEE"/>
    <w:rsid w:val="12DF6902"/>
    <w:rsid w:val="12F459DB"/>
    <w:rsid w:val="12FF4CC4"/>
    <w:rsid w:val="13300448"/>
    <w:rsid w:val="13341517"/>
    <w:rsid w:val="13360672"/>
    <w:rsid w:val="133A4152"/>
    <w:rsid w:val="135D43F8"/>
    <w:rsid w:val="138F10FE"/>
    <w:rsid w:val="13951726"/>
    <w:rsid w:val="13AB57BF"/>
    <w:rsid w:val="13CB7DA9"/>
    <w:rsid w:val="140D629E"/>
    <w:rsid w:val="14257B5E"/>
    <w:rsid w:val="142962DD"/>
    <w:rsid w:val="142F3C34"/>
    <w:rsid w:val="14377928"/>
    <w:rsid w:val="14396509"/>
    <w:rsid w:val="14771D21"/>
    <w:rsid w:val="14CD2209"/>
    <w:rsid w:val="14D700F7"/>
    <w:rsid w:val="14DD2C3C"/>
    <w:rsid w:val="14EB174E"/>
    <w:rsid w:val="14F90946"/>
    <w:rsid w:val="14FC201D"/>
    <w:rsid w:val="15206278"/>
    <w:rsid w:val="1528122B"/>
    <w:rsid w:val="153C6003"/>
    <w:rsid w:val="154F0566"/>
    <w:rsid w:val="15673B02"/>
    <w:rsid w:val="157D50D3"/>
    <w:rsid w:val="15A120AC"/>
    <w:rsid w:val="15AA0868"/>
    <w:rsid w:val="15AE5ACD"/>
    <w:rsid w:val="15E63943"/>
    <w:rsid w:val="15EC6D4C"/>
    <w:rsid w:val="16087E1D"/>
    <w:rsid w:val="160C46A9"/>
    <w:rsid w:val="160F2880"/>
    <w:rsid w:val="162C08A7"/>
    <w:rsid w:val="162E0FED"/>
    <w:rsid w:val="163C0AC6"/>
    <w:rsid w:val="1677009D"/>
    <w:rsid w:val="16796819"/>
    <w:rsid w:val="16821794"/>
    <w:rsid w:val="168D3A3C"/>
    <w:rsid w:val="16F4453F"/>
    <w:rsid w:val="16FE0813"/>
    <w:rsid w:val="17384862"/>
    <w:rsid w:val="173A37E4"/>
    <w:rsid w:val="174F1860"/>
    <w:rsid w:val="17701D14"/>
    <w:rsid w:val="17735226"/>
    <w:rsid w:val="1784744F"/>
    <w:rsid w:val="1788427F"/>
    <w:rsid w:val="17CE6D57"/>
    <w:rsid w:val="17E4768B"/>
    <w:rsid w:val="17E624B1"/>
    <w:rsid w:val="1808230B"/>
    <w:rsid w:val="183A07EC"/>
    <w:rsid w:val="185B4F76"/>
    <w:rsid w:val="189F624C"/>
    <w:rsid w:val="18FE38BD"/>
    <w:rsid w:val="190E6D59"/>
    <w:rsid w:val="190F3767"/>
    <w:rsid w:val="19377EED"/>
    <w:rsid w:val="19427C2C"/>
    <w:rsid w:val="19486A34"/>
    <w:rsid w:val="19566367"/>
    <w:rsid w:val="1957088A"/>
    <w:rsid w:val="195775C3"/>
    <w:rsid w:val="19B33439"/>
    <w:rsid w:val="1A023DF9"/>
    <w:rsid w:val="1A1C66C0"/>
    <w:rsid w:val="1A42393B"/>
    <w:rsid w:val="1A7C5F3D"/>
    <w:rsid w:val="1A807DD1"/>
    <w:rsid w:val="1A817E7E"/>
    <w:rsid w:val="1A864953"/>
    <w:rsid w:val="1A8C1DD9"/>
    <w:rsid w:val="1A923BA0"/>
    <w:rsid w:val="1AAD45DE"/>
    <w:rsid w:val="1AD104D1"/>
    <w:rsid w:val="1ADD0B94"/>
    <w:rsid w:val="1AE6196C"/>
    <w:rsid w:val="1AF40C41"/>
    <w:rsid w:val="1AFF2A2E"/>
    <w:rsid w:val="1B046F80"/>
    <w:rsid w:val="1B2606DC"/>
    <w:rsid w:val="1B2908B7"/>
    <w:rsid w:val="1B3267B5"/>
    <w:rsid w:val="1B3F40A1"/>
    <w:rsid w:val="1B40161D"/>
    <w:rsid w:val="1B441859"/>
    <w:rsid w:val="1B6606B1"/>
    <w:rsid w:val="1B6D18C5"/>
    <w:rsid w:val="1B8B4E82"/>
    <w:rsid w:val="1B9D672E"/>
    <w:rsid w:val="1BA50634"/>
    <w:rsid w:val="1BA979E5"/>
    <w:rsid w:val="1BB92BDD"/>
    <w:rsid w:val="1BB93EB8"/>
    <w:rsid w:val="1C0A168B"/>
    <w:rsid w:val="1C2D14AB"/>
    <w:rsid w:val="1C363C6B"/>
    <w:rsid w:val="1C4D2EEC"/>
    <w:rsid w:val="1C4F16D7"/>
    <w:rsid w:val="1C5E7925"/>
    <w:rsid w:val="1C6030CE"/>
    <w:rsid w:val="1C7F42FD"/>
    <w:rsid w:val="1C927E45"/>
    <w:rsid w:val="1C99656B"/>
    <w:rsid w:val="1C9D0174"/>
    <w:rsid w:val="1CA66DBA"/>
    <w:rsid w:val="1CC23D13"/>
    <w:rsid w:val="1CCF709F"/>
    <w:rsid w:val="1CD032BA"/>
    <w:rsid w:val="1CD75A11"/>
    <w:rsid w:val="1CFD070F"/>
    <w:rsid w:val="1D0E0D07"/>
    <w:rsid w:val="1D202672"/>
    <w:rsid w:val="1D4A4435"/>
    <w:rsid w:val="1D5F6196"/>
    <w:rsid w:val="1D6132A5"/>
    <w:rsid w:val="1D67661D"/>
    <w:rsid w:val="1D8D2B80"/>
    <w:rsid w:val="1D8E56D5"/>
    <w:rsid w:val="1D90796E"/>
    <w:rsid w:val="1DA06B03"/>
    <w:rsid w:val="1DB7139E"/>
    <w:rsid w:val="1DCC1D71"/>
    <w:rsid w:val="1DEB01B8"/>
    <w:rsid w:val="1DED6B6E"/>
    <w:rsid w:val="1DF0665E"/>
    <w:rsid w:val="1E162B7D"/>
    <w:rsid w:val="1E2D1C4F"/>
    <w:rsid w:val="1E2F68D5"/>
    <w:rsid w:val="1E370533"/>
    <w:rsid w:val="1E621476"/>
    <w:rsid w:val="1E747D2D"/>
    <w:rsid w:val="1E7A43DA"/>
    <w:rsid w:val="1E7D6144"/>
    <w:rsid w:val="1E9A6CF6"/>
    <w:rsid w:val="1EA81514"/>
    <w:rsid w:val="1ED06A9D"/>
    <w:rsid w:val="1F2D0591"/>
    <w:rsid w:val="1F78151A"/>
    <w:rsid w:val="1F881CE0"/>
    <w:rsid w:val="1F933643"/>
    <w:rsid w:val="1FAC5C31"/>
    <w:rsid w:val="1FB355EB"/>
    <w:rsid w:val="1FB715AB"/>
    <w:rsid w:val="1FCD3B59"/>
    <w:rsid w:val="1FD04999"/>
    <w:rsid w:val="1FE7539E"/>
    <w:rsid w:val="1FEF4E1F"/>
    <w:rsid w:val="1FFE0318"/>
    <w:rsid w:val="200F54C2"/>
    <w:rsid w:val="204727BE"/>
    <w:rsid w:val="20573441"/>
    <w:rsid w:val="20671BE0"/>
    <w:rsid w:val="207558D8"/>
    <w:rsid w:val="20784E15"/>
    <w:rsid w:val="208732AA"/>
    <w:rsid w:val="209029D8"/>
    <w:rsid w:val="20963CB8"/>
    <w:rsid w:val="209E65E7"/>
    <w:rsid w:val="20A81A1B"/>
    <w:rsid w:val="20A84338"/>
    <w:rsid w:val="20B07FB6"/>
    <w:rsid w:val="20B646FB"/>
    <w:rsid w:val="20CA3197"/>
    <w:rsid w:val="20CE2C87"/>
    <w:rsid w:val="212E7BF8"/>
    <w:rsid w:val="213B2595"/>
    <w:rsid w:val="213B74B1"/>
    <w:rsid w:val="215417A8"/>
    <w:rsid w:val="215A2310"/>
    <w:rsid w:val="21603961"/>
    <w:rsid w:val="21A5198C"/>
    <w:rsid w:val="21B416CC"/>
    <w:rsid w:val="21D02A2F"/>
    <w:rsid w:val="21DA38AD"/>
    <w:rsid w:val="21DE318A"/>
    <w:rsid w:val="21DF4849"/>
    <w:rsid w:val="21EF5B80"/>
    <w:rsid w:val="21FC6962"/>
    <w:rsid w:val="22235683"/>
    <w:rsid w:val="224D3971"/>
    <w:rsid w:val="22576990"/>
    <w:rsid w:val="22645EEA"/>
    <w:rsid w:val="2272773F"/>
    <w:rsid w:val="228850B7"/>
    <w:rsid w:val="228A52D3"/>
    <w:rsid w:val="2298325A"/>
    <w:rsid w:val="22CF0F38"/>
    <w:rsid w:val="22D319D0"/>
    <w:rsid w:val="22D510D2"/>
    <w:rsid w:val="22F47480"/>
    <w:rsid w:val="22F56643"/>
    <w:rsid w:val="22FD1C51"/>
    <w:rsid w:val="2351421E"/>
    <w:rsid w:val="23763F4C"/>
    <w:rsid w:val="23985FD7"/>
    <w:rsid w:val="23993C5A"/>
    <w:rsid w:val="239F0AB2"/>
    <w:rsid w:val="23BB6BBF"/>
    <w:rsid w:val="23D613AE"/>
    <w:rsid w:val="23DE1C48"/>
    <w:rsid w:val="23FF7385"/>
    <w:rsid w:val="240210CD"/>
    <w:rsid w:val="24526729"/>
    <w:rsid w:val="24613EA2"/>
    <w:rsid w:val="24747FE9"/>
    <w:rsid w:val="247B0214"/>
    <w:rsid w:val="247E3C8E"/>
    <w:rsid w:val="247E76DD"/>
    <w:rsid w:val="248D4EF2"/>
    <w:rsid w:val="249B7F2C"/>
    <w:rsid w:val="24B13C82"/>
    <w:rsid w:val="24BE3012"/>
    <w:rsid w:val="24BF09F7"/>
    <w:rsid w:val="24C74FB8"/>
    <w:rsid w:val="24D66E91"/>
    <w:rsid w:val="24FE5B05"/>
    <w:rsid w:val="2503311B"/>
    <w:rsid w:val="25174F24"/>
    <w:rsid w:val="251C178F"/>
    <w:rsid w:val="252D53FE"/>
    <w:rsid w:val="25351150"/>
    <w:rsid w:val="255B416F"/>
    <w:rsid w:val="25CB19DA"/>
    <w:rsid w:val="25DB28FA"/>
    <w:rsid w:val="25E76599"/>
    <w:rsid w:val="25EC2D81"/>
    <w:rsid w:val="26065BCC"/>
    <w:rsid w:val="260809E9"/>
    <w:rsid w:val="263C7598"/>
    <w:rsid w:val="263F7ABD"/>
    <w:rsid w:val="266059D5"/>
    <w:rsid w:val="26686113"/>
    <w:rsid w:val="26757AAC"/>
    <w:rsid w:val="26C2534E"/>
    <w:rsid w:val="26D11723"/>
    <w:rsid w:val="26D42FC1"/>
    <w:rsid w:val="2720370E"/>
    <w:rsid w:val="275773C6"/>
    <w:rsid w:val="27633147"/>
    <w:rsid w:val="27663B81"/>
    <w:rsid w:val="277057A2"/>
    <w:rsid w:val="27796570"/>
    <w:rsid w:val="279369D8"/>
    <w:rsid w:val="27BA2BD8"/>
    <w:rsid w:val="27FF0087"/>
    <w:rsid w:val="28013942"/>
    <w:rsid w:val="280772B0"/>
    <w:rsid w:val="282633A8"/>
    <w:rsid w:val="282F7010"/>
    <w:rsid w:val="283933A9"/>
    <w:rsid w:val="28414686"/>
    <w:rsid w:val="28694363"/>
    <w:rsid w:val="288B18E3"/>
    <w:rsid w:val="28A56F26"/>
    <w:rsid w:val="28F2659B"/>
    <w:rsid w:val="29153267"/>
    <w:rsid w:val="29206EB8"/>
    <w:rsid w:val="29332221"/>
    <w:rsid w:val="2939144B"/>
    <w:rsid w:val="294978E1"/>
    <w:rsid w:val="29595666"/>
    <w:rsid w:val="295B3526"/>
    <w:rsid w:val="29622D86"/>
    <w:rsid w:val="29657F00"/>
    <w:rsid w:val="29874881"/>
    <w:rsid w:val="298C055B"/>
    <w:rsid w:val="299A22A0"/>
    <w:rsid w:val="29DD02BE"/>
    <w:rsid w:val="29E325E0"/>
    <w:rsid w:val="29F8703B"/>
    <w:rsid w:val="2A266AD9"/>
    <w:rsid w:val="2A2B114A"/>
    <w:rsid w:val="2A377BD6"/>
    <w:rsid w:val="2A3A0527"/>
    <w:rsid w:val="2A452503"/>
    <w:rsid w:val="2A4915D0"/>
    <w:rsid w:val="2A582DE2"/>
    <w:rsid w:val="2A583058"/>
    <w:rsid w:val="2A5E4242"/>
    <w:rsid w:val="2A6102E1"/>
    <w:rsid w:val="2A7E3970"/>
    <w:rsid w:val="2A8E16D9"/>
    <w:rsid w:val="2A9C3E4A"/>
    <w:rsid w:val="2AAA5685"/>
    <w:rsid w:val="2AF676B8"/>
    <w:rsid w:val="2AFF1807"/>
    <w:rsid w:val="2B010C4A"/>
    <w:rsid w:val="2B0A6FB1"/>
    <w:rsid w:val="2B163DB4"/>
    <w:rsid w:val="2B4B1C94"/>
    <w:rsid w:val="2B8A3EC7"/>
    <w:rsid w:val="2B940F71"/>
    <w:rsid w:val="2BA56CDA"/>
    <w:rsid w:val="2BA936A8"/>
    <w:rsid w:val="2BB71400"/>
    <w:rsid w:val="2BBC5615"/>
    <w:rsid w:val="2BE71791"/>
    <w:rsid w:val="2C275941"/>
    <w:rsid w:val="2C2E7758"/>
    <w:rsid w:val="2C315A5A"/>
    <w:rsid w:val="2C3E69A1"/>
    <w:rsid w:val="2C4B1C25"/>
    <w:rsid w:val="2C55425C"/>
    <w:rsid w:val="2C57338F"/>
    <w:rsid w:val="2C760D0B"/>
    <w:rsid w:val="2C967313"/>
    <w:rsid w:val="2CBA6B82"/>
    <w:rsid w:val="2CBF1EDA"/>
    <w:rsid w:val="2CC13E88"/>
    <w:rsid w:val="2CCA30ED"/>
    <w:rsid w:val="2CCD4E38"/>
    <w:rsid w:val="2CDA7F1A"/>
    <w:rsid w:val="2CEF78CA"/>
    <w:rsid w:val="2CFC6DCE"/>
    <w:rsid w:val="2D012636"/>
    <w:rsid w:val="2D233FE0"/>
    <w:rsid w:val="2D246F51"/>
    <w:rsid w:val="2D271494"/>
    <w:rsid w:val="2D2D51D9"/>
    <w:rsid w:val="2D4A7B39"/>
    <w:rsid w:val="2D4F60C0"/>
    <w:rsid w:val="2D542766"/>
    <w:rsid w:val="2D7D6852"/>
    <w:rsid w:val="2D8172D3"/>
    <w:rsid w:val="2D9E56F5"/>
    <w:rsid w:val="2DAC7B67"/>
    <w:rsid w:val="2DB304BB"/>
    <w:rsid w:val="2DC828C4"/>
    <w:rsid w:val="2DDE0ED0"/>
    <w:rsid w:val="2E007139"/>
    <w:rsid w:val="2E156399"/>
    <w:rsid w:val="2E5B2EA9"/>
    <w:rsid w:val="2E6115DE"/>
    <w:rsid w:val="2E667F96"/>
    <w:rsid w:val="2E8226AB"/>
    <w:rsid w:val="2E8D7F49"/>
    <w:rsid w:val="2E923DEF"/>
    <w:rsid w:val="2EA65243"/>
    <w:rsid w:val="2ECE479A"/>
    <w:rsid w:val="2EDC5AA0"/>
    <w:rsid w:val="2F4C0517"/>
    <w:rsid w:val="2F7E397D"/>
    <w:rsid w:val="2F827A5E"/>
    <w:rsid w:val="2F84187D"/>
    <w:rsid w:val="2FA3568B"/>
    <w:rsid w:val="2FA61BBB"/>
    <w:rsid w:val="2FAE0FC6"/>
    <w:rsid w:val="2FB35E69"/>
    <w:rsid w:val="2FD065E6"/>
    <w:rsid w:val="2FD96870"/>
    <w:rsid w:val="2FEF49C8"/>
    <w:rsid w:val="30021656"/>
    <w:rsid w:val="30547245"/>
    <w:rsid w:val="30580BC9"/>
    <w:rsid w:val="306929CC"/>
    <w:rsid w:val="30A0640D"/>
    <w:rsid w:val="30A6777C"/>
    <w:rsid w:val="30AA5742"/>
    <w:rsid w:val="30C020C1"/>
    <w:rsid w:val="30C37274"/>
    <w:rsid w:val="30C61666"/>
    <w:rsid w:val="30E43759"/>
    <w:rsid w:val="30FD39D4"/>
    <w:rsid w:val="310B5831"/>
    <w:rsid w:val="311E2ED7"/>
    <w:rsid w:val="315619EE"/>
    <w:rsid w:val="315C449C"/>
    <w:rsid w:val="31821B16"/>
    <w:rsid w:val="31991D77"/>
    <w:rsid w:val="31B82709"/>
    <w:rsid w:val="31CB34FB"/>
    <w:rsid w:val="31CF4AB1"/>
    <w:rsid w:val="31D05482"/>
    <w:rsid w:val="31DD5420"/>
    <w:rsid w:val="31FD007E"/>
    <w:rsid w:val="31FE46EF"/>
    <w:rsid w:val="31FE65A8"/>
    <w:rsid w:val="321772A1"/>
    <w:rsid w:val="321D40D5"/>
    <w:rsid w:val="322E6E8A"/>
    <w:rsid w:val="323056F7"/>
    <w:rsid w:val="323E301A"/>
    <w:rsid w:val="32400B34"/>
    <w:rsid w:val="32485E37"/>
    <w:rsid w:val="324E146B"/>
    <w:rsid w:val="3279207D"/>
    <w:rsid w:val="327F4353"/>
    <w:rsid w:val="32815A6F"/>
    <w:rsid w:val="329E6876"/>
    <w:rsid w:val="32A80A7D"/>
    <w:rsid w:val="32D3412D"/>
    <w:rsid w:val="33122395"/>
    <w:rsid w:val="332C4A18"/>
    <w:rsid w:val="333015F2"/>
    <w:rsid w:val="334B6320"/>
    <w:rsid w:val="33AD2FC4"/>
    <w:rsid w:val="33AD64C3"/>
    <w:rsid w:val="33B94C82"/>
    <w:rsid w:val="33D934D4"/>
    <w:rsid w:val="33F6261A"/>
    <w:rsid w:val="33FB3D4A"/>
    <w:rsid w:val="33FE2F6A"/>
    <w:rsid w:val="340824FC"/>
    <w:rsid w:val="340E07E5"/>
    <w:rsid w:val="341D61C9"/>
    <w:rsid w:val="34235BF7"/>
    <w:rsid w:val="34396275"/>
    <w:rsid w:val="34576805"/>
    <w:rsid w:val="34931DC5"/>
    <w:rsid w:val="34B556B5"/>
    <w:rsid w:val="34C37D1E"/>
    <w:rsid w:val="34CE54F3"/>
    <w:rsid w:val="34D01CEF"/>
    <w:rsid w:val="34D20A5B"/>
    <w:rsid w:val="35043AF2"/>
    <w:rsid w:val="355E0625"/>
    <w:rsid w:val="35763EBD"/>
    <w:rsid w:val="35817C74"/>
    <w:rsid w:val="358C5FA8"/>
    <w:rsid w:val="35AB07CE"/>
    <w:rsid w:val="35AE0533"/>
    <w:rsid w:val="35B77D36"/>
    <w:rsid w:val="35C15DF1"/>
    <w:rsid w:val="35CD57CD"/>
    <w:rsid w:val="35D8162A"/>
    <w:rsid w:val="35E17369"/>
    <w:rsid w:val="35F25212"/>
    <w:rsid w:val="36074A7F"/>
    <w:rsid w:val="36214A2E"/>
    <w:rsid w:val="36333195"/>
    <w:rsid w:val="36394BEF"/>
    <w:rsid w:val="364F325A"/>
    <w:rsid w:val="365732C7"/>
    <w:rsid w:val="36582B23"/>
    <w:rsid w:val="367A7B72"/>
    <w:rsid w:val="3683427B"/>
    <w:rsid w:val="36923549"/>
    <w:rsid w:val="36974BA7"/>
    <w:rsid w:val="36A02F26"/>
    <w:rsid w:val="36B75FBF"/>
    <w:rsid w:val="36BB50CB"/>
    <w:rsid w:val="36BD0C45"/>
    <w:rsid w:val="36D81A68"/>
    <w:rsid w:val="36E32978"/>
    <w:rsid w:val="37001BE1"/>
    <w:rsid w:val="37040CD0"/>
    <w:rsid w:val="37080180"/>
    <w:rsid w:val="372E0CF4"/>
    <w:rsid w:val="372F77E4"/>
    <w:rsid w:val="378305A9"/>
    <w:rsid w:val="378A63DB"/>
    <w:rsid w:val="37902F95"/>
    <w:rsid w:val="37963E29"/>
    <w:rsid w:val="37A71FAA"/>
    <w:rsid w:val="37CB5724"/>
    <w:rsid w:val="37D3697D"/>
    <w:rsid w:val="37E00298"/>
    <w:rsid w:val="38130C12"/>
    <w:rsid w:val="38173AC6"/>
    <w:rsid w:val="383107CC"/>
    <w:rsid w:val="3833314B"/>
    <w:rsid w:val="383638C8"/>
    <w:rsid w:val="3837726B"/>
    <w:rsid w:val="385B0E4C"/>
    <w:rsid w:val="387E3538"/>
    <w:rsid w:val="388A508E"/>
    <w:rsid w:val="38A722E3"/>
    <w:rsid w:val="38B302F9"/>
    <w:rsid w:val="38DA1581"/>
    <w:rsid w:val="38F12CD3"/>
    <w:rsid w:val="38F94775"/>
    <w:rsid w:val="391F00CC"/>
    <w:rsid w:val="392971ED"/>
    <w:rsid w:val="392C27E9"/>
    <w:rsid w:val="39325651"/>
    <w:rsid w:val="393A2BBF"/>
    <w:rsid w:val="393D4B4A"/>
    <w:rsid w:val="394F0285"/>
    <w:rsid w:val="39610C12"/>
    <w:rsid w:val="39695A15"/>
    <w:rsid w:val="396B5912"/>
    <w:rsid w:val="39916AF0"/>
    <w:rsid w:val="39C329C3"/>
    <w:rsid w:val="39CF468B"/>
    <w:rsid w:val="39D42485"/>
    <w:rsid w:val="39DE3610"/>
    <w:rsid w:val="39F34670"/>
    <w:rsid w:val="39F52A1B"/>
    <w:rsid w:val="3A1C383B"/>
    <w:rsid w:val="3A330E70"/>
    <w:rsid w:val="3A3F7873"/>
    <w:rsid w:val="3A415444"/>
    <w:rsid w:val="3A452C42"/>
    <w:rsid w:val="3A825EC0"/>
    <w:rsid w:val="3A872856"/>
    <w:rsid w:val="3A97532C"/>
    <w:rsid w:val="3AAD7959"/>
    <w:rsid w:val="3AB40CE8"/>
    <w:rsid w:val="3AC01DBC"/>
    <w:rsid w:val="3AE43D43"/>
    <w:rsid w:val="3AE559A4"/>
    <w:rsid w:val="3AEE41FA"/>
    <w:rsid w:val="3AFC677B"/>
    <w:rsid w:val="3B0260D3"/>
    <w:rsid w:val="3B1A14A3"/>
    <w:rsid w:val="3B3763D1"/>
    <w:rsid w:val="3B427E5C"/>
    <w:rsid w:val="3B457B92"/>
    <w:rsid w:val="3B7010B2"/>
    <w:rsid w:val="3B742FF2"/>
    <w:rsid w:val="3B8567E1"/>
    <w:rsid w:val="3BB07701"/>
    <w:rsid w:val="3BBD0467"/>
    <w:rsid w:val="3C081B09"/>
    <w:rsid w:val="3C0B4DD9"/>
    <w:rsid w:val="3C1C0565"/>
    <w:rsid w:val="3C2F6E1E"/>
    <w:rsid w:val="3C394C36"/>
    <w:rsid w:val="3C3D6ABB"/>
    <w:rsid w:val="3C406845"/>
    <w:rsid w:val="3C4B11D8"/>
    <w:rsid w:val="3C4D13F4"/>
    <w:rsid w:val="3C4F64BA"/>
    <w:rsid w:val="3C6109FB"/>
    <w:rsid w:val="3C7324DC"/>
    <w:rsid w:val="3C7B4680"/>
    <w:rsid w:val="3CBC3E83"/>
    <w:rsid w:val="3CDA245A"/>
    <w:rsid w:val="3CF26C23"/>
    <w:rsid w:val="3CFD7124"/>
    <w:rsid w:val="3D02190C"/>
    <w:rsid w:val="3D0E7A18"/>
    <w:rsid w:val="3D1305E8"/>
    <w:rsid w:val="3D1E06B7"/>
    <w:rsid w:val="3D1E1A76"/>
    <w:rsid w:val="3D2C1009"/>
    <w:rsid w:val="3D4A4FA9"/>
    <w:rsid w:val="3D51281E"/>
    <w:rsid w:val="3D7B789B"/>
    <w:rsid w:val="3DA61A25"/>
    <w:rsid w:val="3DA83C1E"/>
    <w:rsid w:val="3DB42DAD"/>
    <w:rsid w:val="3DC93344"/>
    <w:rsid w:val="3DCB5E8A"/>
    <w:rsid w:val="3DF11955"/>
    <w:rsid w:val="3E0922D3"/>
    <w:rsid w:val="3E22661F"/>
    <w:rsid w:val="3E8A41C2"/>
    <w:rsid w:val="3EA6303D"/>
    <w:rsid w:val="3EBE0387"/>
    <w:rsid w:val="3EC82FB3"/>
    <w:rsid w:val="3ECD5369"/>
    <w:rsid w:val="3ED01E68"/>
    <w:rsid w:val="3EDA0523"/>
    <w:rsid w:val="3EE940A2"/>
    <w:rsid w:val="3EF142B8"/>
    <w:rsid w:val="3EFA7FC6"/>
    <w:rsid w:val="3F0F3D1E"/>
    <w:rsid w:val="3F1D32FF"/>
    <w:rsid w:val="3FAD4136"/>
    <w:rsid w:val="3FB2592F"/>
    <w:rsid w:val="3FB82EB6"/>
    <w:rsid w:val="3FBB2933"/>
    <w:rsid w:val="3FD8425A"/>
    <w:rsid w:val="3FDC26AA"/>
    <w:rsid w:val="3FF81CEA"/>
    <w:rsid w:val="3FFE1D6B"/>
    <w:rsid w:val="400929E9"/>
    <w:rsid w:val="40175FA1"/>
    <w:rsid w:val="40244591"/>
    <w:rsid w:val="403D28F6"/>
    <w:rsid w:val="405C176B"/>
    <w:rsid w:val="4066403F"/>
    <w:rsid w:val="4071000B"/>
    <w:rsid w:val="407A6407"/>
    <w:rsid w:val="407D392A"/>
    <w:rsid w:val="4089597C"/>
    <w:rsid w:val="409741EB"/>
    <w:rsid w:val="409B0664"/>
    <w:rsid w:val="409D33F8"/>
    <w:rsid w:val="40A435AC"/>
    <w:rsid w:val="40A86BF9"/>
    <w:rsid w:val="40BB6C9A"/>
    <w:rsid w:val="40BE276F"/>
    <w:rsid w:val="40D3171C"/>
    <w:rsid w:val="41044264"/>
    <w:rsid w:val="4117496F"/>
    <w:rsid w:val="412A13B6"/>
    <w:rsid w:val="41421D5F"/>
    <w:rsid w:val="41452A7E"/>
    <w:rsid w:val="4147403D"/>
    <w:rsid w:val="41487C37"/>
    <w:rsid w:val="41687DA8"/>
    <w:rsid w:val="41834359"/>
    <w:rsid w:val="41A872D6"/>
    <w:rsid w:val="41AB6823"/>
    <w:rsid w:val="41BF26DA"/>
    <w:rsid w:val="41D025F0"/>
    <w:rsid w:val="41E57306"/>
    <w:rsid w:val="41EF57BD"/>
    <w:rsid w:val="4200449D"/>
    <w:rsid w:val="4206515C"/>
    <w:rsid w:val="422229DB"/>
    <w:rsid w:val="422C63EB"/>
    <w:rsid w:val="423A3BCC"/>
    <w:rsid w:val="424219C4"/>
    <w:rsid w:val="424E57D2"/>
    <w:rsid w:val="42572AFB"/>
    <w:rsid w:val="42672AE3"/>
    <w:rsid w:val="426E45CA"/>
    <w:rsid w:val="42703746"/>
    <w:rsid w:val="42781771"/>
    <w:rsid w:val="42881AA6"/>
    <w:rsid w:val="429852FF"/>
    <w:rsid w:val="429A7734"/>
    <w:rsid w:val="42B26C49"/>
    <w:rsid w:val="433557CD"/>
    <w:rsid w:val="43394480"/>
    <w:rsid w:val="433A6FE6"/>
    <w:rsid w:val="43476CB6"/>
    <w:rsid w:val="43480868"/>
    <w:rsid w:val="434E3DD4"/>
    <w:rsid w:val="4350713C"/>
    <w:rsid w:val="4356566F"/>
    <w:rsid w:val="435F0C7D"/>
    <w:rsid w:val="436653E0"/>
    <w:rsid w:val="43716024"/>
    <w:rsid w:val="43730CC1"/>
    <w:rsid w:val="439C7F9A"/>
    <w:rsid w:val="43AF32DF"/>
    <w:rsid w:val="43C4431A"/>
    <w:rsid w:val="43E24223"/>
    <w:rsid w:val="441647C1"/>
    <w:rsid w:val="44330ECF"/>
    <w:rsid w:val="44437BC7"/>
    <w:rsid w:val="4454372B"/>
    <w:rsid w:val="44715D6A"/>
    <w:rsid w:val="448E3D1D"/>
    <w:rsid w:val="449D459A"/>
    <w:rsid w:val="44B951CC"/>
    <w:rsid w:val="44CD14E0"/>
    <w:rsid w:val="44D47A4A"/>
    <w:rsid w:val="44E93A5D"/>
    <w:rsid w:val="44F20B0B"/>
    <w:rsid w:val="450E5003"/>
    <w:rsid w:val="4523044E"/>
    <w:rsid w:val="452E5F4C"/>
    <w:rsid w:val="45374A76"/>
    <w:rsid w:val="4543180A"/>
    <w:rsid w:val="45612018"/>
    <w:rsid w:val="456908BB"/>
    <w:rsid w:val="457E1CB3"/>
    <w:rsid w:val="45833790"/>
    <w:rsid w:val="458946E9"/>
    <w:rsid w:val="458F5039"/>
    <w:rsid w:val="459B4B29"/>
    <w:rsid w:val="45A47C0E"/>
    <w:rsid w:val="45BE0C6C"/>
    <w:rsid w:val="45C80314"/>
    <w:rsid w:val="45EC43C4"/>
    <w:rsid w:val="46153825"/>
    <w:rsid w:val="46186134"/>
    <w:rsid w:val="46192BC4"/>
    <w:rsid w:val="46385EE9"/>
    <w:rsid w:val="464F5D68"/>
    <w:rsid w:val="46537E03"/>
    <w:rsid w:val="46562663"/>
    <w:rsid w:val="46577FD6"/>
    <w:rsid w:val="465A72B1"/>
    <w:rsid w:val="46731974"/>
    <w:rsid w:val="469770BD"/>
    <w:rsid w:val="46B42853"/>
    <w:rsid w:val="46D955A7"/>
    <w:rsid w:val="46DA3884"/>
    <w:rsid w:val="46EC04F8"/>
    <w:rsid w:val="46FE4680"/>
    <w:rsid w:val="47094169"/>
    <w:rsid w:val="47133957"/>
    <w:rsid w:val="472162E4"/>
    <w:rsid w:val="474A246F"/>
    <w:rsid w:val="47541888"/>
    <w:rsid w:val="477B5F15"/>
    <w:rsid w:val="479C322F"/>
    <w:rsid w:val="47A07E0C"/>
    <w:rsid w:val="47DC50FD"/>
    <w:rsid w:val="48030BB8"/>
    <w:rsid w:val="4813052E"/>
    <w:rsid w:val="48166B3E"/>
    <w:rsid w:val="482245B9"/>
    <w:rsid w:val="4870272E"/>
    <w:rsid w:val="487148FF"/>
    <w:rsid w:val="488E7654"/>
    <w:rsid w:val="48975774"/>
    <w:rsid w:val="48A24875"/>
    <w:rsid w:val="48CC18F2"/>
    <w:rsid w:val="48DC100B"/>
    <w:rsid w:val="48E5096A"/>
    <w:rsid w:val="48F00CFF"/>
    <w:rsid w:val="48F549A5"/>
    <w:rsid w:val="48FF1AD9"/>
    <w:rsid w:val="49014AED"/>
    <w:rsid w:val="49117305"/>
    <w:rsid w:val="49137521"/>
    <w:rsid w:val="498530BE"/>
    <w:rsid w:val="498F38BE"/>
    <w:rsid w:val="49B54BA8"/>
    <w:rsid w:val="49B67CA8"/>
    <w:rsid w:val="49DC7715"/>
    <w:rsid w:val="49E05097"/>
    <w:rsid w:val="49EF5898"/>
    <w:rsid w:val="4A023139"/>
    <w:rsid w:val="4A5716F8"/>
    <w:rsid w:val="4A5A3051"/>
    <w:rsid w:val="4A743FEF"/>
    <w:rsid w:val="4A7B576F"/>
    <w:rsid w:val="4A981C28"/>
    <w:rsid w:val="4A983CDB"/>
    <w:rsid w:val="4AE45B2B"/>
    <w:rsid w:val="4AF561A9"/>
    <w:rsid w:val="4AFA031C"/>
    <w:rsid w:val="4AFC2B80"/>
    <w:rsid w:val="4B0E78FD"/>
    <w:rsid w:val="4B1B446B"/>
    <w:rsid w:val="4B7A0E8F"/>
    <w:rsid w:val="4B894B82"/>
    <w:rsid w:val="4BB453FF"/>
    <w:rsid w:val="4BCA036B"/>
    <w:rsid w:val="4BD415B0"/>
    <w:rsid w:val="4BDC5725"/>
    <w:rsid w:val="4BEC745B"/>
    <w:rsid w:val="4BEF39E7"/>
    <w:rsid w:val="4C0F51A9"/>
    <w:rsid w:val="4C1E7726"/>
    <w:rsid w:val="4C3A4765"/>
    <w:rsid w:val="4C4A0649"/>
    <w:rsid w:val="4C7A26F4"/>
    <w:rsid w:val="4C7D53DD"/>
    <w:rsid w:val="4C7E5ECA"/>
    <w:rsid w:val="4C7F0446"/>
    <w:rsid w:val="4C876AA5"/>
    <w:rsid w:val="4CB71CDB"/>
    <w:rsid w:val="4CBC51DD"/>
    <w:rsid w:val="4CF57C64"/>
    <w:rsid w:val="4CF6725C"/>
    <w:rsid w:val="4D035956"/>
    <w:rsid w:val="4D08244C"/>
    <w:rsid w:val="4D0E00FB"/>
    <w:rsid w:val="4D176606"/>
    <w:rsid w:val="4D2546D0"/>
    <w:rsid w:val="4D3D5F9A"/>
    <w:rsid w:val="4D6445F1"/>
    <w:rsid w:val="4D7367E0"/>
    <w:rsid w:val="4D886B44"/>
    <w:rsid w:val="4D9508EF"/>
    <w:rsid w:val="4DAA338D"/>
    <w:rsid w:val="4DEC4FB0"/>
    <w:rsid w:val="4E075D8A"/>
    <w:rsid w:val="4E125518"/>
    <w:rsid w:val="4E157897"/>
    <w:rsid w:val="4E1E04FA"/>
    <w:rsid w:val="4E3E4D42"/>
    <w:rsid w:val="4E473EF5"/>
    <w:rsid w:val="4E4F2A50"/>
    <w:rsid w:val="4E83548F"/>
    <w:rsid w:val="4E8A40BE"/>
    <w:rsid w:val="4E902622"/>
    <w:rsid w:val="4EC00FAD"/>
    <w:rsid w:val="4EF52F4C"/>
    <w:rsid w:val="4F007B20"/>
    <w:rsid w:val="4F6939F7"/>
    <w:rsid w:val="4F876A67"/>
    <w:rsid w:val="4F9843DC"/>
    <w:rsid w:val="4FAD422B"/>
    <w:rsid w:val="4FB96E6B"/>
    <w:rsid w:val="4FC62A8C"/>
    <w:rsid w:val="4FE20F0D"/>
    <w:rsid w:val="4FE51552"/>
    <w:rsid w:val="4FED4628"/>
    <w:rsid w:val="4FFE5101"/>
    <w:rsid w:val="503E5ED5"/>
    <w:rsid w:val="5040654F"/>
    <w:rsid w:val="50504C4B"/>
    <w:rsid w:val="50662B74"/>
    <w:rsid w:val="5083312A"/>
    <w:rsid w:val="50901457"/>
    <w:rsid w:val="509166B3"/>
    <w:rsid w:val="509B22D6"/>
    <w:rsid w:val="509C6E7C"/>
    <w:rsid w:val="50B514C6"/>
    <w:rsid w:val="50CE392A"/>
    <w:rsid w:val="50FD540C"/>
    <w:rsid w:val="51002FBB"/>
    <w:rsid w:val="51157B6D"/>
    <w:rsid w:val="512C2345"/>
    <w:rsid w:val="5140693D"/>
    <w:rsid w:val="5162104E"/>
    <w:rsid w:val="5165658D"/>
    <w:rsid w:val="516F3637"/>
    <w:rsid w:val="518279A9"/>
    <w:rsid w:val="51873098"/>
    <w:rsid w:val="51972CF4"/>
    <w:rsid w:val="51DC193F"/>
    <w:rsid w:val="51F003FF"/>
    <w:rsid w:val="52052D1F"/>
    <w:rsid w:val="52311D3F"/>
    <w:rsid w:val="52320A18"/>
    <w:rsid w:val="523C53F3"/>
    <w:rsid w:val="5249422C"/>
    <w:rsid w:val="524E4C50"/>
    <w:rsid w:val="525F49CC"/>
    <w:rsid w:val="52694EC1"/>
    <w:rsid w:val="52907045"/>
    <w:rsid w:val="52AA2CA4"/>
    <w:rsid w:val="52B96E6E"/>
    <w:rsid w:val="52E340AB"/>
    <w:rsid w:val="52F67C97"/>
    <w:rsid w:val="52FB3500"/>
    <w:rsid w:val="52FE6B4C"/>
    <w:rsid w:val="532E0F86"/>
    <w:rsid w:val="532F30EC"/>
    <w:rsid w:val="5334256E"/>
    <w:rsid w:val="53A039CC"/>
    <w:rsid w:val="53A1505A"/>
    <w:rsid w:val="53A95FD1"/>
    <w:rsid w:val="53D20A2C"/>
    <w:rsid w:val="53DA5AFE"/>
    <w:rsid w:val="54022FCE"/>
    <w:rsid w:val="54063E08"/>
    <w:rsid w:val="54181E8F"/>
    <w:rsid w:val="541C372E"/>
    <w:rsid w:val="54326EA4"/>
    <w:rsid w:val="54342435"/>
    <w:rsid w:val="543437E8"/>
    <w:rsid w:val="543C654A"/>
    <w:rsid w:val="54890159"/>
    <w:rsid w:val="54A674F1"/>
    <w:rsid w:val="54B707B4"/>
    <w:rsid w:val="54DE2F24"/>
    <w:rsid w:val="54E2107C"/>
    <w:rsid w:val="54F621D1"/>
    <w:rsid w:val="54F70F79"/>
    <w:rsid w:val="54F73313"/>
    <w:rsid w:val="54F80955"/>
    <w:rsid w:val="550A7804"/>
    <w:rsid w:val="552E7C91"/>
    <w:rsid w:val="55361F11"/>
    <w:rsid w:val="55483836"/>
    <w:rsid w:val="554F7B33"/>
    <w:rsid w:val="555170A7"/>
    <w:rsid w:val="55574CCF"/>
    <w:rsid w:val="558660AA"/>
    <w:rsid w:val="5587536D"/>
    <w:rsid w:val="558F7DC5"/>
    <w:rsid w:val="559B174B"/>
    <w:rsid w:val="55A7171D"/>
    <w:rsid w:val="55CE0CF4"/>
    <w:rsid w:val="55E738C7"/>
    <w:rsid w:val="56060BDC"/>
    <w:rsid w:val="56393B78"/>
    <w:rsid w:val="56633896"/>
    <w:rsid w:val="56717635"/>
    <w:rsid w:val="567322BA"/>
    <w:rsid w:val="56755377"/>
    <w:rsid w:val="56884FC8"/>
    <w:rsid w:val="569D6149"/>
    <w:rsid w:val="56AD10C8"/>
    <w:rsid w:val="56B22A9C"/>
    <w:rsid w:val="56D67B97"/>
    <w:rsid w:val="572C3F3F"/>
    <w:rsid w:val="57563CB6"/>
    <w:rsid w:val="575E6FFD"/>
    <w:rsid w:val="576E3DB8"/>
    <w:rsid w:val="57863EE4"/>
    <w:rsid w:val="57982E9C"/>
    <w:rsid w:val="57B72A76"/>
    <w:rsid w:val="57B7532A"/>
    <w:rsid w:val="57C3426C"/>
    <w:rsid w:val="57CE1F93"/>
    <w:rsid w:val="57D0621E"/>
    <w:rsid w:val="57D95BB1"/>
    <w:rsid w:val="57DD4959"/>
    <w:rsid w:val="57E14298"/>
    <w:rsid w:val="57FF139C"/>
    <w:rsid w:val="580A773B"/>
    <w:rsid w:val="580C3AB9"/>
    <w:rsid w:val="58160494"/>
    <w:rsid w:val="581B5AAA"/>
    <w:rsid w:val="586F5D6C"/>
    <w:rsid w:val="588743D1"/>
    <w:rsid w:val="5887701A"/>
    <w:rsid w:val="589D2963"/>
    <w:rsid w:val="58A8054E"/>
    <w:rsid w:val="58AF094F"/>
    <w:rsid w:val="58C114B4"/>
    <w:rsid w:val="58F96265"/>
    <w:rsid w:val="58FB75DE"/>
    <w:rsid w:val="58FF28DE"/>
    <w:rsid w:val="590F7FA3"/>
    <w:rsid w:val="59203EBC"/>
    <w:rsid w:val="592B4067"/>
    <w:rsid w:val="59676679"/>
    <w:rsid w:val="59817DB2"/>
    <w:rsid w:val="598D6A8B"/>
    <w:rsid w:val="598E6955"/>
    <w:rsid w:val="599B6EA3"/>
    <w:rsid w:val="59B2573B"/>
    <w:rsid w:val="59BB5797"/>
    <w:rsid w:val="59BD150F"/>
    <w:rsid w:val="59C0439F"/>
    <w:rsid w:val="59C55518"/>
    <w:rsid w:val="59D14FBA"/>
    <w:rsid w:val="59D36007"/>
    <w:rsid w:val="5A1A3FE3"/>
    <w:rsid w:val="5A542060"/>
    <w:rsid w:val="5A766A68"/>
    <w:rsid w:val="5A767910"/>
    <w:rsid w:val="5A781B28"/>
    <w:rsid w:val="5A816250"/>
    <w:rsid w:val="5A8E79AB"/>
    <w:rsid w:val="5A9E57BB"/>
    <w:rsid w:val="5AA846AB"/>
    <w:rsid w:val="5AB34587"/>
    <w:rsid w:val="5AB86ED3"/>
    <w:rsid w:val="5ABE2233"/>
    <w:rsid w:val="5AC1330B"/>
    <w:rsid w:val="5AD3413E"/>
    <w:rsid w:val="5AE139C7"/>
    <w:rsid w:val="5AF0321E"/>
    <w:rsid w:val="5AFD593B"/>
    <w:rsid w:val="5B18348D"/>
    <w:rsid w:val="5B1C1AF7"/>
    <w:rsid w:val="5B1D0885"/>
    <w:rsid w:val="5B512782"/>
    <w:rsid w:val="5B7C6694"/>
    <w:rsid w:val="5BA32FE4"/>
    <w:rsid w:val="5BAF4E87"/>
    <w:rsid w:val="5BB478E2"/>
    <w:rsid w:val="5BBD57F6"/>
    <w:rsid w:val="5BBF6F1B"/>
    <w:rsid w:val="5BC0241E"/>
    <w:rsid w:val="5BC07095"/>
    <w:rsid w:val="5BC1147D"/>
    <w:rsid w:val="5BC158FB"/>
    <w:rsid w:val="5BCC74AF"/>
    <w:rsid w:val="5BCF536E"/>
    <w:rsid w:val="5BDF5D95"/>
    <w:rsid w:val="5BFE7528"/>
    <w:rsid w:val="5C007CAF"/>
    <w:rsid w:val="5C0827EA"/>
    <w:rsid w:val="5C1B2D56"/>
    <w:rsid w:val="5C334DCA"/>
    <w:rsid w:val="5C6E6AF1"/>
    <w:rsid w:val="5C7B120D"/>
    <w:rsid w:val="5CAC586B"/>
    <w:rsid w:val="5CB306AB"/>
    <w:rsid w:val="5CBB2094"/>
    <w:rsid w:val="5CBC5AAE"/>
    <w:rsid w:val="5CD61820"/>
    <w:rsid w:val="5D270949"/>
    <w:rsid w:val="5D3715D8"/>
    <w:rsid w:val="5D485594"/>
    <w:rsid w:val="5D5418FE"/>
    <w:rsid w:val="5D606C47"/>
    <w:rsid w:val="5D7B180B"/>
    <w:rsid w:val="5D8875C1"/>
    <w:rsid w:val="5DA16CAF"/>
    <w:rsid w:val="5DA402F0"/>
    <w:rsid w:val="5DB54270"/>
    <w:rsid w:val="5E004BFD"/>
    <w:rsid w:val="5E195734"/>
    <w:rsid w:val="5E1F4A20"/>
    <w:rsid w:val="5E2467F1"/>
    <w:rsid w:val="5E3D49CC"/>
    <w:rsid w:val="5E435999"/>
    <w:rsid w:val="5E4D3610"/>
    <w:rsid w:val="5E654344"/>
    <w:rsid w:val="5E856BD1"/>
    <w:rsid w:val="5E8E347A"/>
    <w:rsid w:val="5EBB7FE7"/>
    <w:rsid w:val="5EC70711"/>
    <w:rsid w:val="5EE57575"/>
    <w:rsid w:val="5EFD5F0A"/>
    <w:rsid w:val="5F1527E7"/>
    <w:rsid w:val="5F153A04"/>
    <w:rsid w:val="5F1A2B43"/>
    <w:rsid w:val="5F322E09"/>
    <w:rsid w:val="5F323EEB"/>
    <w:rsid w:val="5F367F01"/>
    <w:rsid w:val="5F6B7317"/>
    <w:rsid w:val="5F750471"/>
    <w:rsid w:val="5F907B68"/>
    <w:rsid w:val="5FB76A00"/>
    <w:rsid w:val="5FB837BB"/>
    <w:rsid w:val="5FC16118"/>
    <w:rsid w:val="5FD90725"/>
    <w:rsid w:val="5FE13A7D"/>
    <w:rsid w:val="6009355C"/>
    <w:rsid w:val="600E7F5D"/>
    <w:rsid w:val="60827C38"/>
    <w:rsid w:val="6099704E"/>
    <w:rsid w:val="60CC028A"/>
    <w:rsid w:val="60CC405A"/>
    <w:rsid w:val="60FB691F"/>
    <w:rsid w:val="61025A59"/>
    <w:rsid w:val="61343CE2"/>
    <w:rsid w:val="615158B3"/>
    <w:rsid w:val="616E2D5E"/>
    <w:rsid w:val="61715597"/>
    <w:rsid w:val="61850577"/>
    <w:rsid w:val="6197270E"/>
    <w:rsid w:val="619A0388"/>
    <w:rsid w:val="61A11716"/>
    <w:rsid w:val="61D04CEA"/>
    <w:rsid w:val="61E215D8"/>
    <w:rsid w:val="61F8684D"/>
    <w:rsid w:val="621B3775"/>
    <w:rsid w:val="622720EB"/>
    <w:rsid w:val="62364782"/>
    <w:rsid w:val="624A317C"/>
    <w:rsid w:val="625A2EEB"/>
    <w:rsid w:val="625A3B56"/>
    <w:rsid w:val="62645BED"/>
    <w:rsid w:val="628202AE"/>
    <w:rsid w:val="62CB609F"/>
    <w:rsid w:val="62DA4EE0"/>
    <w:rsid w:val="62FB72E3"/>
    <w:rsid w:val="63247F09"/>
    <w:rsid w:val="632F0827"/>
    <w:rsid w:val="634A0DD6"/>
    <w:rsid w:val="634B1DCB"/>
    <w:rsid w:val="635D233B"/>
    <w:rsid w:val="6373518F"/>
    <w:rsid w:val="63835FBF"/>
    <w:rsid w:val="6394356A"/>
    <w:rsid w:val="63AF5C83"/>
    <w:rsid w:val="63C065F8"/>
    <w:rsid w:val="63C61B2C"/>
    <w:rsid w:val="63D40BE9"/>
    <w:rsid w:val="63D53B77"/>
    <w:rsid w:val="63D94EDB"/>
    <w:rsid w:val="63E63605"/>
    <w:rsid w:val="63E80775"/>
    <w:rsid w:val="63FA72E8"/>
    <w:rsid w:val="64102431"/>
    <w:rsid w:val="64223BEF"/>
    <w:rsid w:val="64301754"/>
    <w:rsid w:val="644108D3"/>
    <w:rsid w:val="6472739A"/>
    <w:rsid w:val="64831199"/>
    <w:rsid w:val="64A12DA7"/>
    <w:rsid w:val="64A5243A"/>
    <w:rsid w:val="64D8391C"/>
    <w:rsid w:val="64E57735"/>
    <w:rsid w:val="64F531DE"/>
    <w:rsid w:val="6516562F"/>
    <w:rsid w:val="65256B3E"/>
    <w:rsid w:val="65373578"/>
    <w:rsid w:val="654A67B3"/>
    <w:rsid w:val="655068C5"/>
    <w:rsid w:val="656F460A"/>
    <w:rsid w:val="65AE58D2"/>
    <w:rsid w:val="65B42E1D"/>
    <w:rsid w:val="65D5198E"/>
    <w:rsid w:val="65FA31A3"/>
    <w:rsid w:val="660C498C"/>
    <w:rsid w:val="660D2ED6"/>
    <w:rsid w:val="664D3C1B"/>
    <w:rsid w:val="667C1434"/>
    <w:rsid w:val="668B2FD9"/>
    <w:rsid w:val="66A32144"/>
    <w:rsid w:val="66AD0763"/>
    <w:rsid w:val="66B141AA"/>
    <w:rsid w:val="66D449CF"/>
    <w:rsid w:val="66E71A47"/>
    <w:rsid w:val="671F124A"/>
    <w:rsid w:val="67446533"/>
    <w:rsid w:val="675016AD"/>
    <w:rsid w:val="676254A4"/>
    <w:rsid w:val="677A33C6"/>
    <w:rsid w:val="67D363A2"/>
    <w:rsid w:val="67D95381"/>
    <w:rsid w:val="67E57B10"/>
    <w:rsid w:val="67EB5240"/>
    <w:rsid w:val="67EF2937"/>
    <w:rsid w:val="67F45FB1"/>
    <w:rsid w:val="68025295"/>
    <w:rsid w:val="68026250"/>
    <w:rsid w:val="681F6961"/>
    <w:rsid w:val="683A6742"/>
    <w:rsid w:val="68610A2F"/>
    <w:rsid w:val="686F6420"/>
    <w:rsid w:val="68701E42"/>
    <w:rsid w:val="68805514"/>
    <w:rsid w:val="689C6793"/>
    <w:rsid w:val="68C83A2C"/>
    <w:rsid w:val="68EE1667"/>
    <w:rsid w:val="68F14DB5"/>
    <w:rsid w:val="69070247"/>
    <w:rsid w:val="69140A20"/>
    <w:rsid w:val="691517E4"/>
    <w:rsid w:val="691F3B13"/>
    <w:rsid w:val="69316E2F"/>
    <w:rsid w:val="6933534A"/>
    <w:rsid w:val="69414646"/>
    <w:rsid w:val="694E2071"/>
    <w:rsid w:val="69766163"/>
    <w:rsid w:val="697802E0"/>
    <w:rsid w:val="697A3B33"/>
    <w:rsid w:val="699E714C"/>
    <w:rsid w:val="699F0B6B"/>
    <w:rsid w:val="69A43F48"/>
    <w:rsid w:val="69C73CE4"/>
    <w:rsid w:val="69D44760"/>
    <w:rsid w:val="69E50B3A"/>
    <w:rsid w:val="69EB029B"/>
    <w:rsid w:val="6A0445F0"/>
    <w:rsid w:val="6A520EC7"/>
    <w:rsid w:val="6A5710F3"/>
    <w:rsid w:val="6A68712F"/>
    <w:rsid w:val="6A8D05A0"/>
    <w:rsid w:val="6ABE4573"/>
    <w:rsid w:val="6AE8261D"/>
    <w:rsid w:val="6AF57C8C"/>
    <w:rsid w:val="6AF87E20"/>
    <w:rsid w:val="6AFC176B"/>
    <w:rsid w:val="6B0B1692"/>
    <w:rsid w:val="6B105BD0"/>
    <w:rsid w:val="6B166CD1"/>
    <w:rsid w:val="6B170F37"/>
    <w:rsid w:val="6B2757F1"/>
    <w:rsid w:val="6B2A63D6"/>
    <w:rsid w:val="6B322639"/>
    <w:rsid w:val="6B4C4AE6"/>
    <w:rsid w:val="6B535628"/>
    <w:rsid w:val="6B535D1B"/>
    <w:rsid w:val="6B6D6D93"/>
    <w:rsid w:val="6B797C97"/>
    <w:rsid w:val="6B9D4CFC"/>
    <w:rsid w:val="6B9F6CC6"/>
    <w:rsid w:val="6BC50FDA"/>
    <w:rsid w:val="6BCF02CD"/>
    <w:rsid w:val="6BDF5315"/>
    <w:rsid w:val="6C381594"/>
    <w:rsid w:val="6C636C38"/>
    <w:rsid w:val="6C9C2E87"/>
    <w:rsid w:val="6CA248BD"/>
    <w:rsid w:val="6CBA1C8C"/>
    <w:rsid w:val="6CBA6410"/>
    <w:rsid w:val="6CC268D7"/>
    <w:rsid w:val="6CD23F50"/>
    <w:rsid w:val="6D293E7A"/>
    <w:rsid w:val="6D2F7BD6"/>
    <w:rsid w:val="6D4C4C2C"/>
    <w:rsid w:val="6DA2542F"/>
    <w:rsid w:val="6DB34098"/>
    <w:rsid w:val="6DB545B6"/>
    <w:rsid w:val="6DD212A7"/>
    <w:rsid w:val="6DE02FB4"/>
    <w:rsid w:val="6DF260F8"/>
    <w:rsid w:val="6DFA6436"/>
    <w:rsid w:val="6E2E57DF"/>
    <w:rsid w:val="6E3D4902"/>
    <w:rsid w:val="6E4B4084"/>
    <w:rsid w:val="6E514CED"/>
    <w:rsid w:val="6E6828A9"/>
    <w:rsid w:val="6E9E061F"/>
    <w:rsid w:val="6EB563D5"/>
    <w:rsid w:val="6EBA4CB3"/>
    <w:rsid w:val="6EC73688"/>
    <w:rsid w:val="6EC9320D"/>
    <w:rsid w:val="6ED5083E"/>
    <w:rsid w:val="6ED924EF"/>
    <w:rsid w:val="6ED92677"/>
    <w:rsid w:val="6F1156CC"/>
    <w:rsid w:val="6F214FC3"/>
    <w:rsid w:val="6F225983"/>
    <w:rsid w:val="6F2B261F"/>
    <w:rsid w:val="6F2C5207"/>
    <w:rsid w:val="6F3B2D3A"/>
    <w:rsid w:val="6F3C63C0"/>
    <w:rsid w:val="6F5F3EE0"/>
    <w:rsid w:val="6F676472"/>
    <w:rsid w:val="6F6B4AB9"/>
    <w:rsid w:val="6F74473E"/>
    <w:rsid w:val="6F886237"/>
    <w:rsid w:val="6F9E1043"/>
    <w:rsid w:val="6FA521ED"/>
    <w:rsid w:val="6FD03FAE"/>
    <w:rsid w:val="6FFC5590"/>
    <w:rsid w:val="700B4014"/>
    <w:rsid w:val="701C726D"/>
    <w:rsid w:val="702D7E69"/>
    <w:rsid w:val="703462F3"/>
    <w:rsid w:val="703A0AFE"/>
    <w:rsid w:val="706D1DD0"/>
    <w:rsid w:val="70856B87"/>
    <w:rsid w:val="70860455"/>
    <w:rsid w:val="70AD5763"/>
    <w:rsid w:val="70BB7EBB"/>
    <w:rsid w:val="70CD02BD"/>
    <w:rsid w:val="70D527EE"/>
    <w:rsid w:val="70DC68F1"/>
    <w:rsid w:val="70E129EA"/>
    <w:rsid w:val="710D6480"/>
    <w:rsid w:val="71162540"/>
    <w:rsid w:val="715B5300"/>
    <w:rsid w:val="715B7BFD"/>
    <w:rsid w:val="71916308"/>
    <w:rsid w:val="71956476"/>
    <w:rsid w:val="719D0AE2"/>
    <w:rsid w:val="71C40F54"/>
    <w:rsid w:val="71C86406"/>
    <w:rsid w:val="71D27F8A"/>
    <w:rsid w:val="71D65C41"/>
    <w:rsid w:val="71E511AB"/>
    <w:rsid w:val="71F3502F"/>
    <w:rsid w:val="720D3028"/>
    <w:rsid w:val="720F447A"/>
    <w:rsid w:val="72553024"/>
    <w:rsid w:val="72581B15"/>
    <w:rsid w:val="725B146D"/>
    <w:rsid w:val="72605A1C"/>
    <w:rsid w:val="726245AA"/>
    <w:rsid w:val="729A3797"/>
    <w:rsid w:val="729D55E2"/>
    <w:rsid w:val="729E0A00"/>
    <w:rsid w:val="72A81BF6"/>
    <w:rsid w:val="72AC5DEC"/>
    <w:rsid w:val="72BE1FC1"/>
    <w:rsid w:val="73122968"/>
    <w:rsid w:val="731B42E8"/>
    <w:rsid w:val="731F5D5E"/>
    <w:rsid w:val="73260050"/>
    <w:rsid w:val="73364680"/>
    <w:rsid w:val="7366593F"/>
    <w:rsid w:val="738A6720"/>
    <w:rsid w:val="73B372FF"/>
    <w:rsid w:val="73BD51B3"/>
    <w:rsid w:val="73C51AD5"/>
    <w:rsid w:val="73D62EFE"/>
    <w:rsid w:val="73E16E49"/>
    <w:rsid w:val="73EB45F0"/>
    <w:rsid w:val="740B4F9D"/>
    <w:rsid w:val="740F6E0E"/>
    <w:rsid w:val="741E793C"/>
    <w:rsid w:val="74514836"/>
    <w:rsid w:val="745E3944"/>
    <w:rsid w:val="746731C5"/>
    <w:rsid w:val="746A386C"/>
    <w:rsid w:val="748163B3"/>
    <w:rsid w:val="74842BFC"/>
    <w:rsid w:val="748A428C"/>
    <w:rsid w:val="748E414E"/>
    <w:rsid w:val="7499627D"/>
    <w:rsid w:val="74B675E5"/>
    <w:rsid w:val="74E05E61"/>
    <w:rsid w:val="75046BAE"/>
    <w:rsid w:val="752E0831"/>
    <w:rsid w:val="753B54F0"/>
    <w:rsid w:val="756C0561"/>
    <w:rsid w:val="757D25B4"/>
    <w:rsid w:val="75800C68"/>
    <w:rsid w:val="75A923CE"/>
    <w:rsid w:val="75BC41FA"/>
    <w:rsid w:val="75D05CCE"/>
    <w:rsid w:val="75EF20B7"/>
    <w:rsid w:val="75EF7FE9"/>
    <w:rsid w:val="76114604"/>
    <w:rsid w:val="7635099D"/>
    <w:rsid w:val="763628A7"/>
    <w:rsid w:val="763B04FD"/>
    <w:rsid w:val="763C0D8D"/>
    <w:rsid w:val="763E2648"/>
    <w:rsid w:val="76583251"/>
    <w:rsid w:val="765A3416"/>
    <w:rsid w:val="76716610"/>
    <w:rsid w:val="76A16046"/>
    <w:rsid w:val="76B25651"/>
    <w:rsid w:val="76F459ED"/>
    <w:rsid w:val="770D1C71"/>
    <w:rsid w:val="77181CE9"/>
    <w:rsid w:val="771F416D"/>
    <w:rsid w:val="7723445D"/>
    <w:rsid w:val="774F4C86"/>
    <w:rsid w:val="77762421"/>
    <w:rsid w:val="77955421"/>
    <w:rsid w:val="77980A6E"/>
    <w:rsid w:val="77B56B1F"/>
    <w:rsid w:val="77C17FC5"/>
    <w:rsid w:val="77C71A27"/>
    <w:rsid w:val="77C71BAD"/>
    <w:rsid w:val="77D01900"/>
    <w:rsid w:val="77D978CD"/>
    <w:rsid w:val="780F09F4"/>
    <w:rsid w:val="78146346"/>
    <w:rsid w:val="78147BBF"/>
    <w:rsid w:val="7824158D"/>
    <w:rsid w:val="78615304"/>
    <w:rsid w:val="78986F77"/>
    <w:rsid w:val="78A90480"/>
    <w:rsid w:val="78AE7C3D"/>
    <w:rsid w:val="78E26444"/>
    <w:rsid w:val="79125C43"/>
    <w:rsid w:val="79202912"/>
    <w:rsid w:val="79233D2D"/>
    <w:rsid w:val="792478CA"/>
    <w:rsid w:val="79272AC6"/>
    <w:rsid w:val="795E2F6A"/>
    <w:rsid w:val="7975442E"/>
    <w:rsid w:val="798D58F3"/>
    <w:rsid w:val="79B5100C"/>
    <w:rsid w:val="79B577B4"/>
    <w:rsid w:val="79D375E5"/>
    <w:rsid w:val="79D70EA4"/>
    <w:rsid w:val="79F24465"/>
    <w:rsid w:val="79F5163C"/>
    <w:rsid w:val="7A044C7C"/>
    <w:rsid w:val="7A0B6A0F"/>
    <w:rsid w:val="7A0F01B1"/>
    <w:rsid w:val="7A1845EE"/>
    <w:rsid w:val="7A24370C"/>
    <w:rsid w:val="7A364017"/>
    <w:rsid w:val="7A39347C"/>
    <w:rsid w:val="7A3A38FF"/>
    <w:rsid w:val="7A5A025C"/>
    <w:rsid w:val="7A813A3B"/>
    <w:rsid w:val="7A8265E1"/>
    <w:rsid w:val="7AC027B5"/>
    <w:rsid w:val="7ACC376D"/>
    <w:rsid w:val="7B4909FD"/>
    <w:rsid w:val="7B512E8E"/>
    <w:rsid w:val="7B59095D"/>
    <w:rsid w:val="7B686D42"/>
    <w:rsid w:val="7B841746"/>
    <w:rsid w:val="7B8C602F"/>
    <w:rsid w:val="7B94601E"/>
    <w:rsid w:val="7B965ED6"/>
    <w:rsid w:val="7BB36ED2"/>
    <w:rsid w:val="7BD5403F"/>
    <w:rsid w:val="7BF17930"/>
    <w:rsid w:val="7C49114F"/>
    <w:rsid w:val="7C66650D"/>
    <w:rsid w:val="7C6C5AC7"/>
    <w:rsid w:val="7C7B3F5E"/>
    <w:rsid w:val="7CA87DEB"/>
    <w:rsid w:val="7CC02835"/>
    <w:rsid w:val="7CC21985"/>
    <w:rsid w:val="7CC6544B"/>
    <w:rsid w:val="7CCB1F54"/>
    <w:rsid w:val="7CD82038"/>
    <w:rsid w:val="7CE41794"/>
    <w:rsid w:val="7D0239FF"/>
    <w:rsid w:val="7D052A0C"/>
    <w:rsid w:val="7D0831F9"/>
    <w:rsid w:val="7D171AF4"/>
    <w:rsid w:val="7D1F73D2"/>
    <w:rsid w:val="7D28155C"/>
    <w:rsid w:val="7D3A4FDA"/>
    <w:rsid w:val="7D3D1598"/>
    <w:rsid w:val="7D4067C0"/>
    <w:rsid w:val="7D5D5C27"/>
    <w:rsid w:val="7D5E40CD"/>
    <w:rsid w:val="7D6438CC"/>
    <w:rsid w:val="7D6F6351"/>
    <w:rsid w:val="7D735F23"/>
    <w:rsid w:val="7D7B2B9E"/>
    <w:rsid w:val="7D823D52"/>
    <w:rsid w:val="7D8E0949"/>
    <w:rsid w:val="7D9D40C2"/>
    <w:rsid w:val="7DBB54B6"/>
    <w:rsid w:val="7DCD56F2"/>
    <w:rsid w:val="7DE411E5"/>
    <w:rsid w:val="7DE95B7F"/>
    <w:rsid w:val="7DF0493A"/>
    <w:rsid w:val="7DFC1A33"/>
    <w:rsid w:val="7E09208C"/>
    <w:rsid w:val="7E1A01D8"/>
    <w:rsid w:val="7E2127BA"/>
    <w:rsid w:val="7E380949"/>
    <w:rsid w:val="7E4422CE"/>
    <w:rsid w:val="7E4A3282"/>
    <w:rsid w:val="7E5259DD"/>
    <w:rsid w:val="7E6873EC"/>
    <w:rsid w:val="7E780003"/>
    <w:rsid w:val="7E9A755F"/>
    <w:rsid w:val="7EA26FD4"/>
    <w:rsid w:val="7EAC5EA4"/>
    <w:rsid w:val="7EBB27AA"/>
    <w:rsid w:val="7EE60311"/>
    <w:rsid w:val="7EFA6281"/>
    <w:rsid w:val="7F001CE7"/>
    <w:rsid w:val="7F2738DA"/>
    <w:rsid w:val="7F583B5A"/>
    <w:rsid w:val="7F62208D"/>
    <w:rsid w:val="7F626C29"/>
    <w:rsid w:val="7F667108"/>
    <w:rsid w:val="7F7E679B"/>
    <w:rsid w:val="7F840255"/>
    <w:rsid w:val="7F8E2E82"/>
    <w:rsid w:val="7F8F09A8"/>
    <w:rsid w:val="7FB16B71"/>
    <w:rsid w:val="7FBA2305"/>
    <w:rsid w:val="7FC71EF0"/>
    <w:rsid w:val="7FE47E50"/>
    <w:rsid w:val="7FEC0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1"/>
    <w:autoRedefine/>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autoRedefine/>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5">
    <w:name w:val="Note Heading"/>
    <w:basedOn w:val="1"/>
    <w:next w:val="1"/>
    <w:autoRedefine/>
    <w:qFormat/>
    <w:locked/>
    <w:uiPriority w:val="0"/>
    <w:pPr>
      <w:adjustRightInd w:val="0"/>
      <w:spacing w:line="360" w:lineRule="auto"/>
      <w:jc w:val="center"/>
    </w:pPr>
    <w:rPr>
      <w:szCs w:val="24"/>
    </w:rPr>
  </w:style>
  <w:style w:type="paragraph" w:styleId="6">
    <w:name w:val="Normal Indent"/>
    <w:basedOn w:val="1"/>
    <w:next w:val="1"/>
    <w:link w:val="59"/>
    <w:autoRedefine/>
    <w:qFormat/>
    <w:locked/>
    <w:uiPriority w:val="0"/>
    <w:pPr>
      <w:ind w:firstLine="420"/>
    </w:pPr>
    <w:rPr>
      <w:rFonts w:ascii="Calibri" w:hAnsi="Calibri"/>
      <w:szCs w:val="20"/>
    </w:rPr>
  </w:style>
  <w:style w:type="paragraph" w:styleId="7">
    <w:name w:val="annotation text"/>
    <w:basedOn w:val="1"/>
    <w:link w:val="42"/>
    <w:autoRedefine/>
    <w:qFormat/>
    <w:uiPriority w:val="0"/>
    <w:pPr>
      <w:jc w:val="left"/>
    </w:pPr>
    <w:rPr>
      <w:kern w:val="0"/>
      <w:sz w:val="24"/>
      <w:szCs w:val="20"/>
    </w:rPr>
  </w:style>
  <w:style w:type="paragraph" w:styleId="8">
    <w:name w:val="Body Text"/>
    <w:basedOn w:val="1"/>
    <w:next w:val="9"/>
    <w:link w:val="41"/>
    <w:autoRedefine/>
    <w:qFormat/>
    <w:uiPriority w:val="0"/>
    <w:pPr>
      <w:widowControl/>
      <w:snapToGrid w:val="0"/>
      <w:spacing w:before="60" w:after="160" w:line="259" w:lineRule="auto"/>
      <w:ind w:right="113"/>
    </w:pPr>
    <w:rPr>
      <w:kern w:val="0"/>
      <w:sz w:val="18"/>
      <w:szCs w:val="20"/>
    </w:rPr>
  </w:style>
  <w:style w:type="paragraph" w:styleId="9">
    <w:name w:val="List Bullet 5"/>
    <w:basedOn w:val="1"/>
    <w:autoRedefine/>
    <w:qFormat/>
    <w:locked/>
    <w:uiPriority w:val="0"/>
    <w:pPr>
      <w:numPr>
        <w:ilvl w:val="0"/>
        <w:numId w:val="1"/>
      </w:numPr>
    </w:pPr>
  </w:style>
  <w:style w:type="paragraph" w:styleId="10">
    <w:name w:val="Body Text Indent"/>
    <w:basedOn w:val="1"/>
    <w:next w:val="6"/>
    <w:link w:val="50"/>
    <w:autoRedefine/>
    <w:qFormat/>
    <w:uiPriority w:val="0"/>
    <w:pPr>
      <w:spacing w:after="120"/>
      <w:ind w:left="420" w:leftChars="200"/>
    </w:pPr>
    <w:rPr>
      <w:kern w:val="0"/>
      <w:sz w:val="24"/>
      <w:szCs w:val="20"/>
    </w:rPr>
  </w:style>
  <w:style w:type="paragraph" w:styleId="11">
    <w:name w:val="Block Text"/>
    <w:basedOn w:val="1"/>
    <w:autoRedefine/>
    <w:qFormat/>
    <w:locked/>
    <w:uiPriority w:val="0"/>
    <w:pPr>
      <w:spacing w:after="120"/>
      <w:ind w:left="1440" w:leftChars="700" w:right="1440" w:rightChars="700"/>
    </w:pPr>
    <w:rPr>
      <w:rFonts w:ascii="Calibri" w:hAnsi="Calibri"/>
      <w:szCs w:val="20"/>
    </w:rPr>
  </w:style>
  <w:style w:type="paragraph" w:styleId="12">
    <w:name w:val="Plain Text"/>
    <w:basedOn w:val="1"/>
    <w:next w:val="13"/>
    <w:link w:val="62"/>
    <w:autoRedefine/>
    <w:qFormat/>
    <w:locked/>
    <w:uiPriority w:val="0"/>
    <w:rPr>
      <w:rFonts w:ascii="宋体" w:hAnsi="Courier New"/>
      <w:szCs w:val="20"/>
    </w:rPr>
  </w:style>
  <w:style w:type="paragraph" w:styleId="13">
    <w:name w:val="toc 1"/>
    <w:basedOn w:val="1"/>
    <w:next w:val="1"/>
    <w:autoRedefine/>
    <w:qFormat/>
    <w:locked/>
    <w:uiPriority w:val="39"/>
    <w:pPr>
      <w:spacing w:before="120" w:after="120"/>
      <w:jc w:val="left"/>
    </w:pPr>
    <w:rPr>
      <w:rFonts w:ascii="Calibri" w:hAnsi="Calibri"/>
      <w:b/>
      <w:bCs/>
      <w:caps/>
      <w:sz w:val="20"/>
      <w:szCs w:val="20"/>
    </w:rPr>
  </w:style>
  <w:style w:type="paragraph" w:styleId="14">
    <w:name w:val="Date"/>
    <w:basedOn w:val="1"/>
    <w:next w:val="1"/>
    <w:link w:val="37"/>
    <w:autoRedefine/>
    <w:qFormat/>
    <w:uiPriority w:val="0"/>
    <w:pPr>
      <w:ind w:left="100" w:leftChars="2500"/>
    </w:pPr>
    <w:rPr>
      <w:kern w:val="0"/>
      <w:sz w:val="24"/>
      <w:szCs w:val="20"/>
    </w:rPr>
  </w:style>
  <w:style w:type="paragraph" w:styleId="15">
    <w:name w:val="Body Text Indent 2"/>
    <w:basedOn w:val="1"/>
    <w:link w:val="63"/>
    <w:autoRedefine/>
    <w:qFormat/>
    <w:locked/>
    <w:uiPriority w:val="0"/>
    <w:pPr>
      <w:spacing w:line="500" w:lineRule="exact"/>
      <w:ind w:firstLine="480" w:firstLineChars="200"/>
    </w:pPr>
    <w:rPr>
      <w:rFonts w:ascii="宋体" w:hAnsi="Calibri"/>
      <w:bCs/>
      <w:sz w:val="24"/>
      <w:szCs w:val="20"/>
    </w:rPr>
  </w:style>
  <w:style w:type="paragraph" w:styleId="16">
    <w:name w:val="Balloon Text"/>
    <w:basedOn w:val="1"/>
    <w:link w:val="46"/>
    <w:autoRedefine/>
    <w:qFormat/>
    <w:uiPriority w:val="0"/>
    <w:rPr>
      <w:kern w:val="0"/>
      <w:sz w:val="18"/>
      <w:szCs w:val="20"/>
    </w:rPr>
  </w:style>
  <w:style w:type="paragraph" w:styleId="17">
    <w:name w:val="footer"/>
    <w:basedOn w:val="1"/>
    <w:link w:val="36"/>
    <w:autoRedefine/>
    <w:qFormat/>
    <w:uiPriority w:val="99"/>
    <w:pPr>
      <w:tabs>
        <w:tab w:val="center" w:pos="4153"/>
        <w:tab w:val="right" w:pos="8306"/>
      </w:tabs>
      <w:snapToGrid w:val="0"/>
      <w:jc w:val="left"/>
    </w:pPr>
    <w:rPr>
      <w:kern w:val="0"/>
      <w:sz w:val="18"/>
      <w:szCs w:val="20"/>
    </w:rPr>
  </w:style>
  <w:style w:type="paragraph" w:styleId="18">
    <w:name w:val="header"/>
    <w:basedOn w:val="1"/>
    <w:link w:val="48"/>
    <w:autoRedefine/>
    <w:qFormat/>
    <w:uiPriority w:val="0"/>
    <w:pPr>
      <w:tabs>
        <w:tab w:val="center" w:pos="4153"/>
        <w:tab w:val="right" w:pos="8306"/>
      </w:tabs>
      <w:snapToGrid w:val="0"/>
      <w:jc w:val="center"/>
    </w:pPr>
    <w:rPr>
      <w:kern w:val="0"/>
      <w:sz w:val="18"/>
      <w:szCs w:val="20"/>
    </w:rPr>
  </w:style>
  <w:style w:type="paragraph" w:styleId="19">
    <w:name w:val="List"/>
    <w:basedOn w:val="1"/>
    <w:autoRedefine/>
    <w:qFormat/>
    <w:locked/>
    <w:uiPriority w:val="0"/>
    <w:pPr>
      <w:spacing w:line="320" w:lineRule="exact"/>
      <w:jc w:val="center"/>
    </w:pPr>
    <w:rPr>
      <w:sz w:val="20"/>
    </w:rPr>
  </w:style>
  <w:style w:type="paragraph" w:styleId="20">
    <w:name w:val="Body Text Indent 3"/>
    <w:basedOn w:val="1"/>
    <w:link w:val="64"/>
    <w:autoRedefine/>
    <w:qFormat/>
    <w:locked/>
    <w:uiPriority w:val="0"/>
    <w:pPr>
      <w:spacing w:line="360" w:lineRule="auto"/>
      <w:ind w:firstLine="471" w:firstLineChars="200"/>
    </w:pPr>
    <w:rPr>
      <w:rFonts w:ascii="宋体" w:hAnsi="宋体"/>
      <w:sz w:val="24"/>
      <w:szCs w:val="20"/>
    </w:rPr>
  </w:style>
  <w:style w:type="paragraph" w:styleId="21">
    <w:name w:val="Body Text 2"/>
    <w:basedOn w:val="1"/>
    <w:link w:val="54"/>
    <w:autoRedefine/>
    <w:qFormat/>
    <w:locked/>
    <w:uiPriority w:val="0"/>
    <w:pPr>
      <w:spacing w:after="120" w:line="480" w:lineRule="auto"/>
    </w:pPr>
  </w:style>
  <w:style w:type="paragraph" w:styleId="22">
    <w:name w:val="Normal (Web)"/>
    <w:basedOn w:val="1"/>
    <w:link w:val="39"/>
    <w:autoRedefine/>
    <w:qFormat/>
    <w:uiPriority w:val="99"/>
    <w:pPr>
      <w:widowControl/>
      <w:spacing w:before="100" w:beforeAutospacing="1" w:after="100" w:afterAutospacing="1"/>
      <w:jc w:val="left"/>
    </w:pPr>
    <w:rPr>
      <w:rFonts w:ascii="宋体" w:hAnsi="宋体"/>
      <w:kern w:val="0"/>
      <w:sz w:val="24"/>
      <w:szCs w:val="20"/>
    </w:rPr>
  </w:style>
  <w:style w:type="paragraph" w:styleId="23">
    <w:name w:val="annotation subject"/>
    <w:basedOn w:val="7"/>
    <w:next w:val="7"/>
    <w:link w:val="47"/>
    <w:autoRedefine/>
    <w:qFormat/>
    <w:uiPriority w:val="0"/>
    <w:rPr>
      <w:b/>
    </w:rPr>
  </w:style>
  <w:style w:type="paragraph" w:styleId="24">
    <w:name w:val="Body Text First Indent 2"/>
    <w:basedOn w:val="10"/>
    <w:next w:val="25"/>
    <w:link w:val="65"/>
    <w:autoRedefine/>
    <w:qFormat/>
    <w:locked/>
    <w:uiPriority w:val="0"/>
    <w:pPr>
      <w:ind w:firstLine="420" w:firstLineChars="200"/>
    </w:pPr>
    <w:rPr>
      <w:rFonts w:ascii="Calibri" w:hAnsi="Calibri" w:eastAsia="楷体_GB2312"/>
      <w:color w:val="000000"/>
      <w:kern w:val="2"/>
      <w:sz w:val="21"/>
    </w:rPr>
  </w:style>
  <w:style w:type="paragraph" w:customStyle="1" w:styleId="25">
    <w:name w:val="Default"/>
    <w:basedOn w:val="26"/>
    <w:autoRedefine/>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26">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autoRedefine/>
    <w:qFormat/>
    <w:locked/>
    <w:uiPriority w:val="0"/>
    <w:rPr>
      <w:rFonts w:ascii="Times New Roman" w:hAnsi="Times New Roman" w:eastAsia="宋体" w:cs="Times New Roman"/>
      <w:b/>
      <w:bCs/>
    </w:rPr>
  </w:style>
  <w:style w:type="character" w:styleId="31">
    <w:name w:val="page number"/>
    <w:basedOn w:val="29"/>
    <w:autoRedefine/>
    <w:qFormat/>
    <w:locked/>
    <w:uiPriority w:val="0"/>
  </w:style>
  <w:style w:type="character" w:styleId="32">
    <w:name w:val="Emphasis"/>
    <w:basedOn w:val="29"/>
    <w:autoRedefine/>
    <w:qFormat/>
    <w:locked/>
    <w:uiPriority w:val="0"/>
    <w:rPr>
      <w:i/>
    </w:rPr>
  </w:style>
  <w:style w:type="character" w:styleId="33">
    <w:name w:val="Hyperlink"/>
    <w:basedOn w:val="29"/>
    <w:autoRedefine/>
    <w:unhideWhenUsed/>
    <w:qFormat/>
    <w:locked/>
    <w:uiPriority w:val="99"/>
    <w:rPr>
      <w:color w:val="0000FF"/>
      <w:u w:val="single"/>
    </w:rPr>
  </w:style>
  <w:style w:type="character" w:styleId="34">
    <w:name w:val="annotation reference"/>
    <w:autoRedefine/>
    <w:qFormat/>
    <w:uiPriority w:val="0"/>
    <w:rPr>
      <w:sz w:val="21"/>
    </w:rPr>
  </w:style>
  <w:style w:type="paragraph" w:customStyle="1" w:styleId="35">
    <w:name w:val="BlockQuote"/>
    <w:basedOn w:val="1"/>
    <w:autoRedefine/>
    <w:qFormat/>
    <w:uiPriority w:val="0"/>
    <w:pPr>
      <w:widowControl/>
      <w:spacing w:line="300" w:lineRule="exact"/>
      <w:ind w:left="-96" w:leftChars="-40" w:right="-16" w:firstLine="482" w:firstLineChars="200"/>
      <w:textAlignment w:val="baseline"/>
    </w:pPr>
    <w:rPr>
      <w:rFonts w:ascii="宋体" w:hAnsi="宋体" w:eastAsia="仿宋_GB2312"/>
      <w:sz w:val="28"/>
    </w:rPr>
  </w:style>
  <w:style w:type="character" w:customStyle="1" w:styleId="36">
    <w:name w:val="页脚 字符1"/>
    <w:link w:val="17"/>
    <w:autoRedefine/>
    <w:qFormat/>
    <w:locked/>
    <w:uiPriority w:val="99"/>
    <w:rPr>
      <w:sz w:val="18"/>
    </w:rPr>
  </w:style>
  <w:style w:type="character" w:customStyle="1" w:styleId="37">
    <w:name w:val="日期 字符1"/>
    <w:link w:val="14"/>
    <w:autoRedefine/>
    <w:qFormat/>
    <w:locked/>
    <w:uiPriority w:val="0"/>
    <w:rPr>
      <w:rFonts w:ascii="Times New Roman" w:hAnsi="Times New Roman" w:eastAsia="宋体"/>
      <w:sz w:val="24"/>
    </w:rPr>
  </w:style>
  <w:style w:type="character" w:customStyle="1" w:styleId="38">
    <w:name w:val="页脚 字符"/>
    <w:basedOn w:val="29"/>
    <w:autoRedefine/>
    <w:qFormat/>
    <w:uiPriority w:val="99"/>
  </w:style>
  <w:style w:type="character" w:customStyle="1" w:styleId="39">
    <w:name w:val="普通(网站) 字符"/>
    <w:link w:val="22"/>
    <w:autoRedefine/>
    <w:qFormat/>
    <w:locked/>
    <w:uiPriority w:val="0"/>
    <w:rPr>
      <w:rFonts w:ascii="宋体" w:hAnsi="宋体" w:eastAsia="宋体"/>
      <w:sz w:val="24"/>
    </w:rPr>
  </w:style>
  <w:style w:type="character" w:customStyle="1" w:styleId="40">
    <w:name w:val="正文文本 字符1"/>
    <w:autoRedefine/>
    <w:semiHidden/>
    <w:qFormat/>
    <w:uiPriority w:val="0"/>
    <w:rPr>
      <w:rFonts w:ascii="Times New Roman" w:hAnsi="Times New Roman" w:eastAsia="宋体"/>
      <w:sz w:val="24"/>
    </w:rPr>
  </w:style>
  <w:style w:type="character" w:customStyle="1" w:styleId="41">
    <w:name w:val="正文文本 字符"/>
    <w:link w:val="8"/>
    <w:autoRedefine/>
    <w:qFormat/>
    <w:locked/>
    <w:uiPriority w:val="0"/>
    <w:rPr>
      <w:sz w:val="18"/>
    </w:rPr>
  </w:style>
  <w:style w:type="character" w:customStyle="1" w:styleId="42">
    <w:name w:val="批注文字 字符"/>
    <w:link w:val="7"/>
    <w:autoRedefine/>
    <w:qFormat/>
    <w:locked/>
    <w:uiPriority w:val="0"/>
    <w:rPr>
      <w:rFonts w:ascii="Times New Roman" w:hAnsi="Times New Roman" w:eastAsia="宋体"/>
      <w:sz w:val="24"/>
    </w:rPr>
  </w:style>
  <w:style w:type="character" w:customStyle="1" w:styleId="43">
    <w:name w:val="表格 Char"/>
    <w:link w:val="44"/>
    <w:autoRedefine/>
    <w:qFormat/>
    <w:locked/>
    <w:uiPriority w:val="0"/>
    <w:rPr>
      <w:rFonts w:ascii="宋体"/>
      <w:sz w:val="21"/>
    </w:rPr>
  </w:style>
  <w:style w:type="paragraph" w:customStyle="1" w:styleId="44">
    <w:name w:val="表格"/>
    <w:basedOn w:val="1"/>
    <w:next w:val="1"/>
    <w:link w:val="43"/>
    <w:autoRedefine/>
    <w:qFormat/>
    <w:uiPriority w:val="0"/>
    <w:pPr>
      <w:adjustRightInd w:val="0"/>
      <w:snapToGrid w:val="0"/>
      <w:spacing w:beforeLines="10" w:afterLines="10" w:line="259" w:lineRule="auto"/>
      <w:jc w:val="center"/>
    </w:pPr>
    <w:rPr>
      <w:rFonts w:ascii="宋体"/>
      <w:kern w:val="0"/>
      <w:szCs w:val="20"/>
    </w:rPr>
  </w:style>
  <w:style w:type="character" w:customStyle="1" w:styleId="45">
    <w:name w:val="日期 字符"/>
    <w:autoRedefine/>
    <w:semiHidden/>
    <w:qFormat/>
    <w:uiPriority w:val="0"/>
    <w:rPr>
      <w:rFonts w:ascii="Times New Roman" w:hAnsi="Times New Roman" w:eastAsia="宋体"/>
      <w:sz w:val="24"/>
    </w:rPr>
  </w:style>
  <w:style w:type="character" w:customStyle="1" w:styleId="46">
    <w:name w:val="批注框文本 字符"/>
    <w:link w:val="16"/>
    <w:autoRedefine/>
    <w:semiHidden/>
    <w:qFormat/>
    <w:locked/>
    <w:uiPriority w:val="0"/>
    <w:rPr>
      <w:rFonts w:ascii="Times New Roman" w:hAnsi="Times New Roman" w:eastAsia="宋体"/>
      <w:sz w:val="18"/>
    </w:rPr>
  </w:style>
  <w:style w:type="character" w:customStyle="1" w:styleId="47">
    <w:name w:val="批注主题 字符"/>
    <w:link w:val="23"/>
    <w:autoRedefine/>
    <w:semiHidden/>
    <w:qFormat/>
    <w:locked/>
    <w:uiPriority w:val="0"/>
    <w:rPr>
      <w:rFonts w:ascii="Times New Roman" w:hAnsi="Times New Roman" w:eastAsia="宋体"/>
      <w:b/>
      <w:kern w:val="2"/>
      <w:sz w:val="24"/>
    </w:rPr>
  </w:style>
  <w:style w:type="character" w:customStyle="1" w:styleId="48">
    <w:name w:val="页眉 字符"/>
    <w:link w:val="18"/>
    <w:autoRedefine/>
    <w:qFormat/>
    <w:locked/>
    <w:uiPriority w:val="0"/>
    <w:rPr>
      <w:sz w:val="18"/>
    </w:rPr>
  </w:style>
  <w:style w:type="character" w:customStyle="1" w:styleId="49">
    <w:name w:val="批注文字 字符1"/>
    <w:autoRedefine/>
    <w:semiHidden/>
    <w:qFormat/>
    <w:uiPriority w:val="0"/>
    <w:rPr>
      <w:rFonts w:ascii="Times New Roman" w:hAnsi="Times New Roman" w:eastAsia="宋体"/>
      <w:sz w:val="24"/>
    </w:rPr>
  </w:style>
  <w:style w:type="character" w:customStyle="1" w:styleId="50">
    <w:name w:val="正文文本缩进 字符"/>
    <w:link w:val="10"/>
    <w:autoRedefine/>
    <w:semiHidden/>
    <w:qFormat/>
    <w:locked/>
    <w:uiPriority w:val="0"/>
    <w:rPr>
      <w:rFonts w:ascii="Times New Roman" w:hAnsi="Times New Roman" w:eastAsia="宋体"/>
      <w:sz w:val="24"/>
    </w:rPr>
  </w:style>
  <w:style w:type="paragraph" w:customStyle="1" w:styleId="51">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3">
    <w:name w:val="表格内文字"/>
    <w:basedOn w:val="1"/>
    <w:autoRedefine/>
    <w:qFormat/>
    <w:uiPriority w:val="0"/>
    <w:pPr>
      <w:widowControl/>
      <w:tabs>
        <w:tab w:val="left" w:pos="0"/>
      </w:tabs>
      <w:snapToGrid w:val="0"/>
      <w:jc w:val="center"/>
    </w:pPr>
    <w:rPr>
      <w:rFonts w:ascii="仿宋_GB2312" w:hAnsi="宋体" w:eastAsia="仿宋_GB2312" w:cs="宋体"/>
      <w:w w:val="90"/>
      <w:kern w:val="18"/>
      <w:sz w:val="24"/>
    </w:rPr>
  </w:style>
  <w:style w:type="character" w:customStyle="1" w:styleId="54">
    <w:name w:val="正文文本 2 字符"/>
    <w:basedOn w:val="29"/>
    <w:link w:val="21"/>
    <w:autoRedefine/>
    <w:qFormat/>
    <w:uiPriority w:val="0"/>
    <w:rPr>
      <w:kern w:val="2"/>
      <w:sz w:val="21"/>
      <w:szCs w:val="24"/>
    </w:rPr>
  </w:style>
  <w:style w:type="character" w:customStyle="1" w:styleId="55">
    <w:name w:val="批注文字 Char"/>
    <w:basedOn w:val="29"/>
    <w:autoRedefine/>
    <w:qFormat/>
    <w:uiPriority w:val="0"/>
    <w:rPr>
      <w:rFonts w:ascii="Calibri" w:hAnsi="Calibri"/>
      <w:kern w:val="2"/>
      <w:sz w:val="21"/>
    </w:rPr>
  </w:style>
  <w:style w:type="paragraph" w:customStyle="1" w:styleId="56">
    <w:name w:val="Table Paragraph"/>
    <w:basedOn w:val="1"/>
    <w:autoRedefine/>
    <w:qFormat/>
    <w:uiPriority w:val="1"/>
    <w:pPr>
      <w:autoSpaceDE w:val="0"/>
      <w:autoSpaceDN w:val="0"/>
      <w:adjustRightInd w:val="0"/>
      <w:jc w:val="left"/>
    </w:pPr>
    <w:rPr>
      <w:rFonts w:ascii="Calibri" w:hAnsi="Calibri"/>
      <w:kern w:val="0"/>
      <w:sz w:val="24"/>
    </w:rPr>
  </w:style>
  <w:style w:type="paragraph" w:customStyle="1" w:styleId="57">
    <w:name w:val="图表文字"/>
    <w:basedOn w:val="1"/>
    <w:link w:val="60"/>
    <w:autoRedefine/>
    <w:qFormat/>
    <w:uiPriority w:val="0"/>
    <w:pPr>
      <w:spacing w:line="300" w:lineRule="exact"/>
      <w:jc w:val="center"/>
    </w:pPr>
    <w:rPr>
      <w:rFonts w:ascii="Calibri" w:hAnsi="Calibri"/>
      <w:bCs/>
      <w:szCs w:val="20"/>
    </w:rPr>
  </w:style>
  <w:style w:type="paragraph" w:customStyle="1" w:styleId="58">
    <w:name w:val="我的样式（正文）"/>
    <w:basedOn w:val="1"/>
    <w:autoRedefine/>
    <w:qFormat/>
    <w:uiPriority w:val="0"/>
    <w:pPr>
      <w:spacing w:line="440" w:lineRule="exact"/>
    </w:pPr>
    <w:rPr>
      <w:rFonts w:ascii="宋体" w:hAnsi="Calibri"/>
      <w:sz w:val="28"/>
    </w:rPr>
  </w:style>
  <w:style w:type="character" w:customStyle="1" w:styleId="59">
    <w:name w:val="正文缩进 字符"/>
    <w:basedOn w:val="29"/>
    <w:link w:val="6"/>
    <w:autoRedefine/>
    <w:qFormat/>
    <w:uiPriority w:val="0"/>
    <w:rPr>
      <w:rFonts w:ascii="Calibri" w:hAnsi="Calibri"/>
      <w:kern w:val="2"/>
      <w:sz w:val="21"/>
    </w:rPr>
  </w:style>
  <w:style w:type="character" w:customStyle="1" w:styleId="60">
    <w:name w:val="图表文字 Char"/>
    <w:link w:val="57"/>
    <w:autoRedefine/>
    <w:qFormat/>
    <w:uiPriority w:val="0"/>
    <w:rPr>
      <w:rFonts w:ascii="Calibri" w:hAnsi="Calibri"/>
      <w:bCs/>
      <w:kern w:val="2"/>
      <w:sz w:val="21"/>
    </w:rPr>
  </w:style>
  <w:style w:type="character" w:customStyle="1" w:styleId="61">
    <w:name w:val="标题 2 字符"/>
    <w:basedOn w:val="29"/>
    <w:link w:val="3"/>
    <w:autoRedefine/>
    <w:semiHidden/>
    <w:qFormat/>
    <w:uiPriority w:val="0"/>
    <w:rPr>
      <w:rFonts w:asciiTheme="majorHAnsi" w:hAnsiTheme="majorHAnsi" w:eastAsiaTheme="majorEastAsia" w:cstheme="majorBidi"/>
      <w:b/>
      <w:bCs/>
      <w:kern w:val="2"/>
      <w:sz w:val="32"/>
      <w:szCs w:val="32"/>
    </w:rPr>
  </w:style>
  <w:style w:type="character" w:customStyle="1" w:styleId="62">
    <w:name w:val="纯文本 字符"/>
    <w:basedOn w:val="29"/>
    <w:link w:val="12"/>
    <w:autoRedefine/>
    <w:qFormat/>
    <w:uiPriority w:val="0"/>
    <w:rPr>
      <w:rFonts w:ascii="宋体" w:hAnsi="Courier New"/>
      <w:kern w:val="2"/>
      <w:sz w:val="21"/>
    </w:rPr>
  </w:style>
  <w:style w:type="character" w:customStyle="1" w:styleId="63">
    <w:name w:val="正文文本缩进 2 字符"/>
    <w:basedOn w:val="29"/>
    <w:link w:val="15"/>
    <w:autoRedefine/>
    <w:qFormat/>
    <w:uiPriority w:val="0"/>
    <w:rPr>
      <w:rFonts w:ascii="宋体" w:hAnsi="Calibri"/>
      <w:bCs/>
      <w:kern w:val="2"/>
      <w:sz w:val="24"/>
    </w:rPr>
  </w:style>
  <w:style w:type="character" w:customStyle="1" w:styleId="64">
    <w:name w:val="正文文本缩进 3 字符"/>
    <w:basedOn w:val="29"/>
    <w:link w:val="20"/>
    <w:autoRedefine/>
    <w:qFormat/>
    <w:uiPriority w:val="0"/>
    <w:rPr>
      <w:rFonts w:ascii="宋体" w:hAnsi="宋体"/>
      <w:kern w:val="2"/>
      <w:sz w:val="24"/>
    </w:rPr>
  </w:style>
  <w:style w:type="character" w:customStyle="1" w:styleId="65">
    <w:name w:val="正文文本首行缩进 2 字符"/>
    <w:basedOn w:val="50"/>
    <w:link w:val="24"/>
    <w:autoRedefine/>
    <w:qFormat/>
    <w:uiPriority w:val="0"/>
    <w:rPr>
      <w:rFonts w:ascii="Calibri" w:hAnsi="Calibri" w:eastAsia="楷体_GB2312"/>
      <w:color w:val="000000"/>
      <w:kern w:val="2"/>
      <w:sz w:val="21"/>
    </w:rPr>
  </w:style>
  <w:style w:type="paragraph" w:customStyle="1" w:styleId="66">
    <w:name w:val="Body Text 21"/>
    <w:basedOn w:val="1"/>
    <w:autoRedefine/>
    <w:qFormat/>
    <w:uiPriority w:val="0"/>
    <w:pPr>
      <w:textAlignment w:val="baseline"/>
    </w:pPr>
    <w:rPr>
      <w:rFonts w:ascii="Calibri" w:hAnsi="Calibri"/>
      <w:color w:val="000000"/>
      <w:sz w:val="24"/>
      <w:szCs w:val="20"/>
    </w:rPr>
  </w:style>
  <w:style w:type="paragraph" w:customStyle="1" w:styleId="67">
    <w:name w:val="图文框"/>
    <w:basedOn w:val="1"/>
    <w:autoRedefine/>
    <w:qFormat/>
    <w:uiPriority w:val="0"/>
    <w:pPr>
      <w:adjustRightInd w:val="0"/>
      <w:snapToGrid w:val="0"/>
      <w:jc w:val="center"/>
    </w:pPr>
    <w:rPr>
      <w:rFonts w:ascii="宋体" w:hAnsi="宋体"/>
      <w:color w:val="000000"/>
      <w:sz w:val="18"/>
    </w:rPr>
  </w:style>
  <w:style w:type="paragraph" w:customStyle="1" w:styleId="68">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69">
    <w:name w:val="p0"/>
    <w:basedOn w:val="1"/>
    <w:autoRedefine/>
    <w:qFormat/>
    <w:uiPriority w:val="0"/>
    <w:pPr>
      <w:widowControl/>
    </w:pPr>
    <w:rPr>
      <w:rFonts w:ascii="Calibri" w:hAnsi="Calibri"/>
      <w:kern w:val="0"/>
      <w:szCs w:val="21"/>
    </w:rPr>
  </w:style>
  <w:style w:type="paragraph" w:customStyle="1" w:styleId="70">
    <w:name w:val="表格文字"/>
    <w:basedOn w:val="1"/>
    <w:autoRedefine/>
    <w:qFormat/>
    <w:uiPriority w:val="0"/>
    <w:pPr>
      <w:adjustRightInd w:val="0"/>
      <w:snapToGrid w:val="0"/>
      <w:jc w:val="center"/>
    </w:pPr>
    <w:rPr>
      <w:rFonts w:ascii="仿宋_GB2312" w:hAnsi="Arial Black" w:eastAsia="仿宋_GB2312"/>
      <w:kern w:val="44"/>
      <w:sz w:val="24"/>
      <w:szCs w:val="20"/>
    </w:rPr>
  </w:style>
  <w:style w:type="paragraph" w:customStyle="1" w:styleId="71">
    <w:name w:val="表格标题"/>
    <w:basedOn w:val="1"/>
    <w:autoRedefine/>
    <w:qFormat/>
    <w:uiPriority w:val="0"/>
    <w:pPr>
      <w:adjustRightInd w:val="0"/>
      <w:spacing w:before="120" w:line="360" w:lineRule="auto"/>
      <w:jc w:val="center"/>
    </w:pPr>
    <w:rPr>
      <w:rFonts w:ascii="Calibri" w:hAnsi="Calibri" w:eastAsia="文鼎CS中宋"/>
      <w:kern w:val="0"/>
      <w:sz w:val="24"/>
      <w:szCs w:val="20"/>
    </w:rPr>
  </w:style>
  <w:style w:type="paragraph" w:customStyle="1" w:styleId="72">
    <w:name w:val="文本框样式"/>
    <w:basedOn w:val="1"/>
    <w:autoRedefine/>
    <w:qFormat/>
    <w:uiPriority w:val="0"/>
    <w:pPr>
      <w:jc w:val="center"/>
    </w:pPr>
    <w:rPr>
      <w:rFonts w:ascii="Calibri" w:hAnsi="Calibri"/>
      <w:szCs w:val="21"/>
    </w:rPr>
  </w:style>
  <w:style w:type="paragraph" w:customStyle="1" w:styleId="73">
    <w:name w:val="图标题"/>
    <w:basedOn w:val="1"/>
    <w:autoRedefine/>
    <w:qFormat/>
    <w:uiPriority w:val="0"/>
    <w:pPr>
      <w:spacing w:line="300" w:lineRule="exact"/>
    </w:pPr>
    <w:rPr>
      <w:rFonts w:ascii="仿宋_GB2312" w:hAnsi="Calibri" w:eastAsia="仿宋_GB2312"/>
      <w:b/>
      <w:bCs/>
      <w:sz w:val="24"/>
    </w:rPr>
  </w:style>
  <w:style w:type="character" w:customStyle="1" w:styleId="74">
    <w:name w:val="font11"/>
    <w:basedOn w:val="29"/>
    <w:autoRedefine/>
    <w:qFormat/>
    <w:uiPriority w:val="0"/>
    <w:rPr>
      <w:rFonts w:hint="eastAsia" w:ascii="宋体" w:hAnsi="宋体" w:eastAsia="宋体" w:cs="宋体"/>
      <w:color w:val="000000"/>
      <w:sz w:val="18"/>
      <w:szCs w:val="18"/>
      <w:u w:val="none"/>
    </w:rPr>
  </w:style>
  <w:style w:type="character" w:customStyle="1" w:styleId="75">
    <w:name w:val="font21"/>
    <w:basedOn w:val="29"/>
    <w:autoRedefine/>
    <w:qFormat/>
    <w:uiPriority w:val="0"/>
    <w:rPr>
      <w:rFonts w:hint="default" w:ascii="TimesNewRomanPSMT" w:hAnsi="TimesNewRomanPSMT" w:eastAsia="TimesNewRomanPSMT" w:cs="TimesNewRomanPSMT"/>
      <w:color w:val="000000"/>
      <w:sz w:val="18"/>
      <w:szCs w:val="18"/>
      <w:u w:val="none"/>
    </w:rPr>
  </w:style>
  <w:style w:type="paragraph" w:customStyle="1" w:styleId="76">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77">
    <w:name w:val="Other|1"/>
    <w:basedOn w:val="1"/>
    <w:autoRedefine/>
    <w:qFormat/>
    <w:uiPriority w:val="0"/>
    <w:rPr>
      <w:rFonts w:ascii="MingLiU" w:hAnsi="MingLiU" w:eastAsia="MingLiU" w:cs="MingLiU"/>
      <w:sz w:val="19"/>
      <w:szCs w:val="19"/>
      <w:lang w:val="zh-TW" w:eastAsia="zh-TW" w:bidi="zh-TW"/>
    </w:rPr>
  </w:style>
  <w:style w:type="paragraph" w:customStyle="1" w:styleId="78">
    <w:name w:val="Body text|1"/>
    <w:basedOn w:val="1"/>
    <w:autoRedefine/>
    <w:qFormat/>
    <w:uiPriority w:val="0"/>
    <w:pPr>
      <w:spacing w:after="180" w:line="413" w:lineRule="auto"/>
    </w:pPr>
    <w:rPr>
      <w:rFonts w:ascii="宋体" w:hAnsi="宋体" w:cs="宋体"/>
      <w:szCs w:val="20"/>
      <w:lang w:val="zh-TW" w:eastAsia="zh-TW" w:bidi="zh-TW"/>
    </w:rPr>
  </w:style>
  <w:style w:type="paragraph" w:customStyle="1" w:styleId="79">
    <w:name w:val="Table caption|1"/>
    <w:basedOn w:val="1"/>
    <w:autoRedefine/>
    <w:qFormat/>
    <w:uiPriority w:val="0"/>
    <w:rPr>
      <w:rFonts w:ascii="MingLiU" w:hAnsi="MingLiU" w:eastAsia="MingLiU" w:cs="MingLiU"/>
      <w:sz w:val="19"/>
      <w:szCs w:val="19"/>
      <w:lang w:val="zh-TW" w:eastAsia="zh-TW" w:bidi="zh-TW"/>
    </w:rPr>
  </w:style>
  <w:style w:type="character" w:customStyle="1" w:styleId="80">
    <w:name w:val="批注框文本 Char"/>
    <w:basedOn w:val="29"/>
    <w:autoRedefine/>
    <w:qFormat/>
    <w:uiPriority w:val="0"/>
    <w:rPr>
      <w:rFonts w:ascii="Calibri" w:hAnsi="Calibri"/>
      <w:kern w:val="2"/>
      <w:sz w:val="18"/>
      <w:szCs w:val="18"/>
    </w:rPr>
  </w:style>
  <w:style w:type="character" w:styleId="81">
    <w:name w:val="Placeholder Text"/>
    <w:basedOn w:val="29"/>
    <w:autoRedefine/>
    <w:unhideWhenUsed/>
    <w:qFormat/>
    <w:uiPriority w:val="99"/>
    <w:rPr>
      <w:color w:val="808080"/>
    </w:rPr>
  </w:style>
  <w:style w:type="paragraph" w:styleId="82">
    <w:name w:val="List Paragraph"/>
    <w:basedOn w:val="1"/>
    <w:autoRedefine/>
    <w:unhideWhenUsed/>
    <w:qFormat/>
    <w:uiPriority w:val="99"/>
    <w:pPr>
      <w:ind w:firstLine="420" w:firstLineChars="200"/>
    </w:pPr>
    <w:rPr>
      <w:rFonts w:ascii="Calibri" w:hAnsi="Calibri"/>
      <w:szCs w:val="20"/>
    </w:rPr>
  </w:style>
  <w:style w:type="character" w:customStyle="1" w:styleId="83">
    <w:name w:val="批注主题 Char"/>
    <w:basedOn w:val="55"/>
    <w:autoRedefine/>
    <w:qFormat/>
    <w:uiPriority w:val="0"/>
    <w:rPr>
      <w:rFonts w:ascii="Calibri" w:hAnsi="Calibri"/>
      <w:kern w:val="2"/>
      <w:sz w:val="21"/>
    </w:rPr>
  </w:style>
  <w:style w:type="character" w:customStyle="1" w:styleId="84">
    <w:name w:val="页眉 Char"/>
    <w:basedOn w:val="29"/>
    <w:autoRedefine/>
    <w:qFormat/>
    <w:uiPriority w:val="0"/>
    <w:rPr>
      <w:rFonts w:ascii="Calibri" w:hAnsi="Calibri"/>
      <w:kern w:val="2"/>
      <w:sz w:val="18"/>
      <w:szCs w:val="24"/>
    </w:rPr>
  </w:style>
  <w:style w:type="paragraph" w:customStyle="1" w:styleId="85">
    <w:name w:val="样式 自动设置"/>
    <w:basedOn w:val="1"/>
    <w:autoRedefine/>
    <w:qFormat/>
    <w:uiPriority w:val="0"/>
    <w:pPr>
      <w:autoSpaceDE w:val="0"/>
      <w:autoSpaceDN w:val="0"/>
      <w:adjustRightInd w:val="0"/>
      <w:snapToGrid w:val="0"/>
      <w:spacing w:beforeLines="50" w:line="288" w:lineRule="auto"/>
      <w:ind w:firstLine="200" w:firstLineChars="200"/>
    </w:pPr>
    <w:rPr>
      <w:rFonts w:cs="宋体"/>
      <w:sz w:val="24"/>
      <w:szCs w:val="20"/>
    </w:rPr>
  </w:style>
  <w:style w:type="paragraph" w:customStyle="1" w:styleId="86">
    <w:name w:val="+正文"/>
    <w:basedOn w:val="1"/>
    <w:autoRedefine/>
    <w:qFormat/>
    <w:uiPriority w:val="0"/>
    <w:pPr>
      <w:spacing w:line="360" w:lineRule="auto"/>
      <w:ind w:firstLine="200" w:firstLineChars="200"/>
    </w:pPr>
    <w:rPr>
      <w:sz w:val="24"/>
      <w:szCs w:val="22"/>
    </w:rPr>
  </w:style>
  <w:style w:type="paragraph" w:customStyle="1" w:styleId="87">
    <w:name w:val="1  正文"/>
    <w:basedOn w:val="1"/>
    <w:autoRedefine/>
    <w:qFormat/>
    <w:uiPriority w:val="0"/>
    <w:pPr>
      <w:spacing w:line="360" w:lineRule="auto"/>
      <w:ind w:firstLine="480" w:firstLineChars="200"/>
    </w:pPr>
    <w:rPr>
      <w:sz w:val="24"/>
    </w:rPr>
  </w:style>
  <w:style w:type="paragraph" w:customStyle="1" w:styleId="88">
    <w:name w:val="列出段落1"/>
    <w:basedOn w:val="1"/>
    <w:autoRedefine/>
    <w:qFormat/>
    <w:uiPriority w:val="0"/>
    <w:pPr>
      <w:ind w:firstLine="420" w:firstLineChars="200"/>
    </w:pPr>
    <w:rPr>
      <w:szCs w:val="20"/>
    </w:rPr>
  </w:style>
  <w:style w:type="paragraph" w:customStyle="1" w:styleId="89">
    <w:name w:val="表内文字"/>
    <w:basedOn w:val="1"/>
    <w:autoRedefine/>
    <w:qFormat/>
    <w:uiPriority w:val="0"/>
    <w:pPr>
      <w:jc w:val="center"/>
    </w:pPr>
    <w:rPr>
      <w:sz w:val="24"/>
    </w:rPr>
  </w:style>
  <w:style w:type="paragraph" w:customStyle="1" w:styleId="90">
    <w:name w:val="报告表正文"/>
    <w:basedOn w:val="91"/>
    <w:autoRedefine/>
    <w:qFormat/>
    <w:uiPriority w:val="0"/>
    <w:pPr>
      <w:ind w:firstLine="200" w:firstLineChars="200"/>
      <w:jc w:val="left"/>
    </w:pPr>
    <w:rPr>
      <w:rFonts w:ascii="Times New Roman" w:hAnsi="Times New Roman"/>
      <w:szCs w:val="24"/>
    </w:rPr>
  </w:style>
  <w:style w:type="paragraph" w:customStyle="1" w:styleId="91">
    <w:name w:val="列表1"/>
    <w:basedOn w:val="1"/>
    <w:autoRedefine/>
    <w:qFormat/>
    <w:uiPriority w:val="0"/>
    <w:pPr>
      <w:spacing w:line="400" w:lineRule="exact"/>
      <w:jc w:val="center"/>
    </w:pPr>
    <w:rPr>
      <w:rFonts w:ascii="宋体" w:hAnsi="宋体" w:eastAsia="仿宋_GB2312"/>
      <w:sz w:val="24"/>
      <w:szCs w:val="20"/>
    </w:rPr>
  </w:style>
  <w:style w:type="character" w:customStyle="1" w:styleId="92">
    <w:name w:val="font31"/>
    <w:basedOn w:val="29"/>
    <w:autoRedefine/>
    <w:qFormat/>
    <w:uiPriority w:val="0"/>
    <w:rPr>
      <w:rFonts w:hint="eastAsia" w:ascii="宋体" w:hAnsi="宋体" w:eastAsia="宋体" w:cs="宋体"/>
      <w:color w:val="000000"/>
      <w:sz w:val="24"/>
      <w:szCs w:val="24"/>
      <w:u w:val="none"/>
    </w:rPr>
  </w:style>
  <w:style w:type="paragraph" w:customStyle="1" w:styleId="93">
    <w:name w:val="3表格正文"/>
    <w:basedOn w:val="1"/>
    <w:autoRedefine/>
    <w:qFormat/>
    <w:uiPriority w:val="0"/>
    <w:pPr>
      <w:widowControl w:val="0"/>
      <w:adjustRightInd w:val="0"/>
      <w:snapToGrid w:val="0"/>
      <w:jc w:val="center"/>
    </w:pPr>
    <w:rPr>
      <w:rFonts w:ascii="Times New Roman" w:hAnsi="Times New Roman" w:eastAsia="宋体" w:cs="Times New Roman"/>
      <w:bCs/>
      <w:color w:val="FF0000"/>
      <w:kern w:val="2"/>
      <w:sz w:val="21"/>
      <w:szCs w:val="21"/>
    </w:rPr>
  </w:style>
  <w:style w:type="paragraph" w:customStyle="1" w:styleId="94">
    <w:name w:val="正文11"/>
    <w:basedOn w:val="1"/>
    <w:autoRedefine/>
    <w:qFormat/>
    <w:uiPriority w:val="0"/>
    <w:pPr>
      <w:widowControl w:val="0"/>
      <w:autoSpaceDE w:val="0"/>
      <w:autoSpaceDN w:val="0"/>
      <w:snapToGrid w:val="0"/>
      <w:spacing w:before="240" w:line="520" w:lineRule="atLeast"/>
      <w:ind w:firstLine="510"/>
      <w:jc w:val="both"/>
    </w:pPr>
    <w:rPr>
      <w:rFonts w:cs="Times New Roman"/>
      <w:szCs w:val="20"/>
    </w:rPr>
  </w:style>
  <w:style w:type="paragraph" w:customStyle="1" w:styleId="95">
    <w:name w:val="第一、五章 表格正文"/>
    <w:basedOn w:val="7"/>
    <w:autoRedefine/>
    <w:qFormat/>
    <w:uiPriority w:val="0"/>
    <w:pPr>
      <w:jc w:val="center"/>
    </w:pPr>
    <w:rPr>
      <w:rFonts w:eastAsia="仿宋_GB2312"/>
    </w:rPr>
  </w:style>
  <w:style w:type="paragraph" w:customStyle="1" w:styleId="96">
    <w:name w:val="Z嵌套表格内容"/>
    <w:basedOn w:val="1"/>
    <w:autoRedefine/>
    <w:qFormat/>
    <w:uiPriority w:val="0"/>
    <w:pPr>
      <w:jc w:val="center"/>
    </w:pPr>
  </w:style>
  <w:style w:type="paragraph" w:customStyle="1" w:styleId="97">
    <w:name w:val="Z表格标题"/>
    <w:basedOn w:val="1"/>
    <w:next w:val="1"/>
    <w:autoRedefine/>
    <w:qFormat/>
    <w:uiPriority w:val="0"/>
    <w:pPr>
      <w:widowControl/>
      <w:spacing w:line="490" w:lineRule="exact"/>
      <w:jc w:val="center"/>
    </w:pPr>
    <w:rPr>
      <w:rFonts w:ascii="Times New Roman" w:hAnsi="Times New Roman" w:cs="宋体"/>
      <w:b/>
      <w:kern w:val="0"/>
      <w:sz w:val="24"/>
      <w:szCs w:val="24"/>
    </w:rPr>
  </w:style>
  <w:style w:type="paragraph" w:customStyle="1" w:styleId="98">
    <w:name w:val="文本正文"/>
    <w:basedOn w:val="1"/>
    <w:autoRedefine/>
    <w:qFormat/>
    <w:uiPriority w:val="0"/>
    <w:pPr>
      <w:autoSpaceDE w:val="0"/>
      <w:autoSpaceDN w:val="0"/>
      <w:adjustRightInd w:val="0"/>
      <w:spacing w:line="360" w:lineRule="auto"/>
      <w:ind w:firstLine="200" w:firstLineChars="200"/>
      <w:textAlignment w:val="baseline"/>
    </w:pPr>
    <w:rPr>
      <w:rFonts w:ascii="宋体" w:hAnsi="宋体"/>
      <w:snapToGrid w:val="0"/>
      <w:color w:val="000000"/>
      <w:spacing w:val="4"/>
      <w:kern w:val="18"/>
      <w:sz w:val="24"/>
    </w:rPr>
  </w:style>
  <w:style w:type="paragraph" w:customStyle="1" w:styleId="99">
    <w:name w:val="无间隔11"/>
    <w:autoRedefine/>
    <w:qFormat/>
    <w:uiPriority w:val="0"/>
    <w:pPr>
      <w:widowControl w:val="0"/>
    </w:pPr>
    <w:rPr>
      <w:rFonts w:ascii="宋体" w:hAnsi="Courier New" w:eastAsia="仿宋_GB2312" w:cs="Times New Roman"/>
      <w:kern w:val="2"/>
      <w:sz w:val="24"/>
      <w:lang w:val="en-US" w:eastAsia="zh-CN" w:bidi="ar-SA"/>
    </w:rPr>
  </w:style>
  <w:style w:type="paragraph" w:customStyle="1" w:styleId="100">
    <w:name w:val="a四级标题"/>
    <w:basedOn w:val="1"/>
    <w:autoRedefine/>
    <w:qFormat/>
    <w:uiPriority w:val="0"/>
    <w:pPr>
      <w:spacing w:line="360" w:lineRule="auto"/>
    </w:pPr>
    <w:rPr>
      <w:rFonts w:ascii="Times New Roman"/>
      <w:b/>
    </w:rPr>
  </w:style>
  <w:style w:type="paragraph" w:customStyle="1" w:styleId="101">
    <w:name w:val="陈表格标题"/>
    <w:basedOn w:val="1"/>
    <w:next w:val="20"/>
    <w:autoRedefine/>
    <w:qFormat/>
    <w:uiPriority w:val="0"/>
    <w:pPr>
      <w:adjustRightInd w:val="0"/>
      <w:snapToGrid w:val="0"/>
      <w:spacing w:line="240" w:lineRule="auto"/>
      <w:ind w:firstLine="720"/>
      <w:jc w:val="center"/>
    </w:pPr>
    <w:rPr>
      <w:b/>
      <w:kern w:val="0"/>
      <w:szCs w:val="20"/>
    </w:rPr>
  </w:style>
  <w:style w:type="paragraph" w:customStyle="1" w:styleId="102">
    <w:name w:val="陈表格"/>
    <w:basedOn w:val="1"/>
    <w:autoRedefine/>
    <w:qFormat/>
    <w:uiPriority w:val="0"/>
    <w:pPr>
      <w:adjustRightInd w:val="0"/>
      <w:snapToGrid w:val="0"/>
      <w:spacing w:line="240" w:lineRule="auto"/>
      <w:ind w:firstLine="0" w:firstLineChars="0"/>
      <w:jc w:val="center"/>
    </w:pPr>
    <w:rPr>
      <w:kern w:val="0"/>
      <w:szCs w:val="20"/>
    </w:rPr>
  </w:style>
  <w:style w:type="paragraph" w:customStyle="1" w:styleId="103">
    <w:name w:val="表头"/>
    <w:basedOn w:val="1"/>
    <w:autoRedefine/>
    <w:qFormat/>
    <w:uiPriority w:val="0"/>
    <w:pPr>
      <w:adjustRightInd w:val="0"/>
      <w:spacing w:line="240" w:lineRule="auto"/>
      <w:ind w:firstLine="0" w:firstLineChars="0"/>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wmf"/><Relationship Id="rId26" Type="http://schemas.openxmlformats.org/officeDocument/2006/relationships/oleObject" Target="embeddings/oleObject1.bin"/><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69</Pages>
  <Words>4748</Words>
  <Characters>5078</Characters>
  <Lines>393</Lines>
  <Paragraphs>110</Paragraphs>
  <TotalTime>0</TotalTime>
  <ScaleCrop>false</ScaleCrop>
  <LinksUpToDate>false</LinksUpToDate>
  <CharactersWithSpaces>5082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2021-04-26T02:29:00Z</dcterms:created>
  <dc:creator>lhj</dc:creator>
  <cp:lastModifiedBy>球球</cp:lastModifiedBy>
  <cp:lastPrinted>2024-04-28T01:18:00Z</cp:lastPrinted>
  <dcterms:modified xsi:type="dcterms:W3CDTF">2025-02-21T07:21:52Z</dcterms:modified>
  <dc:title>附件2</dc:title>
  <cp:revision>958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55890C15BDD647239AE8F86BFB75E25B</vt:lpwstr>
  </property>
  <property fmtid="{D5CDD505-2E9C-101B-9397-08002B2CF9AE}" pid="4" name="KSOTemplateDocerSaveRecord">
    <vt:lpwstr>eyJoZGlkIjoiYWZhMzA0MTE2MGQ3ODcwOTgyMWY3NzY0ZDhkYzQxODciLCJ1c2VySWQiOiIzODk2NzQyOTcifQ==</vt:lpwstr>
  </property>
</Properties>
</file>